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深圳市桑达实业股份有限公司（深桑达A，000032） (000032)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行业：高科技产业工程服务与数字基础设施</w:t>
      </w:r>
    </w:p>
    <w:p>
      <w:pPr>
        <w:jc w:val="center"/>
      </w:pPr>
      <w:r>
        <w:rPr>
          <w:color w:val="595959"/>
          <w:sz w:val="22"/>
          <w:szCs w:val="22"/>
        </w:rPr>
        <w:t xml:space="preserve">报告日期：2026年9月13日</w:t>
      </w:r>
    </w:p>
    <w:p>
      <w:pPr>
        <w:jc w:val="center"/>
      </w:pPr>
      <w:r>
        <w:rPr>
          <w:color w:val="595959"/>
          <w:sz w:val="20"/>
          <w:szCs w:val="20"/>
        </w:rPr>
        <w:t xml:space="preserve">行情数据截至2026年9月11日收盘；均线、MACD和RSI主要截至2026年9月10日，布林带为基于截至2026年9月11日近20个交易日收盘价计算的近似值；股东数据截至2026年6月30日，主力资金数据截至2026年9月4日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深桑达A当前最具决策意义的事实是：2026年上半年营业收入同比增长3.54%至242.63亿元，但归母净利润亏损2.084亿元、扣非归母净利润亏损2.445亿元，收入恢复尚未带来盈利修复；同时，公司2025年收入同比下降27.04%至491.70亿元，并由2024年归母净利润盈利3.297亿元转为亏损1.271亿元，经营业绩仍处于承压阶段。</w:t>
      </w:r>
    </w:p>
    <w:p>
      <w:pPr>
        <w:spacing w:after="160" w:line="300"/>
      </w:pPr>
      <w:r>
        <w:rPr>
          <w:sz w:val="22"/>
          <w:szCs w:val="22"/>
        </w:rPr>
        <w:t xml:space="preserve">公司业务以高科技产业服务为主，2025年该板块收入467.00亿元，占营业收入94.98%，其中洁净室整体解决方案收入超过398亿元，但毛利率由2024年的9.41%降至2025年的8.38%。数字与信息服务毛利率约34.73%，明显高于工程业务，但收入规模仅24.70亿元，占比5.02%，且2026年上半年仍处于经营亏损状态，公司整体利润改善仍取决于洁净室业务毛利率修复及数字业务减亏、产品化进展。</w:t>
      </w:r>
    </w:p>
    <w:p>
      <w:pPr>
        <w:spacing w:after="160" w:line="300"/>
      </w:pPr>
      <w:r>
        <w:rPr>
          <w:sz w:val="22"/>
          <w:szCs w:val="22"/>
        </w:rPr>
        <w:t xml:space="preserve">公司在手未完工项目金额719.21亿元，其中未完工部分金额305.72亿元，东南亚在执行项目合同金额约69.17亿元，为后续收入提供一定项目基础，但项目储备并不等同于未来年度可直接确认的收入。与此同时，截至2025年末合同资产约328.81亿元，相当于2025年营业收入的约66.9%，2025年经营活动现金流量净额为负29.66亿元，工程业务的资金占用和回款压力仍较突出。</w:t>
      </w:r>
    </w:p>
    <w:p>
      <w:pPr>
        <w:spacing w:after="160" w:line="300"/>
      </w:pPr>
      <w:r>
        <w:rPr>
          <w:sz w:val="22"/>
          <w:szCs w:val="22"/>
        </w:rPr>
        <w:t xml:space="preserve">截至2026年9月11日，公司股价收于13.61元，较9月1日回落约7.6%，处于冲高回落后的弱势整理阶段；股价低于短期均线及布林中轨，MACD位于零轴下方、RSI约39.34，短中期技术信号偏弱。市场对公司未来盈利修复仍存在预期，但机构预测样本仅两家，且2026年上半年已亏损2.084亿元，实现全年预测盈利需要下半年实现约4.20亿至5.29亿元归母净利润，预测兑现具有较高不确定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000032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深桑达A</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中国中电国际信息服务有限公司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实际控制人体系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中国电子信息产业集团有限公司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最新可用完整年度资料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2025年年度报告，披露日期为2026年4月28日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2025年营业收入491.70亿元，同比下降27.04%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高科技产业服务467.00亿元，占94.98%；数字与信息服务24.70亿元，占5.02%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2025年在手项目情况</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未完工项目金额719.21亿元，其中累计确认产值413.49亿元，未完工部分金额305.72亿元；东南亚地区在执行项目46个，合同金额约69.17亿元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科技产业服务：通过中国电子系统技术有限公司及其下属子公司，提供洁净室整体解决方案、高科技厂房咨询设计、工程建造、机电安装、EPC工程总承包及专业承包、洁净室系统产品、水处理及电子超纯水解决方案、智能工厂和智能运维解决方案、数据中心及算力中心工程服务。2025年洁净室整体解决方案业务收入超过398亿元。</w:t>
      </w:r>
    </w:p>
    <w:p>
      <w:pPr>
        <w:pStyle w:val="ListParagraph"/>
        <w:numPr>
          <w:ilvl w:val="0"/>
          <w:numId w:val="2"/>
        </w:numPr>
        <w:spacing w:after="80" w:line="280"/>
      </w:pPr>
      <w:r>
        <w:rPr>
          <w:sz w:val="22"/>
          <w:szCs w:val="22"/>
        </w:rPr>
        <w:t xml:space="preserve">数字与信息服务：依托中国电子云，提供专属云和私有云平台、云计算、算力和存储基础设施、数据要素及数据流通服务、数字政府及行业数字化解决方案、人工智能、大数据、隐私计算、数据中心运营等服务。自主研发产品包括CECSTACK专属云平台、CeaSphere服务器虚拟化软件、CeaCube超融合产品及存算一体机。</w:t>
      </w:r>
    </w:p>
    <w:p>
      <w:pPr>
        <w:pStyle w:val="ListParagraph"/>
        <w:numPr>
          <w:ilvl w:val="0"/>
          <w:numId w:val="2"/>
        </w:numPr>
        <w:spacing w:after="80" w:line="280"/>
      </w:pPr>
      <w:r>
        <w:rPr>
          <w:sz w:val="22"/>
          <w:szCs w:val="22"/>
        </w:rPr>
        <w:t xml:space="preserve">数字供热与新能源服务：2025年收入18.62亿元，占营业收入3.79%，毛利率14.14%。</w:t>
      </w:r>
    </w:p>
    <w:p>
      <w:pPr>
        <w:pStyle w:val="ListParagraph"/>
        <w:numPr>
          <w:ilvl w:val="0"/>
          <w:numId w:val="2"/>
        </w:numPr>
        <w:spacing w:after="80" w:line="280"/>
      </w:pPr>
      <w:r>
        <w:rPr>
          <w:sz w:val="22"/>
          <w:szCs w:val="22"/>
        </w:rPr>
        <w:t xml:space="preserve">精密运输及物流、电子设备制造、智慧城市、智慧照明、智慧安防等其他业务：公司仍保留一定规模，但不是当前核心增长主线。</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深桑达A位于高科技制造产业链的中游工程与数字基础设施环节。高科技产业服务偏工程集成和项目交付，收入规模大但毛利率较低；数字与信息服务偏云计算、数据和数字政府产品，毛利率较高但当前收入规模较小。</w:t>
      </w:r>
    </w:p>
    <w:p>
      <w:pPr>
        <w:pStyle w:val="ListParagraph"/>
        <w:numPr>
          <w:ilvl w:val="0"/>
          <w:numId w:val="2"/>
        </w:numPr>
        <w:spacing w:after="80" w:line="280"/>
      </w:pPr>
      <w:r>
        <w:rPr>
          <w:sz w:val="22"/>
          <w:szCs w:val="22"/>
        </w:rPr>
        <w:t xml:space="preserve">高科技产业服务的主要投入包括洁净室设备及材料、空调净化系统、机电安装、管道和电气系统、超纯水及工业废水处理设备、钢材、板材、保温材料及建筑安装材料、工程劳务、专业分包、项目管理、运输和施工服务。</w:t>
      </w:r>
    </w:p>
    <w:p>
      <w:pPr>
        <w:pStyle w:val="ListParagraph"/>
        <w:numPr>
          <w:ilvl w:val="0"/>
          <w:numId w:val="2"/>
        </w:numPr>
        <w:spacing w:after="80" w:line="280"/>
      </w:pPr>
      <w:r>
        <w:rPr>
          <w:sz w:val="22"/>
          <w:szCs w:val="22"/>
        </w:rPr>
        <w:t xml:space="preserve">2025年高科技产业服务成本中，设备及原材料、分包成本、人工成本、项目管理及其他成本均占有较大比重；纪要未提供各类成本的具体占比。</w:t>
      </w:r>
    </w:p>
    <w:p>
      <w:pPr>
        <w:pStyle w:val="ListParagraph"/>
        <w:numPr>
          <w:ilvl w:val="0"/>
          <w:numId w:val="2"/>
        </w:numPr>
        <w:spacing w:after="80" w:line="280"/>
      </w:pPr>
      <w:r>
        <w:rPr>
          <w:sz w:val="22"/>
          <w:szCs w:val="22"/>
        </w:rPr>
        <w:t xml:space="preserve">公司对设备材料供应商和专业分包商存在较强依赖，材料价格、劳务价格及分包价格会直接影响项目毛利率。</w:t>
      </w:r>
    </w:p>
    <w:p>
      <w:pPr>
        <w:pStyle w:val="ListParagraph"/>
        <w:numPr>
          <w:ilvl w:val="0"/>
          <w:numId w:val="2"/>
        </w:numPr>
        <w:spacing w:after="80" w:line="280"/>
      </w:pPr>
      <w:r>
        <w:rPr>
          <w:sz w:val="22"/>
          <w:szCs w:val="22"/>
        </w:rPr>
        <w:t xml:space="preserve">对钢材、机电设备、洁净室设备及工程分包服务，公司总体更接近价格接受者，并不具备明显的上游资源定价权；主要通过规模采购、项目管理、供应链管理和技术方案设计降低成本。</w:t>
      </w:r>
    </w:p>
    <w:p>
      <w:pPr>
        <w:pStyle w:val="ListParagraph"/>
        <w:numPr>
          <w:ilvl w:val="0"/>
          <w:numId w:val="2"/>
        </w:numPr>
        <w:spacing w:after="80" w:line="280"/>
      </w:pPr>
      <w:r>
        <w:rPr>
          <w:sz w:val="22"/>
          <w:szCs w:val="22"/>
        </w:rPr>
        <w:t xml:space="preserve">供应商集中度、核心设备采购占比等数据未在本次获取的公开资料中形成完整可核实口径，不能据单一第三方网页推断。</w:t>
      </w:r>
    </w:p>
    <w:p>
      <w:pPr>
        <w:pStyle w:val="ListParagraph"/>
        <w:numPr>
          <w:ilvl w:val="0"/>
          <w:numId w:val="2"/>
        </w:numPr>
        <w:spacing w:after="80" w:line="280"/>
      </w:pPr>
      <w:r>
        <w:rPr>
          <w:sz w:val="22"/>
          <w:szCs w:val="22"/>
        </w:rPr>
        <w:t xml:space="preserve">下游客户包括半导体及集成电路企业、显示面板企业、新能源和锂电企业、生物医药及医疗客户、科学实验室、政府、央国企、金融机构、运营商、数据中心、算力中心和互联网企业。</w:t>
      </w:r>
    </w:p>
    <w:p>
      <w:pPr>
        <w:pStyle w:val="ListParagraph"/>
        <w:numPr>
          <w:ilvl w:val="0"/>
          <w:numId w:val="2"/>
        </w:numPr>
        <w:spacing w:after="80" w:line="280"/>
      </w:pPr>
      <w:r>
        <w:rPr>
          <w:sz w:val="22"/>
          <w:szCs w:val="22"/>
        </w:rPr>
        <w:t xml:space="preserve">纪要列示的重点客户及项目包括中芯国际、长鑫存储、长江存储、华虹半导体、晶合集成、士兰微、三安光电、京东方、华星光电、维信诺、中国移动、华为、苹果等相关项目或客户。</w:t>
      </w:r>
    </w:p>
    <w:p>
      <w:pPr>
        <w:pStyle w:val="ListParagraph"/>
        <w:numPr>
          <w:ilvl w:val="0"/>
          <w:numId w:val="2"/>
        </w:numPr>
        <w:spacing w:after="80" w:line="280"/>
      </w:pPr>
      <w:r>
        <w:rPr>
          <w:sz w:val="22"/>
          <w:szCs w:val="22"/>
        </w:rPr>
        <w:t xml:space="preserve">下游客户投资规模大、技术标准高、供应商认证周期长，客户认证、项目经验和技术能力构成一定进入壁垒。</w:t>
      </w:r>
    </w:p>
    <w:p>
      <w:pPr>
        <w:pStyle w:val="ListParagraph"/>
        <w:numPr>
          <w:ilvl w:val="0"/>
          <w:numId w:val="2"/>
        </w:numPr>
        <w:spacing w:after="80" w:line="280"/>
      </w:pPr>
      <w:r>
        <w:rPr>
          <w:sz w:val="22"/>
          <w:szCs w:val="22"/>
        </w:rPr>
        <w:t xml:space="preserve">具体项目通常采用招投标模式，客户整体议价能力较强，工程企业可能面临项目价格竞争、工期和质量保证要求、分阶段结算、质量保证金、设计变更、结算周期较长及客户延迟付款等压力。</w:t>
      </w:r>
    </w:p>
    <w:p>
      <w:pPr>
        <w:pStyle w:val="ListParagraph"/>
        <w:numPr>
          <w:ilvl w:val="0"/>
          <w:numId w:val="2"/>
        </w:numPr>
        <w:spacing w:after="80" w:line="280"/>
      </w:pPr>
      <w:r>
        <w:rPr>
          <w:sz w:val="22"/>
          <w:szCs w:val="22"/>
        </w:rPr>
        <w:t xml:space="preserve">公司年报提示，高科技产业工程业务因行业特点资产负债率较高；若客户拖欠工程款，可能影响公司的资金状况和项目正常运转。</w:t>
      </w:r>
    </w:p>
    <w:p>
      <w:pPr>
        <w:pStyle w:val="ListParagraph"/>
        <w:numPr>
          <w:ilvl w:val="0"/>
          <w:numId w:val="2"/>
        </w:numPr>
        <w:spacing w:after="80" w:line="280"/>
      </w:pPr>
      <w:r>
        <w:rPr>
          <w:sz w:val="22"/>
          <w:szCs w:val="22"/>
        </w:rPr>
        <w:t xml:space="preserve">客户集中度：本次检索未发现2025年年报中完整且可交叉验证的前五大客户收入占比数据，因此无法准确判断客户集中度；该数据以最新年报披露为准。</w:t>
      </w:r>
    </w:p>
    <w:p>
      <w:pPr>
        <w:pStyle w:val="ListParagraph"/>
        <w:numPr>
          <w:ilvl w:val="0"/>
          <w:numId w:val="2"/>
        </w:numPr>
        <w:spacing w:after="80" w:line="280"/>
      </w:pPr>
      <w:r>
        <w:rPr>
          <w:sz w:val="22"/>
          <w:szCs w:val="22"/>
        </w:rPr>
        <w:t xml:space="preserve">高科技产业工程需求受半导体、新能源、生物医药和数据中心资本开支周期影响，项目储备不等同于未来年度可以直接确认的营业收入。</w:t>
      </w:r>
    </w:p>
    <w:p>
      <w:pPr>
        <w:pStyle w:val="ListParagraph"/>
        <w:numPr>
          <w:ilvl w:val="0"/>
          <w:numId w:val="2"/>
        </w:numPr>
        <w:spacing w:after="80" w:line="280"/>
      </w:pPr>
      <w:r>
        <w:rPr>
          <w:sz w:val="22"/>
          <w:szCs w:val="22"/>
        </w:rPr>
        <w:t xml:space="preserve">截至2025年12月31日，公司合同资产账面余额约328.81亿元，其中洁净室服务合同资产约311.81亿元、数字与信息服务合同资产约17.00亿元，合同资产合计约相当于2025年营业收入的66.9%；2025年经营活动现金流量净额为负29.66亿元。期末应付账款合同到期金额约352.81亿元，另有供应商融资安排，表明公司部分资金压力通过应付账款和供应链金融缓冲，但工程业务仍具有先投入、后结算、分阶段收款的资金占用特征。合同资产不等同于已经实现现金回收的应收账款。</w:t>
      </w:r>
    </w:p>
    <w:p>
      <w:pPr>
        <w:pStyle w:val="ListParagraph"/>
        <w:numPr>
          <w:ilvl w:val="0"/>
          <w:numId w:val="2"/>
        </w:numPr>
        <w:spacing w:after="80" w:line="280"/>
      </w:pPr>
      <w:r>
        <w:rPr>
          <w:sz w:val="22"/>
          <w:szCs w:val="22"/>
        </w:rPr>
        <w:t xml:space="preserve">客户集中度方面，纪要未提供2025年完整、可交叉验证的前五大客户收入占比；供应商集中度也未形成完整可核实口径，因此不能据此量化判断上下游集中度。相关数据来源和年份不足，具体以最新年报为准。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高科技产业服务约10.45%；数字与信息服务约31.64%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两项毛利率为根据2024年年报披露的同比变动倒推，属于计算值而非年报直接列示值。工程业务仍占主导，总承包和专业承包占比较高；数字业务处于产品化转型阶段。</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高科技产业服务9.41%；数字与信息服务34.64%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高科技产业工程收入增长，但设备材料和分包成本增速较快，工程毛利率下降；数字业务减少纯集成项目、增加自研产品，毛利率提升。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高科技产业服务8.38%；数字与信息服务34.73%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洁净室整体解决方案收入下降，工程项目规模和结构变化导致综合工程毛利率进一步下降；水处理、智能工厂及数字服务保持较高毛利率。高科技产业服务毛利率较2024年下降1.03个百分点，数字与信息服务毛利率较2024年上升0.09个百分点。</w:t>
            </w:r>
          </w:p>
        </w:tc>
      </w:tr>
    </w:tbl>
    <w:p>
      <w:pPr>
        <w:spacing w:before="200"/>
      </w:pPr>
    </w:p>
    <w:p>
      <w:pPr>
        <w:spacing w:after="160" w:line="300"/>
      </w:pPr>
      <w:r>
        <w:rPr>
          <w:sz w:val="22"/>
          <w:szCs w:val="22"/>
        </w:rPr>
        <w:t xml:space="preserve">公司处于高科技制造产业链的中游工程集成与数字基础设施环节，当前整体更接近中游处理和项目交付型业务：高科技产业服务收入规模大但工程毛利率低，对上游材料、设备、劳务和分包成本较敏感；数字与信息服务毛利率较高但规模较小。进一步改善利润的关键在于提高设计咨询、专业化产品、水处理、智能工厂、智能运维和数字云服务的收入占比，并提升项目管理、材料采购和分包管理效率，而非单纯扩大低毛利工程总承包规模。</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673.89亿元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归母净利润3.297亿元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同比下降约27.04%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归母净利润亏损1.271亿元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由2024年盈利3.297亿元转为亏损，具体同比降幅数据缺失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242.63亿元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同比增长3.54%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归母净利润亏损2.084亿元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同比下降113.77%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2026年第二季度（推算）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约114.50亿元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同比增长约5.15%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归母净利润亏损约1.26亿元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同比仍明显恶化，具体降幅数据缺失</w:t>
            </w:r>
          </w:p>
        </w:tc>
      </w:tr>
    </w:tbl>
    <w:p>
      <w:pPr>
        <w:spacing w:after="200"/>
      </w:pPr>
      <w:r>
        <w:rPr>
          <w:i/>
          <w:iCs/>
          <w:color w:val="595959"/>
          <w:sz w:val="18"/>
          <w:szCs w:val="18"/>
        </w:rPr>
        <w:t xml:space="preserve">最新一期正式财报为公司2026年半年度报告，数据截至2026年9月10日。2026年上半年扣非归母净利润亏损2.445亿元，同比下降115.87%；基本每股收益为-0.1715元，上年同期为-0.0857元。2026年上半年营业成本224.30亿元，同比增长5.43%，高于营业收入增速；经营活动现金流量净额净流出15.03亿元，上年同期净流出44.58亿元。</w:t>
      </w:r>
    </w:p>
    <w:p>
      <w:pPr>
        <w:spacing w:after="160" w:line="300"/>
      </w:pPr>
      <w:r>
        <w:rPr>
          <w:sz w:val="22"/>
          <w:szCs w:val="22"/>
        </w:rPr>
        <w:t xml:space="preserve">公司处于收入小幅恢复但利润继续恶化阶段。2026年上半年收入同比增长3.54%，但归母净利润亏损幅度扩大，主要由于高科技产业服务板块综合毛利率下降以及国内市场竞争加剧对洁净室业务盈利能力形成压力。公司2025年收入较2024年明显收缩并由盈利转为亏损，2026年上半年收入恢复增长但利润端尚未修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数据显示，截至2026年9月5日近6个月内共有2家机构进行盈利预测，主要为东吴证券和广发证券。上述归母净利润及EPS为同花顺汇总预测；营业收入采用东方财富页面可见预测数据，两个终端的预测值存在差异。预测属于券商预测或第三方金融终端摘录，不是公司官方业绩指引。由于公司2026年上半年已亏损2.084亿元，实现全年盈利预测需要下半年出现明显利润修复，机构预测样本数量较少，代表性有限。</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约531.7亿元（东方财富页面可见预测）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平均值约2.67亿元，区间约2.12亿至3.21亿元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平均值约0.22元，区间约0.17至0.26元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约562.7亿元（东方财富页面可见预测）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平均值约4.53亿元，区间约4.46亿至4.59亿元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平均值约0.38元，区间约0.37至0.38元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约612.9亿元（东方财富页面可见预测）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平均值约6.34亿元，区间约6.12亿至6.55亿元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平均值约0.52元，区间约0.50至0.54元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预测2026年至2028年归母净利润分别为3.21亿元、4.46亿元和6.12亿元，EPS分别为0.26元、0.37元和0.50元。报告称考虑研发投入及洁净室业务周期性波动，将2026年至2027年EPS预测由此前的0.51元、0.67元下调至0.26元、0.37元。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预测2026年至2028年归母净利润分别为2.12亿元、4.59亿元和6.55亿元，EPS分别为0.17元、0.38元和0.54元。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公开行情资讯汇总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近90日有1家机构给出评级，机构目标均价约18.53元；对应2026年9月9日收盘价14.01元高约32.3%。公开资料未完整披露对应机构及估值基准。</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公开行情资讯汇总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截至2026年7月17日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近90日有2家机构给出评级，目标均价约24.37元。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公开行情资讯汇总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截至2026年5月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近90日机构目标均价约22.26元，具体评级机构及评级信息未完整披露。</w:t>
            </w:r>
          </w:p>
        </w:tc>
      </w:tr>
    </w:tbl>
    <w:p>
      <w:pPr>
        <w:spacing w:before="200"/>
      </w:pPr>
    </w:p>
    <w:p>
      <w:pPr>
        <w:spacing w:after="160" w:line="300"/>
      </w:pPr>
      <w:r>
        <w:rPr>
          <w:sz w:val="22"/>
          <w:szCs w:val="22"/>
        </w:rPr>
        <w:t xml:space="preserve">截至2026年9月10日11:03，股价约13.86元，总股本约12.15亿股，按该价格估算总市值约168亿元，市净率约1.31倍。由于公司滚动口径仍处于亏损，动态市盈率无法计算；2026年6月30日每股收益约为-0.20元，因此当前不适合使用静态PE，PB及未来盈利预测对应的前瞻PE更具参考意义。按机构EPS预测均值测算，2026年至2028年前瞻PE约为63倍、36倍和27倍；按广发证券预测约为82倍、36倍和26倍；按东吴证券预测约为53倍、37倍和28倍。2026年预测PE对扭亏假设高度敏感，若全年未能扭亏，2026年PE将失去参考意义。机构预测公司2026年归母净利润为2.12亿至3.21亿元，而上半年已亏损2.084亿元，意味着下半年需实现约4.20亿至5.29亿元归母净利润才能达到预测区间。估值能否得到支撑，主要取决于洁净室业务毛利率改善、订单确认及项目交付节奏，以及数字与信息服务业务能否持续减亏。主要风险包括洁净室业务竞争加剧、工程项目回款不及预期、经营现金流持续承压、研发投入及财务费用上升，以及机构预测数量较少且不同终端预测存在差异。</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取消增加2026年度担保额度议案</w:t>
      </w:r>
    </w:p>
    <w:p>
      <w:pPr>
        <w:spacing w:after="160" w:line="300"/>
      </w:pPr>
      <w:r>
        <w:rPr>
          <w:sz w:val="22"/>
          <w:szCs w:val="22"/>
        </w:rPr>
        <w:t xml:space="preserve">2026年9月10日，公司披露《关于2026年第三次临时股东会取消部分议案暨补充通知的公告》，公告编号为2026-065。因“业务情况发生变化”，公司取消《关于增加2026年度担保额度预计的议案》，股东会其他事项保持不变。股东会拟审议中国电子系统工程第二建设有限公司开展外汇套期保值业务、修订《公司关联交易管理办法》等议案。现场会议拟于2026年9月14日召开，截至2026年9月13日尚未召开，最终表决结果尚未披露。公告未进一步量化说明业务变化的具体原因。</w:t>
      </w:r>
    </w:p>
    <w:p>
      <w:pPr>
        <w:pStyle w:val="Heading2"/>
        <w:spacing w:after="120" w:before="240"/>
      </w:pPr>
      <w:r>
        <w:rPr>
          <w:b/>
          <w:bCs/>
          <w:color w:val="2E74B5"/>
          <w:sz w:val="24"/>
          <w:szCs w:val="24"/>
        </w:rPr>
        <w:t xml:space="preserve">4.2 2026年半年度业绩预告及正式业绩</w:t>
      </w:r>
    </w:p>
    <w:p>
      <w:pPr>
        <w:spacing w:after="160" w:line="300"/>
      </w:pPr>
      <w:r>
        <w:rPr>
          <w:sz w:val="22"/>
          <w:szCs w:val="22"/>
        </w:rPr>
        <w:t xml:space="preserve">公司2026年上半年预计归属于上市公司股东的净利润亏损19,310万元至24,310万元，扣除非经常性损益后的净利润预计亏损22,810万元至28,310万元，基本每股收益预计为-0.1589元至-0.2001元。2026年8月27日披露的半年报显示，实际营业收入242.63亿元，同比增长3.54%；归属于上市公司股东的净利润为-2.0840亿元，同比下降113.77%；扣除非经常性损益后的净利润为-2.4446亿元，同比下降115.87%；基本每股收益为-0.1715元，实际数据处于此前业绩预告区间内。业绩压力主要来自洁净室服务业务毛利率下降、数字与信息服务业务经营亏损，以及下属公司补缴企业所得税10,855.95万元并缴纳滞纳金1,291.77万元，预计减少公司2026年度归属于上市公司股东的净利润约6,195.34万元。公司表示该补税事项不涉及处罚。报告期内未进行现金分红、送红股或资本公积金转增股本。</w:t>
      </w:r>
    </w:p>
    <w:p>
      <w:pPr>
        <w:pStyle w:val="Heading2"/>
        <w:spacing w:after="120" w:before="240"/>
      </w:pPr>
      <w:r>
        <w:rPr>
          <w:b/>
          <w:bCs/>
          <w:color w:val="2E74B5"/>
          <w:sz w:val="24"/>
          <w:szCs w:val="24"/>
        </w:rPr>
        <w:t xml:space="preserve">4.3 暂未检索到2026年9月新增回购及增持公告</w:t>
      </w:r>
    </w:p>
    <w:p>
      <w:pPr>
        <w:spacing w:after="160" w:line="300"/>
      </w:pPr>
      <w:r>
        <w:rPr>
          <w:sz w:val="22"/>
          <w:szCs w:val="22"/>
        </w:rPr>
        <w:t xml:space="preserve">截至2026年9月13日，未检索到公司2026年9月新披露股份回购、控股股东增持计划，亦未发现董监高增减持相关新增公告。2026年半年度报告显示，前十大股东中不存在回购专用证券账户，报告期内董事及高级管理人员持股未发生变动。公司历史上曾实施股份回购，但现有检索结果未显示2026年9月有新的回购方案或回购进展公告。</w:t>
      </w:r>
    </w:p>
    <w:p>
      <w:pPr>
        <w:pStyle w:val="Heading2"/>
        <w:spacing w:after="120" w:before="240"/>
      </w:pPr>
      <w:r>
        <w:rPr>
          <w:b/>
          <w:bCs/>
          <w:color w:val="2E74B5"/>
          <w:sz w:val="24"/>
          <w:szCs w:val="24"/>
        </w:rPr>
        <w:t xml:space="preserve">4.4 半年报披露股东结构及持股变化</w:t>
      </w:r>
    </w:p>
    <w:p>
      <w:pPr>
        <w:spacing w:after="160" w:line="300"/>
      </w:pPr>
      <w:r>
        <w:rPr>
          <w:sz w:val="22"/>
          <w:szCs w:val="22"/>
        </w:rPr>
        <w:t xml:space="preserve">截至2026年6月30日，公司股东总数为61,053户。中国中电国际信息服务有限公司持有202,650,154股，持股比例16.68%；中国电子信息产业集团有限公司持有199,241,427股，持股比例16.40%；中电金投控股有限公司持有43,500,179股，持股比例3.58%；中国电子进出口有限公司持有38,391,238股，持股比例3.16%；香港中央结算有限公司持有21,374,447股，持股比例1.76%，较上期增加12,600,581股；吴安持有10,700,000股，持股比例0.88%，较上期减少990,000股；高盛国际－自有资金持有9,963,266股，持股比例0.82%，较上期增加9,251,319股。控股股东及实际控制人报告期内未发生变更。上述数据为半年报口径，不能直接视为2026年9月实时增减持情况。</w:t>
      </w:r>
    </w:p>
    <w:p>
      <w:pPr>
        <w:pStyle w:val="Heading2"/>
        <w:spacing w:after="120" w:before="240"/>
      </w:pPr>
      <w:r>
        <w:rPr>
          <w:b/>
          <w:bCs/>
          <w:color w:val="2E74B5"/>
          <w:sz w:val="24"/>
          <w:szCs w:val="24"/>
        </w:rPr>
        <w:t xml:space="preserve">4.5 转让工大科雅10.54%股份</w:t>
      </w:r>
    </w:p>
    <w:p>
      <w:pPr>
        <w:spacing w:after="160" w:line="300"/>
      </w:pPr>
      <w:r>
        <w:rPr>
          <w:sz w:val="22"/>
          <w:szCs w:val="22"/>
        </w:rPr>
        <w:t xml:space="preserve">2026年8月19日，公司披露中国系统以公开征集方式转让工大科雅股份的进展。公司全资子公司中国电子系统技术有限公司拟转让工大科雅12,705,000股股份，占其总股本10.54%，转让价格不低于22.60元/股。经公开征集及内部评审，确定北京鸿跃新能企业管理中心（有限合伙）为合格受让方，申报价格为22.60元/股，整体转让金额为28,713.30万元。该事项已获得中国电子信息产业集团有限公司通过国务院国资委产权管理综合信息系统审批同意，股份转让协议已满足生效条件，鸿跃新能已足额支付保证金。但交易仍需办理股份登记过户等交割手续，是否最终完成及完成时间存在不确定性。</w:t>
      </w:r>
    </w:p>
    <w:p>
      <w:pPr>
        <w:pStyle w:val="Heading2"/>
        <w:spacing w:after="120" w:before="240"/>
      </w:pPr>
      <w:r>
        <w:rPr>
          <w:b/>
          <w:bCs/>
          <w:color w:val="2E74B5"/>
          <w:sz w:val="24"/>
          <w:szCs w:val="24"/>
        </w:rPr>
        <w:t xml:space="preserve">4.6 二次挂牌出售中电洲际环保科技发展有限公司80%股权</w:t>
      </w:r>
    </w:p>
    <w:p>
      <w:pPr>
        <w:spacing w:after="160" w:line="300"/>
      </w:pPr>
      <w:r>
        <w:rPr>
          <w:sz w:val="22"/>
          <w:szCs w:val="22"/>
        </w:rPr>
        <w:t xml:space="preserve">2026年8月22日，公司披露该事项进展公告。由于首次挂牌期间没有产生意向受让方，中国系统按照不低于股权评估值90%的价格进行二次挂牌，二次挂牌价格为167,129.199万元；此前首次挂牌底价不低于185,699.11万元。公司表示，本次公开挂牌能否顺利成交、最终交易价格、交易对方及相关税费均存在不确定性。</w:t>
      </w:r>
    </w:p>
    <w:p>
      <w:pPr>
        <w:pStyle w:val="Heading2"/>
        <w:spacing w:after="120" w:before="240"/>
      </w:pPr>
      <w:r>
        <w:rPr>
          <w:b/>
          <w:bCs/>
          <w:color w:val="2E74B5"/>
          <w:sz w:val="24"/>
          <w:szCs w:val="24"/>
        </w:rPr>
        <w:t xml:space="preserve">4.7 二次挂牌出售山东中电富伦新能源投资有限公司70%股权</w:t>
      </w:r>
    </w:p>
    <w:p>
      <w:pPr>
        <w:spacing w:after="160" w:line="300"/>
      </w:pPr>
      <w:r>
        <w:rPr>
          <w:sz w:val="22"/>
          <w:szCs w:val="22"/>
        </w:rPr>
        <w:t xml:space="preserve">2026年8月22日，公司披露该事项进展公告。由于首次挂牌期间没有产生意向受让方，中国系统以不低于股权评估值90%的价格进行二次挂牌，二次挂牌价格为21,476.169万元；首次挂牌底价不低于23,862.41万元。截至公告日，该交易能否成交以及最终交易价格、交易对方和税费情况均未确定。</w:t>
      </w:r>
    </w:p>
    <w:p>
      <w:pPr>
        <w:pStyle w:val="Heading2"/>
        <w:spacing w:after="120" w:before="240"/>
      </w:pPr>
      <w:r>
        <w:rPr>
          <w:b/>
          <w:bCs/>
          <w:color w:val="2E74B5"/>
          <w:sz w:val="24"/>
          <w:szCs w:val="24"/>
        </w:rPr>
        <w:t xml:space="preserve">4.8 二次挂牌出售中电武强热力有限公司100%股权</w:t>
      </w:r>
    </w:p>
    <w:p>
      <w:pPr>
        <w:spacing w:after="160" w:line="300"/>
      </w:pPr>
      <w:r>
        <w:rPr>
          <w:sz w:val="22"/>
          <w:szCs w:val="22"/>
        </w:rPr>
        <w:t xml:space="preserve">2026年8月22日，公司披露该事项进展公告。首次挂牌底价不低于6,484.48万元，因未产生意向受让方，后续以不低于股权评估值90%的价格进行二次挂牌，二次挂牌价格为5,836.032万元。该交易存在无法成交、最终交易价格不确定等风险。</w:t>
      </w:r>
    </w:p>
    <w:p>
      <w:pPr>
        <w:pStyle w:val="Heading2"/>
        <w:spacing w:after="120" w:before="240"/>
      </w:pPr>
      <w:r>
        <w:rPr>
          <w:b/>
          <w:bCs/>
          <w:color w:val="2E74B5"/>
          <w:sz w:val="24"/>
          <w:szCs w:val="24"/>
        </w:rPr>
        <w:t xml:space="preserve">4.9 关联交易、外汇套期保值及经营风险</w:t>
      </w:r>
    </w:p>
    <w:p>
      <w:pPr>
        <w:spacing w:after="160" w:line="300"/>
      </w:pPr>
      <w:r>
        <w:rPr>
          <w:sz w:val="22"/>
          <w:szCs w:val="22"/>
        </w:rPr>
        <w:t xml:space="preserve">2026年8月27日，公司披露桑达2、3号厂房装修改造项目委托代建暨关联交易公告，并披露子公司开展外汇套期保值业务、增加2026年度担保额度预计等事项。其中，增加担保额度预计议案已于2026年9月10日因业务情况变化取消，外汇套期保值业务和修订《公司关联交易管理办法》议案仍计划提交2026年9月14日股东会审议。公司上半年亏损扩大，洁净室业务面临市场竞争加剧和毛利率下降压力，补缴税款及滞纳金亦对利润产生较大影响。</w:t>
      </w:r>
    </w:p>
    <w:p>
      <w:pPr>
        <w:pStyle w:val="Heading2"/>
        <w:spacing w:after="120" w:before="240"/>
      </w:pPr>
      <w:r>
        <w:rPr>
          <w:b/>
          <w:bCs/>
          <w:color w:val="2E74B5"/>
          <w:sz w:val="24"/>
          <w:szCs w:val="24"/>
        </w:rPr>
        <w:t xml:space="preserve">4.10 暂未检索到2026年9月新增重大监管处罚公告</w:t>
      </w:r>
    </w:p>
    <w:p>
      <w:pPr>
        <w:spacing w:after="160" w:line="300"/>
      </w:pPr>
      <w:r>
        <w:rPr>
          <w:sz w:val="22"/>
          <w:szCs w:val="22"/>
        </w:rPr>
        <w:t xml:space="preserve">截至2026年9月13日，未检索到公司2026年9月收到中国证监会立案调查、行政处罚、深交所纪律处分或监管函的新增公告。公司此前于2026年6月15日披露股票交易异常波动公告，因2026年6月11日和6月12日连续两个交易日收盘价格涨幅偏离值累计超过20%。公司核查后表示，公司及控股股东、实际控制人不存在应披露而未披露的重大信息，异常波动期间控股股东、实际控制人及董监高不存在买卖公司股票行为。</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000032 深桑达A，深圳证券交易所上市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下跌0.27元，跌幅1.95%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13.67元/13.80元/13.31元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约2336.03万股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约3.1604亿元/1.92%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按总股本约12.15亿股估算，约165.36亿元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27.19元/12.22元，数据截至2026年9月11日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较52周高点回落约49.9%，较52周低点高约11.4%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2026年9月1日至9月11日收盘价由14.73元降至13.61元，区间跌幅约7.6%，整体处于冲高回落后的弱势整理阶段</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估值提示</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较早行情截面显示PE约-70.87倍；因滚动净利润为负，PE-TTM为负，不适用，且该估值与2026年9月11日收盘价并非完全同一时间截面</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Investing.com截至2026年9月10日分别为13.86/13.96/14.06/14.31/14.49/14.45元；基于截至9月11日收盘价自行计算的MA5/MA10/MA20约为13.96/14.21/14.23元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不同平台因计算时点、复权方式和数据源更新时差存在差异，但总体判断一致：短期均线向下，股价位于MA10和MA20下方，反弹首先面临约14.0~14.2元一带的均线压制；日线移动平均线综合信号为“卖出”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截至2026年9月10日约-0.14，技术评级为“卖出”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MACD处于零轴下方，中短期动能偏弱；9月11日继续下跌，弱势状态大概率尚未改变，但是否形成底背离或金叉仍需后续数据确认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截至2026年9月10日约39.34，技术评级为“卖出”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RSI低于50，空方动能占优，但仍高于30，尚未进入传统意义上的严重超卖区间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基于截至2026年9月11日近20个交易日收盘价计算：中轨约14.23元，上轨约15.37元，下轨约13.10元，收盘价标准差约0.57元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收盘价13.61元位于中轨下方，距离近似下轨约0.51元；13.1~13.3元可作为短线技术性承接观察区，但该指标为自行计算近似值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近5个交易日成交额约2.37亿~5.44亿元，换手率约1.41%~3.13%；9月11日成交额3.16亿元、换手率1.92%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价格继续走弱但成交额低于9月4日放量下跌时的5.44亿元，暂未显示明显放量恐慌性杀跌，但也缺乏明显承接资金信号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截至2026年9月4日，9月1日至9月4日连续4个交易日净流出，合计约1.96亿元；9月4日净流出约7043万元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8月28日至9月4日资金流向单日反复但总体偏流出；数据未覆盖9月5日至9月11日，且不同页面资金口径可能存在差异，仅作平台口径参考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融资融券</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截至2026年9月10日融资余额约7.19亿元，融资买入额约1618.54万元，融券余量约26.85万股；9月3日融资融券余额约7.68亿元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融资余额较9月初阶段性回落，显示杠杆资金规模有所收缩；研究纪要称融资余额约占流通市值4%左右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截至2026年6月30日，前十大股东合计持股约5.80亿股，占总股本约47.70%；前十大流通股东占流通股约50.93%；股东总户数约61053户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集中度较高，主要来自中国电子体系内国有控股股东及关联主体，并不等同于广泛的公募基金高比例持仓；股东数据距当前收盘日约两个半月，结构可能已发生变化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截至2026年6月30日，其他机构持股约49.11%，公募基金约1.82%，QFII约0.88%，其他股东约48.19%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公募基金与QFII合计持仓比例相对有限，高集中度主要由控股股东及关联国有机构构成；实际可交易筹码与名义流通股本存在差异</w:t>
            </w:r>
          </w:p>
        </w:tc>
      </w:tr>
    </w:tbl>
    <w:p>
      <w:pPr>
        <w:spacing w:before="200"/>
      </w:pPr>
    </w:p>
    <w:p>
      <w:pPr>
        <w:spacing w:after="160" w:line="300"/>
      </w:pPr>
      <w:r>
        <w:rPr>
          <w:sz w:val="22"/>
          <w:szCs w:val="22"/>
        </w:rPr>
        <w:t xml:space="preserve">截至2026年9月11日，深桑达A收盘13.61元，较9月1日收盘价回落约7.6%，股价处于冲高回落后的弱势整理阶段。均线、MACD和RSI均显示短中期技术面偏弱，股价反弹首先面临14.00~14.25元附近的均线和布林中轨压制；13.30~13.60元为近期支撑观察区，13.05~13.20元接近近似布林下轨。近期成交额较9月4日放量下跌时收缩，尚未出现连续放量恐慌性杀跌，但主力资金数据在9月1日至9月4日连续净流出，融资余额亦较9月初有所回落。股东集中度较高，但主要由中国电子体系关联国有股东构成，公募基金和QFII持仓比例相对有限，且股东数据存在滞后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14.00~14.25元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对应MA10、MA20附近及近似布林中轨14.23元，同时参考9月7日至9月9日密集成交价格。若不能有效站上14.25元，仍偏向弱势反抽；若放量站稳，可进一步观察14.4~14.7元区域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13.30~13.60元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13.31元为9月11日盘中低点，13.60元附近为最新收盘区域。若获得承接并缩量止跌，可能形成短线震荡平台；若持续跌破13.30元，下方将考验13.10元左右的近似布林下轨</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13.05~13.20元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接近近20日布林下轨约13.10元及近期低位价格区间。若该区域失守且成交额明显放大，短线可能打开向52周低点12.22元方向继续寻找支撑的空间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并非统计学概率）：参考区间为13.30~14.05元。触发条件是股价在13.30元上方获得承接，成交额维持约2.5亿~4.0亿元的近期常态区间，且不出现连续放量下跌。若13.60元附近反复争夺但不能有效突破14.00元，可能表现为弱势横盘或区间震荡</w:t>
      </w:r>
    </w:p>
    <w:p>
      <w:pPr>
        <w:pStyle w:val="ListParagraph"/>
        <w:numPr>
          <w:ilvl w:val="0"/>
          <w:numId w:val="2"/>
        </w:numPr>
        <w:spacing w:after="80" w:line="280"/>
      </w:pPr>
      <w:r>
        <w:rPr>
          <w:sz w:val="22"/>
          <w:szCs w:val="22"/>
        </w:rPr>
        <w:t xml:space="preserve">偏弱下行（主观启发式权重中等，约三成；并非统计学概率）：参考区间为12.20~13.30元。触发条件是收盘有效跌破13.30元，且单日成交额连续放大至4.5亿~5.0亿元以上，同时主力资金继续出现较大额净流出。若13.10元也失守，则需观察12.22元附近的52周低点支撑</w:t>
      </w:r>
    </w:p>
    <w:p>
      <w:pPr>
        <w:pStyle w:val="ListParagraph"/>
        <w:numPr>
          <w:ilvl w:val="0"/>
          <w:numId w:val="2"/>
        </w:numPr>
        <w:spacing w:after="80" w:line="280"/>
      </w:pPr>
      <w:r>
        <w:rPr>
          <w:sz w:val="22"/>
          <w:szCs w:val="22"/>
        </w:rPr>
        <w:t xml:space="preserve">反弹走强（主观启发式权重偏低，约一成至两成；并非统计学概率）：参考区间为14.05~14.70元。触发条件是股价重新站上14.05~14.25元，并至少连续一个交易日放量确认，成交额明显高于近期约3亿元常态水平，同时MACD负值收窄、RSI回升至50附近。若进一步突破14.4元，可观察14.6~14.7元区域；若缺乏成交量配合，则更可能只是技术性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3.16亿元、换手率1.92%；近5个交易日单日成交额约2.37亿~5.44亿元，换手率约1.41%~3.13%。截至2026年9月4日的最新可读取主力资金数据显示，9月1日至9月4日连续净流出，合计约1.96亿元，但该数据未覆盖9月5日至9月11日，且平台资金口径可能存在差异。截至2026年9月10日融资余额约7.19亿元，较9月初有所回落。股东结构数据截至2026年6月30日：前十大股东合计持股约占总股本47.70%，股东户数约61053户，较2026年3月31日下降约13.33%；集中持股主要来自中国电子体系关联国有股东，公募基金持股约1.82%、QFII持股约0.88%。上述股东数据存在约两个半月滞后，期间结构可能发生变化。实际含义是名义流通股本与可自由交易筹码可能存在差异，机构主动交易意愿仍需结合后续季度数据和实时成交观察。</w:t>
      </w:r>
    </w:p>
    <w:p>
      <w:pPr>
        <w:spacing w:after="160" w:line="300"/>
      </w:pPr>
      <w:r>
        <w:rPr>
          <w:sz w:val="22"/>
          <w:szCs w:val="22"/>
        </w:rPr>
        <w:t xml:space="preserve">一个可检查的成交量确认信号是：若未来一周单日成交额连续两日达到约4.5亿元以上，同时股价重新站上14.05~14.25元区间，可作为反弹得到成交量确认的观察信号；若成交额放大但价格仍跌破13.30元，则更偏向资金流出或抛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观察13.30~13.60元区域能否出现止跌，以及13.10元附近近似布林下轨是否有效。</w:t>
      </w:r>
    </w:p>
    <w:p>
      <w:pPr>
        <w:pStyle w:val="ListParagraph"/>
        <w:numPr>
          <w:ilvl w:val="0"/>
          <w:numId w:val="2"/>
        </w:numPr>
        <w:spacing w:after="80" w:line="280"/>
      </w:pPr>
      <w:r>
        <w:rPr>
          <w:sz w:val="22"/>
          <w:szCs w:val="22"/>
        </w:rPr>
        <w:t xml:space="preserve">观察股价能否重新站上14.00~14.25元压力区，并确认是否有成交额配合。</w:t>
      </w:r>
    </w:p>
    <w:p>
      <w:pPr>
        <w:pStyle w:val="ListParagraph"/>
        <w:numPr>
          <w:ilvl w:val="0"/>
          <w:numId w:val="2"/>
        </w:numPr>
        <w:spacing w:after="80" w:line="280"/>
      </w:pPr>
      <w:r>
        <w:rPr>
          <w:sz w:val="22"/>
          <w:szCs w:val="22"/>
        </w:rPr>
        <w:t xml:space="preserve">关注主力资金数据是否由连续净流出转为连续净流入；当前最新可读取数据仅覆盖至2026年9月4日，存在时滞。</w:t>
      </w:r>
    </w:p>
    <w:p>
      <w:pPr>
        <w:pStyle w:val="ListParagraph"/>
        <w:numPr>
          <w:ilvl w:val="0"/>
          <w:numId w:val="2"/>
        </w:numPr>
        <w:spacing w:after="80" w:line="280"/>
      </w:pPr>
      <w:r>
        <w:rPr>
          <w:sz w:val="22"/>
          <w:szCs w:val="22"/>
        </w:rPr>
        <w:t xml:space="preserve">关注成交额是否连续两日达到约4.5亿元以上，作为反弹强度的量能确认指标。以上均为观察思路，非操作指令。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业务横跨高科技产业工程服务和数字基础设施及云服务。高科技产业工程位于下游先进制造业固定资产投资与上游建筑安装、洁净设备之间，需求覆盖半导体、显示面板、生物医药、新能源、数据中心等资本密集型行业；数字与信息服务则面向国防、能源、金融、交通、卫健、党政和公共服务等客户，参与云计算、算力、数据要素和行业数字化服务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高科技产业工程需求受半导体、新能源、生物医药和数据中心资本开支周期影响，具有明显周期性。</w:t>
      </w:r>
    </w:p>
    <w:p>
      <w:pPr>
        <w:pStyle w:val="ListParagraph"/>
        <w:numPr>
          <w:ilvl w:val="0"/>
          <w:numId w:val="2"/>
        </w:numPr>
        <w:spacing w:after="80" w:line="280"/>
      </w:pPr>
      <w:r>
        <w:rPr>
          <w:sz w:val="22"/>
          <w:szCs w:val="22"/>
        </w:rPr>
        <w:t xml:space="preserve">客户对洁净度、机电系统、工艺配套和工程交付能力要求较高，大型项目通常采用招投标模式，项目金额大、周期长，工程结算和回款周期较长。</w:t>
      </w:r>
    </w:p>
    <w:p>
      <w:pPr>
        <w:pStyle w:val="ListParagraph"/>
        <w:numPr>
          <w:ilvl w:val="0"/>
          <w:numId w:val="2"/>
        </w:numPr>
        <w:spacing w:after="80" w:line="280"/>
      </w:pPr>
      <w:r>
        <w:rPr>
          <w:sz w:val="22"/>
          <w:szCs w:val="22"/>
        </w:rPr>
        <w:t xml:space="preserve">工程总承包毛利率较低，专业化产品以及设计、运维业务毛利率相对较高；具备跨行业经验、复杂项目交付能力和大型客户认证的企业更具竞争优势。</w:t>
      </w:r>
    </w:p>
    <w:p>
      <w:pPr>
        <w:pStyle w:val="ListParagraph"/>
        <w:numPr>
          <w:ilvl w:val="0"/>
          <w:numId w:val="2"/>
        </w:numPr>
        <w:spacing w:after="80" w:line="280"/>
      </w:pPr>
      <w:r>
        <w:rPr>
          <w:sz w:val="22"/>
          <w:szCs w:val="22"/>
        </w:rPr>
        <w:t xml:space="preserve">2024年中国集成电路产量为4514亿块，同比增长14.4%；半导体、新材料、生物医药和新能源等战略性产业持续投资，为洁净室、厂务系统和高科技厂房建设提供长期需求基础，但需求仍受资本开支周期影响。</w:t>
      </w:r>
    </w:p>
    <w:p>
      <w:pPr>
        <w:pStyle w:val="ListParagraph"/>
        <w:numPr>
          <w:ilvl w:val="0"/>
          <w:numId w:val="2"/>
        </w:numPr>
        <w:spacing w:after="80" w:line="280"/>
      </w:pPr>
      <w:r>
        <w:rPr>
          <w:sz w:val="22"/>
          <w:szCs w:val="22"/>
        </w:rPr>
        <w:t xml:space="preserve">数字基础设施及云服务行业参与者包括传统ICT设备和云服务企业、电信运营商云、大型互联网云平台、政务云和行业数字化服务商、国产化计算、存储和数据库厂商。</w:t>
      </w:r>
    </w:p>
    <w:p>
      <w:pPr>
        <w:pStyle w:val="ListParagraph"/>
        <w:numPr>
          <w:ilvl w:val="0"/>
          <w:numId w:val="2"/>
        </w:numPr>
        <w:spacing w:after="80" w:line="280"/>
      </w:pPr>
      <w:r>
        <w:rPr>
          <w:sz w:val="22"/>
          <w:szCs w:val="22"/>
        </w:rPr>
        <w:t xml:space="preserve">深桑达A的数字业务优势包括中国电子央企背景、面向党政、国防和关键行业的安全合规能力、国产化软硬件适配能力、中国电子云与中国电子自主计算生态，以及数字政府和行业项目经验。</w:t>
      </w:r>
    </w:p>
    <w:p>
      <w:pPr>
        <w:pStyle w:val="ListParagraph"/>
        <w:numPr>
          <w:ilvl w:val="0"/>
          <w:numId w:val="2"/>
        </w:numPr>
        <w:spacing w:after="80" w:line="280"/>
      </w:pPr>
      <w:r>
        <w:rPr>
          <w:sz w:val="22"/>
          <w:szCs w:val="22"/>
        </w:rPr>
        <w:t xml:space="preserve">公司数字与信息服务收入规模相对较小，仍处于研发投入和业务转型期，尚未形成与大型云厂商相当的规模效应。</w:t>
      </w:r>
    </w:p>
    <w:p>
      <w:pPr>
        <w:pStyle w:val="ListParagraph"/>
        <w:numPr>
          <w:ilvl w:val="0"/>
          <w:numId w:val="2"/>
        </w:numPr>
        <w:spacing w:after="80" w:line="280"/>
      </w:pPr>
      <w:r>
        <w:rPr>
          <w:sz w:val="22"/>
          <w:szCs w:val="22"/>
        </w:rPr>
        <w:t xml:space="preserve">2025年公司调整主营业务分类口径，由原来的高科技产业工程服务、数字供热与新能源服务、其他产业服务等分类，调整为洁净室整体解决方案、洁净室专业化产品服务、数字与信息服务、数字供热与新能源服务、其他产业服务；跨年度比较需注意统计口径变化。</w:t>
      </w:r>
    </w:p>
    <w:p>
      <w:pPr>
        <w:pStyle w:val="ListParagraph"/>
        <w:numPr>
          <w:ilvl w:val="0"/>
          <w:numId w:val="2"/>
        </w:numPr>
        <w:spacing w:after="80" w:line="280"/>
      </w:pPr>
      <w:r>
        <w:rPr>
          <w:sz w:val="22"/>
          <w:szCs w:val="22"/>
        </w:rPr>
        <w:t xml:space="preserve">公司不存在类似钢铁、煤炭或化工企业的实物产能和资源储备，其所谓产能主要体现为工程设计能力、项目管理能力、技术人员规模、专业资质、客户资源和在手工程项目，不能直接与制造业设备产能比较。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柏诚股份（601133）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高科技产业洁净室系统集成商，覆盖半导体、泛半导体、新型显示、生命科学、食品药品和新能源等领域。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深桑达A均服务高科技制造客户并提供洁净室系统集成、工程设计和施工服务。柏诚股份业务更聚焦洁净室系统集成；深桑达A规模更大，业务覆盖EPC总承包、数字基础设施、数据中心、水处理和数字政府，综合性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亚翔集成（603929）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主要从事IC半导体、光电、食品医药、云计算中心等领域的洁净室、机电和建筑工程服务。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端洁净室工程和半导体工程方面具有品牌和项目经验，海外业务尤其是新加坡市场具有一定规模；2024年电子行业收入占比超过99%。相比之下，深桑达A业务更综合，在项目规模、央企客户覆盖、数字云和数据服务方面更具综合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圣晖集成（603163）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主要从事IC半导体、光电、精密制造等领域的洁净室工程及相关机电工程。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业务集中在洁净室工程，以系统集成、二次配和机电工程为主，规模小于深桑达A但业务纯度更高；缺少大型数字云、数据中心、数字政府和综合产业服务业务。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太极实业（600667）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同时涉及集成电路制造、半导体工程技术服务和工程承包。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拥有半导体制造相关业务，产业链更靠近芯片制造；深桑达A更偏洁净室工程、产业服务和数字基础设施。两者均受半导体资本开支周期影响，但收入结构不同。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浪潮信息（000977）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服务器、算力基础设施及云计算硬件。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与深桑达A数字与信息服务板块部分可比，产品化程度、规模效应和市场知名度通常高于深桑达A；并非深桑达A整体业务的完全同质竞争对手。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紫光股份（000938）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网络设备、服务器、存储、云计算和企业数字化解决方案。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与深桑达A数字与信息服务板块部分可比，数字基础设施和企业数字化业务规模及产品化程度通常更强；并非深桑达A整体业务的完全同质竞争对手。</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深信服（300454）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云计算、网络安全和企业级数字化产品。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与深桑达A数字与信息服务板块部分可比，产品化和市场化程度较高；深桑达A相对优势在于央企客户、政务和关键行业场景、国产化适配及工程交付能力。</w:t>
            </w:r>
          </w:p>
        </w:tc>
      </w:tr>
    </w:tbl>
    <w:p>
      <w:pPr>
        <w:spacing w:before="200"/>
      </w:pPr>
    </w:p>
    <w:p>
      <w:pPr>
        <w:spacing w:after="160" w:line="300"/>
      </w:pPr>
      <w:r>
        <w:rPr>
          <w:sz w:val="22"/>
          <w:szCs w:val="22"/>
        </w:rPr>
        <w:t xml:space="preserve">深桑达A与柏诚股份、亚翔集成、圣晖集成等公司在高科技洁净室工程领域存在可比性，但深桑达A业务覆盖EPC总承包、数字基础设施、数据中心、水处理、数字政府和数字云服务，业务综合性高于洁净室工程纯度较高的可比公司；与太极实业相比，公司不具备半导体制造业务，产业链位置更偏工程和产业服务。与浪潮信息、紫光股份、深信服相比，公司仅在数字与信息服务板块存在部分可比，相关公司在产品化程度、规模效应和市场知名度方面通常更强，而深桑达A在央企客户、政务和关键行业场景、国产化适配及工程交付方面具有相对优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洁净室及高科技产业工程业务毛利率继续下滑的风险：该板块2025年毛利率已降至8.38%，较2024年下降1.03个百分点；设备材料、人工、专业分包和项目管理成本占比较大，公司对上游供应商和分包商缺乏明显定价权，若项目价格竞争加剧或成本控制不及预期，可能继续压缩利润。</w:t>
      </w:r>
    </w:p>
    <w:p>
      <w:pPr>
        <w:pStyle w:val="ListParagraph"/>
        <w:numPr>
          <w:ilvl w:val="0"/>
          <w:numId w:val="2"/>
        </w:numPr>
        <w:spacing w:after="80" w:line="280"/>
      </w:pPr>
      <w:r>
        <w:rPr>
          <w:sz w:val="22"/>
          <w:szCs w:val="22"/>
        </w:rPr>
        <w:t xml:space="preserve">工程项目回款和资金占用风险：截至2025年末合同资产约328.81亿元，其中洁净室服务合同资产约311.81亿元；2025年经营活动现金流量净额为负29.66亿元，2026年上半年仍净流出15.03亿元。合同资产并不等同于现金回收，若客户延迟付款、工程结算周期拉长或质量保证金回收不及预期，可能加重资金压力。</w:t>
      </w:r>
    </w:p>
    <w:p>
      <w:pPr>
        <w:pStyle w:val="ListParagraph"/>
        <w:numPr>
          <w:ilvl w:val="0"/>
          <w:numId w:val="2"/>
        </w:numPr>
        <w:spacing w:after="80" w:line="280"/>
      </w:pPr>
      <w:r>
        <w:rPr>
          <w:sz w:val="22"/>
          <w:szCs w:val="22"/>
        </w:rPr>
        <w:t xml:space="preserve">全年扭亏不及机构预测的风险：公司2026年上半年归母净利润亏损2.084亿元，而机构预测全年归母净利润为2.12亿至3.21亿元，意味着下半年需实现约4.20亿至5.29亿元归母净利润；若洁净室业务毛利率、项目确认节奏或数字业务减亏不达预期，全年盈利预测可能无法实现。</w:t>
      </w:r>
    </w:p>
    <w:p>
      <w:pPr>
        <w:pStyle w:val="ListParagraph"/>
        <w:numPr>
          <w:ilvl w:val="0"/>
          <w:numId w:val="2"/>
        </w:numPr>
        <w:spacing w:after="80" w:line="280"/>
      </w:pPr>
      <w:r>
        <w:rPr>
          <w:sz w:val="22"/>
          <w:szCs w:val="22"/>
        </w:rPr>
        <w:t xml:space="preserve">数字与信息服务业务持续亏损的风险：该业务2025年收入仅24.70亿元，占总收入5.02%，虽毛利率约34.73%，但2026年上半年仍处于经营亏损状态。若研发投入、市场拓展和项目交付成本较高，而自研云平台、虚拟化、超融合及数据服务的商业化规模不足，业务可能继续拖累公司利润。</w:t>
      </w:r>
    </w:p>
    <w:p>
      <w:pPr>
        <w:pStyle w:val="ListParagraph"/>
        <w:numPr>
          <w:ilvl w:val="0"/>
          <w:numId w:val="2"/>
        </w:numPr>
        <w:spacing w:after="80" w:line="280"/>
      </w:pPr>
      <w:r>
        <w:rPr>
          <w:sz w:val="22"/>
          <w:szCs w:val="22"/>
        </w:rPr>
        <w:t xml:space="preserve">税务及非经常性损益冲击风险：下属公司2026年上半年补缴企业所得税1.085595亿元并缴纳滞纳金1291.77万元，预计减少公司2026年度归母净利润约6195.34万元。后续若出现类似补税、滞纳金或其他非经常性支出，可能进一步放大利润波动。</w:t>
      </w:r>
    </w:p>
    <w:p>
      <w:pPr>
        <w:pStyle w:val="ListParagraph"/>
        <w:numPr>
          <w:ilvl w:val="0"/>
          <w:numId w:val="2"/>
        </w:numPr>
        <w:spacing w:after="80" w:line="280"/>
      </w:pPr>
      <w:r>
        <w:rPr>
          <w:sz w:val="22"/>
          <w:szCs w:val="22"/>
        </w:rPr>
        <w:t xml:space="preserve">项目需求周期和客户议价风险：公司高科技产业工程需求依赖半导体、显示面板、新能源、生物医药和数据中心等资本开支，具有周期性；项目通常采用招投标模式，客户对价格、工期、质量和结算条件议价能力较强，项目储备不一定能够按预期转化为收入和利润。</w:t>
      </w:r>
    </w:p>
    <w:p>
      <w:pPr>
        <w:pStyle w:val="ListParagraph"/>
        <w:numPr>
          <w:ilvl w:val="0"/>
          <w:numId w:val="2"/>
        </w:numPr>
        <w:spacing w:after="80" w:line="280"/>
      </w:pPr>
      <w:r>
        <w:rPr>
          <w:sz w:val="22"/>
          <w:szCs w:val="22"/>
        </w:rPr>
        <w:t xml:space="preserve">资产处置未能按计划完成的风险：中国系统拟转让工大科雅10.54%股份，以及二次挂牌出售中电洲际、中电富伦和中电武强热力相关股权，均存在交易无法成交、最终价格不确定或交割时间不确定的情况，相关处置对业务结构和现金回收的影响存在不确定性。</w:t>
      </w:r>
    </w:p>
    <w:p>
      <w:pPr>
        <w:pStyle w:val="ListParagraph"/>
        <w:numPr>
          <w:ilvl w:val="0"/>
          <w:numId w:val="2"/>
        </w:numPr>
        <w:spacing w:after="80" w:line="280"/>
      </w:pPr>
      <w:r>
        <w:rPr>
          <w:sz w:val="22"/>
          <w:szCs w:val="22"/>
        </w:rPr>
        <w:t xml:space="preserve">短期股价和流动性继续偏弱的风险：截至2026年9月11日股价低于MA10、MA20及布林中轨，MACD和RSI均显示短中期偏弱；9月1日至4日主力资金连续净流出合计约1.96亿元，融资余额较9月初回落。若股价跌破13.30元并伴随成交额放大，技术面可能进一步考验13.10元附近及52周低点12.22元区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高科技制造投资、半导体及显示面板等客户的洁净室和厂务工程需求，以及中国电子体系在政务、关键行业、国产化适配和数字基础设施领域的资源与项目能力。公司拥有较大规模的未完工项目和东南亚项目储备，数字与信息服务毛利率也显著高于工程业务；若能够提升设计咨询、专业化产品、水处理、智能工厂、智能运维和云服务收入占比，并改善采购、分包和项目管理效率，收入结构和盈利能力仍存在改善空间。</w:t>
      </w:r>
    </w:p>
    <w:p>
      <w:pPr>
        <w:spacing w:after="160" w:line="300"/>
      </w:pPr>
      <w:r>
        <w:rPr>
          <w:sz w:val="22"/>
          <w:szCs w:val="22"/>
        </w:rPr>
        <w:t xml:space="preserve">但现阶段公司面临收入规模波动、工程毛利率下行、数字业务亏损和现金流承压的多重约束。2026年上半年营业成本增速高于收入增速，洁净室业务竞争加剧，且补缴企业所得税及滞纳金预计减少2026年度归母净利润约6195.34万元。后续业绩能否修复，需重点观察洁净室项目毛利率、订单确认与交付节奏、合同资产回收及经营现金流变化，以及数字与信息服务能否持续减亏。</w:t>
      </w:r>
    </w:p>
    <w:p>
      <w:pPr>
        <w:spacing w:after="160" w:line="300"/>
      </w:pPr>
      <w:r>
        <w:rPr>
          <w:sz w:val="22"/>
          <w:szCs w:val="22"/>
        </w:rPr>
        <w:t xml:space="preserve">估值和技术面均对盈利修复较为敏感。公司滚动口径仍处于亏损，当前不适合以静态市盈率进行判断；按机构预测均值测算，2026年至2028年前瞻市盈率约为63倍、36倍和27倍，且2026年预测高度依赖下半年扭亏。短期股价能否改善，还需结合13.30~13.60元区域的承接、14.00~14.25元压力区的突破情况以及成交量变化综合观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https://disc.static.szse.cn/disc/disk03/finalpage/2026-04-28/949b5b4c-be6a-4b86-9d8a-90e1b21aa5b6.PDF — https://disc.static.szse.cn/disc/disk03/finalpage/2026-04-28/949b5b4c-be6a-4b86-9d8a-90e1b21aa5b6.PDF</w:t>
      </w:r>
    </w:p>
    <w:p>
      <w:pPr>
        <w:spacing w:after="200"/>
      </w:pPr>
      <w:r>
        <w:rPr>
          <w:i/>
          <w:iCs/>
          <w:color w:val="595959"/>
          <w:sz w:val="18"/>
          <w:szCs w:val="18"/>
        </w:rPr>
        <w:t xml:space="preserve">https://disc.static.szse.cn/disc/disk03/finalpage/2025-04-24/e83b37be-35f1-42af-ae8a-8fd2cdaa9c1d.PDF — https://disc.static.szse.cn/disc/disk03/finalpage/2025-04-24/e83b37be-35f1-42af-ae8a-8fd2cdaa9c1d.PDF</w:t>
      </w:r>
    </w:p>
    <w:p>
      <w:pPr>
        <w:spacing w:after="200"/>
      </w:pPr>
      <w:r>
        <w:rPr>
          <w:i/>
          <w:iCs/>
          <w:color w:val="595959"/>
          <w:sz w:val="18"/>
          <w:szCs w:val="18"/>
        </w:rPr>
        <w:t xml:space="preserve">柏诚股份(601133)_公司公告_柏诚股份：2024年年度报告摘要新浪财经_新浪网 — https://money.finance.sina.com.cn/corp/view/vCB_AllBulletinDetail.php?id=10918019&amp;stockid=601133&amp;utm_source=openai</w:t>
      </w:r>
    </w:p>
    <w:p>
      <w:pPr>
        <w:spacing w:after="200"/>
      </w:pPr>
      <w:r>
        <w:rPr>
          <w:i/>
          <w:iCs/>
          <w:color w:val="595959"/>
          <w:sz w:val="18"/>
          <w:szCs w:val="18"/>
        </w:rPr>
        <w:t xml:space="preserve">亚翔集成(603929)_公司公告_亚翔集成：2024年度年度报告全文新浪财经_新浪网 — https://vip.stock.finance.sina.com.cn/corp/view/vCB_AllBulletinDetail.php?id=10783490&amp;stockid=603929&amp;utm_source=openai</w:t>
      </w:r>
    </w:p>
    <w:p>
      <w:pPr>
        <w:spacing w:after="200"/>
      </w:pPr>
      <w:r>
        <w:rPr>
          <w:i/>
          <w:iCs/>
          <w:color w:val="595959"/>
          <w:sz w:val="18"/>
          <w:szCs w:val="18"/>
        </w:rPr>
        <w:t xml:space="preserve">圣晖系统集成集团股份有限公司2024年年度报告 — https://static.cninfo.com.cn/finalpage/2025-03-29/1222945761.PDF?utm_source=openai</w:t>
      </w:r>
    </w:p>
    <w:p>
      <w:pPr>
        <w:spacing w:after="200"/>
      </w:pPr>
      <w:r>
        <w:rPr>
          <w:i/>
          <w:iCs/>
          <w:color w:val="595959"/>
          <w:sz w:val="18"/>
          <w:szCs w:val="18"/>
        </w:rPr>
        <w:t xml:space="preserve">深桑达A(000032)_公司公告_深桑达A：2026年半年度报告摘要新浪财经_新浪网 — https://money.finance.sina.com.cn/corp/view/vCB_AllBulletinDetail.php?id=12551591&amp;stockid=000032</w:t>
      </w:r>
    </w:p>
    <w:p>
      <w:pPr>
        <w:spacing w:after="200"/>
      </w:pPr>
      <w:r>
        <w:rPr>
          <w:i/>
          <w:iCs/>
          <w:color w:val="595959"/>
          <w:sz w:val="18"/>
          <w:szCs w:val="18"/>
        </w:rPr>
        <w:t xml:space="preserve">深桑达A(000032)_公司公告_深桑达A：关于2026年第三次临时股东会取消部分议案暨补充通知的公告新浪财经_新浪网 — https://money.finance.sina.com.cn/corp/view/vCB_AllBulletinDetail.php?id=12593363&amp;stockid=000032</w:t>
      </w:r>
    </w:p>
    <w:p>
      <w:pPr>
        <w:spacing w:after="200"/>
      </w:pPr>
      <w:r>
        <w:rPr>
          <w:i/>
          <w:iCs/>
          <w:color w:val="595959"/>
          <w:sz w:val="18"/>
          <w:szCs w:val="18"/>
        </w:rPr>
        <w:t xml:space="preserve">https://disc.static.szse.cn/disc/disk03/finalpage/2026-07-14/a0260351-77e6-40cd-b87a-ea3f22932f2d.PDF — https://disc.static.szse.cn/disc/disk03/finalpage/2026-07-14/a0260351-77e6-40cd-b87a-ea3f22932f2d.PDF</w:t>
      </w:r>
    </w:p>
    <w:p>
      <w:pPr>
        <w:spacing w:after="200"/>
      </w:pPr>
      <w:r>
        <w:rPr>
          <w:i/>
          <w:iCs/>
          <w:color w:val="595959"/>
          <w:sz w:val="18"/>
          <w:szCs w:val="18"/>
        </w:rPr>
        <w:t xml:space="preserve">深桑达A(000032)_公司公告_深桑达A：2026年半年度报告新浪财经_新浪网 — https://money.finance.sina.com.cn/corp/view/vCB_AllBulletinDetail.php?id=12551632&amp;stockid=000032</w:t>
      </w:r>
    </w:p>
    <w:p>
      <w:pPr>
        <w:spacing w:after="200"/>
      </w:pPr>
      <w:r>
        <w:rPr>
          <w:i/>
          <w:iCs/>
          <w:color w:val="595959"/>
          <w:sz w:val="18"/>
          <w:szCs w:val="18"/>
        </w:rPr>
        <w:t xml:space="preserve">https://disc.static.szse.cn/disc/disk03/finalpage/2026-08-19/45b1c6c0-642f-467e-8635-5eab9fe22b8a.PDF — https://disc.static.szse.cn/disc/disk03/finalpage/2026-08-19/45b1c6c0-642f-467e-8635-5eab9fe22b8a.PDF</w:t>
      </w:r>
    </w:p>
    <w:p>
      <w:pPr>
        <w:spacing w:after="200"/>
      </w:pPr>
      <w:r>
        <w:rPr>
          <w:i/>
          <w:iCs/>
          <w:color w:val="595959"/>
          <w:sz w:val="18"/>
          <w:szCs w:val="18"/>
        </w:rPr>
        <w:t xml:space="preserve">https://disc.static.szse.cn/disc/disk03/finalpage/2026-08-22/1f48d16b-e8c5-443e-9f0c-849cad6d8a33.PDF — https://disc.static.szse.cn/disc/disk03/finalpage/2026-08-22/1f48d16b-e8c5-443e-9f0c-849cad6d8a33.PDF</w:t>
      </w:r>
    </w:p>
    <w:p>
      <w:pPr>
        <w:spacing w:after="200"/>
      </w:pPr>
      <w:r>
        <w:rPr>
          <w:i/>
          <w:iCs/>
          <w:color w:val="595959"/>
          <w:sz w:val="18"/>
          <w:szCs w:val="18"/>
        </w:rPr>
        <w:t xml:space="preserve">https://disc.static.szse.cn/disc/disk03/finalpage/2026-08-22/8ac6096b-19eb-4d48-908d-1705cca24aa1.PDF — https://disc.static.szse.cn/disc/disk03/finalpage/2026-08-22/8ac6096b-19eb-4d48-908d-1705cca24aa1.PDF</w:t>
      </w:r>
    </w:p>
    <w:p>
      <w:pPr>
        <w:spacing w:after="200"/>
      </w:pPr>
      <w:r>
        <w:rPr>
          <w:i/>
          <w:iCs/>
          <w:color w:val="595959"/>
          <w:sz w:val="18"/>
          <w:szCs w:val="18"/>
        </w:rPr>
        <w:t xml:space="preserve">深桑达A(000032)_公司公告_深桑达A：关于出售中电武强热力有限公司100%股权的进展公告新浪财经_新浪网 — https://money.finance.sina.com.cn/corp/view/vCB_AllBulletinDetail.php?id=12516270&amp;stockid=000032</w:t>
      </w:r>
    </w:p>
    <w:p>
      <w:pPr>
        <w:spacing w:after="200"/>
      </w:pPr>
      <w:r>
        <w:rPr>
          <w:i/>
          <w:iCs/>
          <w:color w:val="595959"/>
          <w:sz w:val="18"/>
          <w:szCs w:val="18"/>
        </w:rPr>
        <w:t xml:space="preserve">深桑达A(000032)公司公告_新浪财经_新浪网 — https://money.finance.sina.com.cn/corp/go.php/vCB_AllBulletin/stockid/000032.phtml</w:t>
      </w:r>
    </w:p>
    <w:p>
      <w:pPr>
        <w:spacing w:after="200"/>
      </w:pPr>
      <w:r>
        <w:rPr>
          <w:i/>
          <w:iCs/>
          <w:color w:val="595959"/>
          <w:sz w:val="18"/>
          <w:szCs w:val="18"/>
        </w:rPr>
        <w:t xml:space="preserve">证券代码：000032　　证券简称：深桑达A　　公告编号：2026-044 — https://static.cninfo.com.cn/finalpage/2026-06-15/1225369265.PDF?utm_source=openai</w:t>
      </w:r>
    </w:p>
    <w:p>
      <w:pPr>
        <w:spacing w:after="200"/>
      </w:pPr>
      <w:r>
        <w:rPr>
          <w:i/>
          <w:iCs/>
          <w:color w:val="595959"/>
          <w:sz w:val="18"/>
          <w:szCs w:val="18"/>
        </w:rPr>
        <w:t xml:space="preserve">2024/4/18
星期四
B137
Disclosure
信息披露
证券代码：000032$ $ — https://epaper.cs.com.cn/zgzqb/images/2024-04/18/B137/zqB13718.pdf?utm_source=openai</w:t>
      </w:r>
    </w:p>
    <w:p>
      <w:pPr>
        <w:spacing w:after="200"/>
      </w:pPr>
      <w:r>
        <w:rPr>
          <w:i/>
          <w:iCs/>
          <w:color w:val="595959"/>
          <w:sz w:val="18"/>
          <w:szCs w:val="18"/>
        </w:rPr>
        <w:t xml:space="preserve">深桑达A (000032) - 历史交易数据 | 打板客网 — https://dabanke.com/hangqing-000032.html</w:t>
      </w:r>
    </w:p>
    <w:p>
      <w:pPr>
        <w:spacing w:after="200"/>
      </w:pPr>
      <w:r>
        <w:rPr>
          <w:i/>
          <w:iCs/>
          <w:color w:val="595959"/>
          <w:sz w:val="18"/>
          <w:szCs w:val="18"/>
        </w:rPr>
        <w:t xml:space="preserve">深桑达A(000032)市盈率|估值|基本面 - 理杏仁 — https://www.lixinger.com/equity/company/detail/sz/000032/32/fundamental/valuation/pe-ttm?utm_source=openai</w:t>
      </w:r>
    </w:p>
    <w:p>
      <w:pPr>
        <w:spacing w:after="200"/>
      </w:pPr>
      <w:r>
        <w:rPr>
          <w:i/>
          <w:iCs/>
          <w:color w:val="595959"/>
          <w:sz w:val="18"/>
          <w:szCs w:val="18"/>
        </w:rPr>
        <w:t xml:space="preserve">深桑达Ａ(000032)股票行情走势技术分析_未来预测_买卖操作建议_英为财情Investing.com — https://cn.investing.com/equities/sz-sed-ind-a-technical?utm_source=openai</w:t>
      </w:r>
    </w:p>
    <w:p>
      <w:pPr>
        <w:spacing w:after="200"/>
      </w:pPr>
      <w:r>
        <w:rPr>
          <w:i/>
          <w:iCs/>
          <w:color w:val="595959"/>
          <w:sz w:val="18"/>
          <w:szCs w:val="18"/>
        </w:rPr>
        <w:t xml:space="preserve">深桑达A(000032)个股分析_牛叉诊股_同花顺财经 — https://doctor.10jqka.com.cn/000032/</w:t>
      </w:r>
    </w:p>
    <w:p>
      <w:pPr>
        <w:spacing w:after="200"/>
      </w:pPr>
      <w:r>
        <w:rPr>
          <w:i/>
          <w:iCs/>
          <w:color w:val="595959"/>
          <w:sz w:val="18"/>
          <w:szCs w:val="18"/>
        </w:rPr>
        <w:t xml:space="preserve">深桑达Ａ(000032) - 股票行情中心 - 搜狐证券 — https://q.stock.sohu.com/cn/000032/index.shtml</w:t>
      </w:r>
    </w:p>
    <w:p>
      <w:pPr>
        <w:spacing w:after="200"/>
      </w:pPr>
      <w:r>
        <w:rPr>
          <w:i/>
          <w:iCs/>
          <w:color w:val="595959"/>
          <w:sz w:val="18"/>
          <w:szCs w:val="18"/>
        </w:rPr>
        <w:t xml:space="preserve">深桑达A(000032) 股东研究_F10_同花顺金融服务网 — https://basic.10jqka.com.cn/000032/holder.html?utm_source=openai</w:t>
      </w:r>
    </w:p>
    <w:p>
      <w:pPr>
        <w:spacing w:after="200"/>
      </w:pPr>
      <w:r>
        <w:rPr>
          <w:i/>
          <w:iCs/>
          <w:color w:val="595959"/>
          <w:sz w:val="18"/>
          <w:szCs w:val="18"/>
        </w:rPr>
        <w:t xml:space="preserve">本报告由AI基于公开渠道信息自动检索、整理并生成，信息截至 行情数据截至2026年9月11日收盘；均线、MACD和RSI主要截至2026年9月10日，布林带为基于截至2026年9月11日近20个交易日收盘价计算的近似值；股东数据截至2026年6月30日，主力资金数据截至2026年9月4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2026-09-13T14:01:50.660Z</dcterms:created>
  <dcterms:modified xsi:type="dcterms:W3CDTF">2026-09-13T14:01:50.660Z</dcterms:modified>
</cp:coreProperties>
</file>

<file path=docProps/custom.xml><?xml version="1.0" encoding="utf-8"?>
<Properties xmlns="http://schemas.openxmlformats.org/officeDocument/2006/custom-properties" xmlns:vt="http://schemas.openxmlformats.org/officeDocument/2006/docPropsVTypes"/>
</file>