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中国国际海运集装箱（集团）股份有限公司（中集集团） (000039)</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行业：物流及能源装备</w:t>
      </w:r>
    </w:p>
    <w:p>
      <w:pPr>
        <w:jc w:val="center"/>
      </w:pPr>
      <w:r>
        <w:rPr>
          <w:color w:val="595959"/>
          <w:sz w:val="22"/>
          <w:szCs w:val="22"/>
        </w:rPr>
        <w:t xml:space="preserve">报告日期：2026年9月14日</w:t>
      </w:r>
    </w:p>
    <w:p>
      <w:pPr>
        <w:jc w:val="center"/>
      </w:pPr>
      <w:r>
        <w:rPr>
          <w:color w:val="595959"/>
          <w:sz w:val="20"/>
          <w:szCs w:val="20"/>
        </w:rPr>
        <w:t xml:space="preserve">截至2026年9月11日收盘；2026年9月14日页面为盘中延迟行情，不作为最新收盘价</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中集集团最新业绩呈现“收入恢复、利润下滑”：2026年上半年营业收入789.13亿元，同比增长3.71%，但归母净利润仅7.395亿元，同比下降42.14%，扣非归母净利润下降46.40%至6.648亿元，经营活动现金流量净额为-5.60亿元。利润承压主要来自集装箱制造盈利下滑，以及人民币升值导致的汇兑损失和套期保值损失；相关损失合计约8.12亿元，半年报数据未经审计。</w:t>
      </w:r>
    </w:p>
    <w:p>
      <w:pPr>
        <w:spacing w:after="160" w:line="300"/>
      </w:pPr>
      <w:r>
        <w:rPr>
          <w:sz w:val="22"/>
          <w:szCs w:val="22"/>
        </w:rPr>
        <w:t xml:space="preserve">公司业务横跨物流装备、道路运输车辆、能源装备、海洋工程、机场及物流装备和金融及资产管理，标准集装箱、普通运输装备及物流服务构成规模基本盘，高端海工、能源装备、罐式集装箱和智能物流装备提供结构升级空间。2026年上半年海工、能源装备及中集车辆表现相对较强，其中海工业务净利润改善明显；公司披露海工业务一季度生效合同额约7.5亿美元，模块化数据中心已扩充至三大基地，但该业务2025年收入占集团总收入比例远低于1%，短期贡献仍有限。</w:t>
      </w:r>
    </w:p>
    <w:p>
      <w:pPr>
        <w:spacing w:after="160" w:line="300"/>
      </w:pPr>
      <w:r>
        <w:rPr>
          <w:sz w:val="22"/>
          <w:szCs w:val="22"/>
        </w:rPr>
        <w:t xml:space="preserve">公司盈利波动较大，2025年营业收入1566.11亿元，同比下降11.85%，归母净利润仅2.21亿元；2022—2025年综合毛利率由约15.28%降至约12.45%，反映标准化制造和物流相关业务的周期性及竞争压力。当前市场更关注海工订单交付、能源装备订单兑现、集装箱业务利润率修复以及汇率影响能否收窄；机构对2026年归母净利润预测均值约29.35亿元，但预测区间为21.67亿至40.13亿元，分歧较大。</w:t>
      </w:r>
    </w:p>
    <w:p>
      <w:pPr>
        <w:spacing w:after="160" w:line="300"/>
      </w:pPr>
      <w:r>
        <w:rPr>
          <w:sz w:val="22"/>
          <w:szCs w:val="22"/>
        </w:rPr>
        <w:t xml:space="preserve">截至2026年9月11日，A股收盘价为9.17元，低于MA5、MA10和MA20，处于布林带中轨下方但尚未达到明显技术性超卖区域。9.00—9.15元为近期支撑观察区，8.75—8.85元接近布林带下轨，9.40—9.60元为短期压力区；成交额约2.97亿元、换手率1.40%，尚不足以确认强势资金持续介入。</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000039</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中集集团</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H股代码及上市地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02039，香港联交所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英文简称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CIMC</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总部</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广东省深圳市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全球领先的物流及能源装备和服务提供商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资料截至日期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2026年3月27日；主要依据2025年年度报告及此前披露的2024年年度报告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全球运营网络</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生产基地遍布亚洲、欧洲、北美和澳洲，品牌销售网络覆盖100多个国家和地区</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物流装备及服务：集装箱制造、道路运输车辆、物流服务、空港与物流装备、消防与救援设备、循环载具</w:t>
      </w:r>
    </w:p>
    <w:p>
      <w:pPr>
        <w:pStyle w:val="ListParagraph"/>
        <w:numPr>
          <w:ilvl w:val="0"/>
          <w:numId w:val="2"/>
        </w:numPr>
        <w:spacing w:after="80" w:line="280"/>
      </w:pPr>
      <w:r>
        <w:rPr>
          <w:sz w:val="22"/>
          <w:szCs w:val="22"/>
        </w:rPr>
        <w:t xml:space="preserve">能源装备：能源、化工及液态食品装备</w:t>
      </w:r>
    </w:p>
    <w:p>
      <w:pPr>
        <w:pStyle w:val="ListParagraph"/>
        <w:numPr>
          <w:ilvl w:val="0"/>
          <w:numId w:val="2"/>
        </w:numPr>
        <w:spacing w:after="80" w:line="280"/>
      </w:pPr>
      <w:r>
        <w:rPr>
          <w:sz w:val="22"/>
          <w:szCs w:val="22"/>
        </w:rPr>
        <w:t xml:space="preserve">海洋工程：FPSO、FLNG、FPU、钻井平台、海上风电安装船及其他特种船等</w:t>
      </w:r>
    </w:p>
    <w:p>
      <w:pPr>
        <w:pStyle w:val="ListParagraph"/>
        <w:numPr>
          <w:ilvl w:val="0"/>
          <w:numId w:val="2"/>
        </w:numPr>
        <w:spacing w:after="80" w:line="280"/>
      </w:pPr>
      <w:r>
        <w:rPr>
          <w:sz w:val="22"/>
          <w:szCs w:val="22"/>
        </w:rPr>
        <w:t xml:space="preserve">金融及资产管理：集团内部资金管理、产业链融资和装备业务协同</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中集集团位于物流及能源装备产业链的中游制造和系统集成环节，业务覆盖标准化装备、特种装备、工程项目和物流服务。标准集装箱及普通运输装备规模较大、周期性较强；罐箱、能源装备、机场装备和高端海工则更依赖技术、认证、工程管理和交付能力。</w:t>
      </w:r>
    </w:p>
    <w:p>
      <w:pPr>
        <w:pStyle w:val="ListParagraph"/>
        <w:numPr>
          <w:ilvl w:val="0"/>
          <w:numId w:val="2"/>
        </w:numPr>
        <w:spacing w:after="80" w:line="280"/>
      </w:pPr>
      <w:r>
        <w:rPr>
          <w:sz w:val="22"/>
          <w:szCs w:val="22"/>
        </w:rPr>
        <w:t xml:space="preserve">主要原材料包括钢材、铝材和木材；集装箱业务还采购板材、型材、角件、锁具、地板、涂料和制冷系统。</w:t>
      </w:r>
    </w:p>
    <w:p>
      <w:pPr>
        <w:pStyle w:val="ListParagraph"/>
        <w:numPr>
          <w:ilvl w:val="0"/>
          <w:numId w:val="2"/>
        </w:numPr>
        <w:spacing w:after="80" w:line="280"/>
      </w:pPr>
      <w:r>
        <w:rPr>
          <w:sz w:val="22"/>
          <w:szCs w:val="22"/>
        </w:rPr>
        <w:t xml:space="preserve">道路运输车辆涉及车桥、车轴、轮胎、悬挂系统、制动系统及车身材料；能源装备和海工涉及压力容器及装备钢材、焊材、阀门、仪表、动力系统、船舶主机、推进系统、起重设备和海工专用设备。</w:t>
      </w:r>
    </w:p>
    <w:p>
      <w:pPr>
        <w:pStyle w:val="ListParagraph"/>
        <w:numPr>
          <w:ilvl w:val="0"/>
          <w:numId w:val="2"/>
        </w:numPr>
        <w:spacing w:after="80" w:line="280"/>
      </w:pPr>
      <w:r>
        <w:rPr>
          <w:sz w:val="22"/>
          <w:szCs w:val="22"/>
        </w:rPr>
        <w:t xml:space="preserve">机场及自动化物流装备涉及钢结构、驱动系统、电控系统和自动化部件。</w:t>
      </w:r>
    </w:p>
    <w:p>
      <w:pPr>
        <w:pStyle w:val="ListParagraph"/>
        <w:numPr>
          <w:ilvl w:val="0"/>
          <w:numId w:val="2"/>
        </w:numPr>
        <w:spacing w:after="80" w:line="280"/>
      </w:pPr>
      <w:r>
        <w:rPr>
          <w:sz w:val="22"/>
          <w:szCs w:val="22"/>
        </w:rPr>
        <w:t xml:space="preserve">钢材、铝材等基础材料价格受大宗商品价格影响，公司整体上是部分成本项目的价格接受者；但在标准集装箱和普通车辆制造中，公司凭借采购规模和供应链管理能力，对供应商具有一定集中采购能力。</w:t>
      </w:r>
    </w:p>
    <w:p>
      <w:pPr>
        <w:pStyle w:val="ListParagraph"/>
        <w:numPr>
          <w:ilvl w:val="0"/>
          <w:numId w:val="2"/>
        </w:numPr>
        <w:spacing w:after="80" w:line="280"/>
      </w:pPr>
      <w:r>
        <w:rPr>
          <w:sz w:val="22"/>
          <w:szCs w:val="22"/>
        </w:rPr>
        <w:t xml:space="preserve">高端海工、压力容器和特种装备更看重技术认证、项目质量、交付能力和供应链稳定性，成本议价不完全取决于材料价格。</w:t>
      </w:r>
    </w:p>
    <w:p>
      <w:pPr>
        <w:pStyle w:val="ListParagraph"/>
        <w:numPr>
          <w:ilvl w:val="0"/>
          <w:numId w:val="2"/>
        </w:numPr>
        <w:spacing w:after="80" w:line="280"/>
      </w:pPr>
      <w:r>
        <w:rPr>
          <w:sz w:val="22"/>
          <w:szCs w:val="22"/>
        </w:rPr>
        <w:t xml:space="preserve">2024年年报披露口径下，前五大供应商采购额约248.67亿元，占总采购额约18.13%。该数据来自公开财务数据整理，具体供应商名称及业务对应关系仍应以公司年报原始表格为准。</w:t>
      </w:r>
    </w:p>
    <w:p>
      <w:pPr>
        <w:pStyle w:val="ListParagraph"/>
        <w:numPr>
          <w:ilvl w:val="0"/>
          <w:numId w:val="2"/>
        </w:numPr>
        <w:spacing w:after="80" w:line="280"/>
      </w:pPr>
      <w:r>
        <w:rPr>
          <w:sz w:val="22"/>
          <w:szCs w:val="22"/>
        </w:rPr>
        <w:t xml:space="preserve">下游客户包括集装箱船公司、集装箱租赁公司、国际物流及货代企业、港口运营商、能源化工和液态食品企业、汽车及新能源产业链客户、车队及物流企业、石油公司、海工承包商、船东、机场、航空公司、机场建设单位、政府消防救援部门及大型工业客户。</w:t>
      </w:r>
    </w:p>
    <w:p>
      <w:pPr>
        <w:pStyle w:val="ListParagraph"/>
        <w:numPr>
          <w:ilvl w:val="0"/>
          <w:numId w:val="2"/>
        </w:numPr>
        <w:spacing w:after="80" w:line="280"/>
      </w:pPr>
      <w:r>
        <w:rPr>
          <w:sz w:val="22"/>
          <w:szCs w:val="22"/>
        </w:rPr>
        <w:t xml:space="preserve">集装箱制造标准化程度较高，客户主要为大型航运公司和箱租赁公司，采购规模大、议价能力较强；标准干箱价格竞争明显，公司主要依靠规模、交付速度和全球服务网络形成竞争优势。</w:t>
      </w:r>
    </w:p>
    <w:p>
      <w:pPr>
        <w:pStyle w:val="ListParagraph"/>
        <w:numPr>
          <w:ilvl w:val="0"/>
          <w:numId w:val="2"/>
        </w:numPr>
        <w:spacing w:after="80" w:line="280"/>
      </w:pPr>
      <w:r>
        <w:rPr>
          <w:sz w:val="22"/>
          <w:szCs w:val="22"/>
        </w:rPr>
        <w:t xml:space="preserve">道路运输车辆客户对价格、交付周期、售后服务和全生命周期成本敏感；北美和欧洲成熟市场对品牌、渠道和产品认证的重视程度较高。</w:t>
      </w:r>
    </w:p>
    <w:p>
      <w:pPr>
        <w:pStyle w:val="ListParagraph"/>
        <w:numPr>
          <w:ilvl w:val="0"/>
          <w:numId w:val="2"/>
        </w:numPr>
        <w:spacing w:after="80" w:line="280"/>
      </w:pPr>
      <w:r>
        <w:rPr>
          <w:sz w:val="22"/>
          <w:szCs w:val="22"/>
        </w:rPr>
        <w:t xml:space="preserve">能源化工装备具有项目制和定制化特征，客户更关注安全认证、技术方案、项目管理和交付能力，供应商更换成本高于标准集装箱业务。</w:t>
      </w:r>
    </w:p>
    <w:p>
      <w:pPr>
        <w:pStyle w:val="ListParagraph"/>
        <w:numPr>
          <w:ilvl w:val="0"/>
          <w:numId w:val="2"/>
        </w:numPr>
        <w:spacing w:after="80" w:line="280"/>
      </w:pPr>
      <w:r>
        <w:rPr>
          <w:sz w:val="22"/>
          <w:szCs w:val="22"/>
        </w:rPr>
        <w:t xml:space="preserve">海洋工程客户多为国际油气公司、船东或大型工程承包商，订单金额大、合同周期长、验收节点复杂，客户通常具有较强项目议价权；具备高端设计、总包、建造及交付记录的供应商相对稀缺。</w:t>
      </w:r>
    </w:p>
    <w:p>
      <w:pPr>
        <w:pStyle w:val="ListParagraph"/>
        <w:numPr>
          <w:ilvl w:val="0"/>
          <w:numId w:val="2"/>
        </w:numPr>
        <w:spacing w:after="80" w:line="280"/>
      </w:pPr>
      <w:r>
        <w:rPr>
          <w:sz w:val="22"/>
          <w:szCs w:val="22"/>
        </w:rPr>
        <w:t xml:space="preserve">物流服务客户同时关注价格和服务稳定性，行业竞争较充分，盈利能力通常低于装备制造。</w:t>
      </w:r>
    </w:p>
    <w:p>
      <w:pPr>
        <w:pStyle w:val="ListParagraph"/>
        <w:numPr>
          <w:ilvl w:val="0"/>
          <w:numId w:val="2"/>
        </w:numPr>
        <w:spacing w:after="80" w:line="280"/>
      </w:pPr>
      <w:r>
        <w:rPr>
          <w:sz w:val="22"/>
          <w:szCs w:val="22"/>
        </w:rPr>
        <w:t xml:space="preserve">2024年年报披露口径下，前五大客户销售额约189.66亿元，占营业收入约12.12%。该数据来自公开财务数据整理，客户名称在部分网页中被匿名处理，未能完全交叉核实，具体以公司年度报告原文为准。</w:t>
      </w:r>
    </w:p>
    <w:p>
      <w:pPr>
        <w:pStyle w:val="ListParagraph"/>
        <w:numPr>
          <w:ilvl w:val="0"/>
          <w:numId w:val="2"/>
        </w:numPr>
        <w:spacing w:after="80" w:line="280"/>
      </w:pPr>
      <w:r>
        <w:rPr>
          <w:sz w:val="22"/>
          <w:szCs w:val="22"/>
        </w:rPr>
        <w:t xml:space="preserve">截至2024年12月31日，应收账款原值约332.71亿元，已计提坏账准备约16.15亿元；2024年营业收入约1776.64亿元，应收账款原值约相当于全年营业收入的18.7%，净额占比略低于该水平。2024年应收账款周转率约6.27次，2023年约5.96次；不同数据库口径存在差异，应收账款周转天数缺少统一、可交叉核实的年报口径。该营运资金占用反映集团存在较明显的项目和贸易型资金占用，但集团业务多元，不能据此直接代表单项业务的议价能力。</w:t>
      </w:r>
    </w:p>
    <w:p>
      <w:pPr>
        <w:pStyle w:val="ListParagraph"/>
        <w:numPr>
          <w:ilvl w:val="0"/>
          <w:numId w:val="2"/>
        </w:numPr>
        <w:spacing w:after="80" w:line="280"/>
      </w:pPr>
      <w:r>
        <w:rPr>
          <w:sz w:val="22"/>
          <w:szCs w:val="22"/>
        </w:rPr>
        <w:t xml:space="preserve">2024年口径下，前五大供应商采购额占总采购额约18.13%，前五大客户销售额占营业收入约12.12%。上述集中度数据来源于公开财务数据整理，来源相对单一且未能完全交叉核实，具体客户、供应商及最新年度数据以公司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约15.28%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集装箱和物流装备处于前期高景气后的高基数阶段，规模和价格对毛利率形成支撑。</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约13.77%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约1.46%</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集装箱需求回落、库存调整，业务量价承压，综合毛利率下降；归母净利润约18.63亿元，营业收入约1278.10亿元。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约12.52%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全球贸易恢复、红海绕航等推动集装箱需求反弹，海工扭亏，收入和利润恢复；但物流服务和集装箱业务占比较高，综合毛利率仍不高。归母净利润约29.72亿元，营业收入约1776.64亿元。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约12.45%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约0.14%</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集装箱制造进入调整期且竞争加剧，能源装备和海工订单及利润改善形成部分对冲，但不足以抵消物流相关业务回落；汇率和财务费用等因素亦对利润形成影响。归母净利润约2.21亿元，营业收入约1566.11亿元。</w:t>
            </w:r>
          </w:p>
        </w:tc>
      </w:tr>
    </w:tbl>
    <w:p>
      <w:pPr>
        <w:spacing w:before="200"/>
      </w:pPr>
    </w:p>
    <w:p>
      <w:pPr>
        <w:spacing w:after="160" w:line="300"/>
      </w:pPr>
      <w:r>
        <w:rPr>
          <w:sz w:val="22"/>
          <w:szCs w:val="22"/>
        </w:rPr>
        <w:t xml:space="preserve">公司处于中游制造和系统集成位置：标准集装箱、普通运输装备和物流服务偏规模化、周期型、相对低毛利；罐式集装箱、能源装备、机场装备和高端海工位于更高附加值环节。未来利润改善主要取决于高端海工、清洁能源、罐式集装箱、特种集装箱和智能物流装备收入占比提升，以及标准集装箱业务的产能利用率、采购成本、产品价格和全球供应链效率改善，而非单纯扩大产能。</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789.13亿元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+3.71%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归母净利润7.395亿元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-42.14%</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326.64亿元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归母净利润约2.09亿元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数据未披露</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2026年二季度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约462.50亿元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数据未披露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归母净利润约5.30亿元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同比下降，具体比例未披露</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1,566.11亿元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-11.85%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归母净利润2.208亿元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-92.57%</w:t>
            </w:r>
          </w:p>
        </w:tc>
      </w:tr>
    </w:tbl>
    <w:p>
      <w:pPr>
        <w:spacing w:after="200"/>
      </w:pPr>
      <w:r>
        <w:rPr>
          <w:i/>
          <w:iCs/>
          <w:color w:val="595959"/>
          <w:sz w:val="18"/>
          <w:szCs w:val="18"/>
        </w:rPr>
        <w:t xml:space="preserve">最新公开财报为2026年半年度报告，披露日为2026年8月29日，报告期为2026年1月1日至2026年6月30日，财务报表未经审计。2026年上半年扣非归母净利润为6.648亿元，同比下降46.40%；基本每股收益0.13元，同比下降43.48%；加权平均净资产收益率1.48%，较上年同期下降1.10个百分点。2026年6月30日资产总额为1,703.05亿元，较2025年末增长2.10%；归属于母公司股东及其他权益持有者的权益为498.66亿元，较2025年末下降1.04%。经营活动现金流量净额为-5.60亿元，2025年同期为71.54亿元。</w:t>
      </w:r>
    </w:p>
    <w:p>
      <w:pPr>
        <w:spacing w:after="160" w:line="300"/>
      </w:pPr>
      <w:r>
        <w:rPr>
          <w:sz w:val="22"/>
          <w:szCs w:val="22"/>
        </w:rPr>
        <w:t xml:space="preserve">公司呈现收入恢复、利润下滑特征。利润下滑主要受集装箱制造业务盈利承压，以及人民币升值导致的汇兑损失和套期保值损失影响。东吴证券测算，2026年上半年汇兑亏损与套保合计净损失约8.1亿元，上年同期约1.8亿元，该数据为券商测算，并非公司财报直接披露的单一调整后利润口径。分业务看，2026年上半年集装箱制造业务收入约219.20亿元、净利润约2.72亿元；中集车辆收入约107亿元、净利润约3.6亿元；能源、化工及液态食品装备收入约134亿元、净利润约4.8亿元；海洋工程业务收入约79亿元、净利润约7.18亿元。上述分部数据来自券商拆分整理，部分利润并非公司主要财务指标表中的合并口径。</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预测数据来自截至2026年9月12日同花顺F10汇总的近6个月机构预测，2026年和2027年覆盖机构数量为9家，2028年为8家。该数据并非公司官方业绩指引，不同机构可能采用不同汇率、分部盈利及估值假设。主要机构预测包括：方正证券（2026年9月6日）、东吴证券（2026年9月2日）、华鑫证券（2026年9月2日）、国金证券（2026年8月28日）和华泰证券（2026年5月6日）。</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机构预测均值约1,693.80亿元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归母净利润预测均值约29.35亿元；区间约21.67亿至40.13亿元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数据纪要未明确披露预测同比增速；纪要称相较2025年归母净利润2.21亿元，预测增幅超过12倍</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约0.54元；预测区间约0.40元至0.74元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机构预测均值约1,857.66亿元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归母净利润预测均值约41.75亿元；区间约33.28亿至49.87亿元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数据纪要未明确披露预测同比增速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约0.77元；预测区间约0.62元至0.92元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机构预测均值约2,030.26亿元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归母净利润预测均值约54.90亿元；区间约41.23亿至60.51亿元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数据纪要未明确披露预测同比增速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约1.02元；预测区间约0.76元至1.12元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同花顺F10平台汇总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买入11份；增持1份；中性、减持、卖出均为0份</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截至2026年9月中旬</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为平台收录口径，不能完全等同于全市场机构的完整覆盖。</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维持买入评级；预计2026—2028年归母净利润为35.4亿元、49.3亿元和60.1亿元；公开页面未显示A股具体目标价。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华鑫证券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维持买入评级；预计2026—2028年EPS为0.57元、0.69元和0.82元，对应PE约15.1倍、12.5倍和10.5倍；公开页面未明确显示A股目标价。</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国金证券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维持买入评级；预计2026—2028年归母净利润为25亿元、40亿元和61亿元，对应PE约21倍、13倍和9倍；公开页面未显示明确的A股目标价。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2026年9月1日左右</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维持买入判断；按照2026年20倍PE给予A股目标价14.80元，较此前17.76元下调；对应H股目标价12.76港元。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2026年5月6日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前一版报告按照2026年24倍PE给予A股目标价17.76元，后续已调整为14.80元，不宜继续作为当前核心估值参考。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Investing.com平台汇总</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5名分析师评级均为买入；12个月平均目标价14.00元，最高16.00元、最低12.00元。覆盖范围和样本构成未完全公开，仅作辅助参考。</w:t>
            </w:r>
          </w:p>
        </w:tc>
      </w:tr>
    </w:tbl>
    <w:p>
      <w:pPr>
        <w:spacing w:before="200"/>
      </w:pPr>
    </w:p>
    <w:p>
      <w:pPr>
        <w:spacing w:after="160" w:line="300"/>
      </w:pPr>
      <w:r>
        <w:rPr>
          <w:sz w:val="22"/>
          <w:szCs w:val="22"/>
        </w:rPr>
        <w:t xml:space="preserve">截至2026年9月11日收盘，中集集团A股收盘价约9.17元，总市值约494.49亿元，平台披露市净率约0.96倍。按2026年半年报期末归属于母公司股东及其他权益持有者的权益498.66亿元计算，市净率约0.99倍，差异可能来自总股本、回购股份及行情数据更新时间不同。按机构一致预期EPS计算，2026—2028年预测PE约为17.0倍、11.9倍和9.0倍；按多机构预测净利润与最新总市值交叉计算，对应PE约为16.8倍、11.8倍和9.0倍。两种口径存在轻微差异，主要来自总股本、回购股份处理及EPS口径差异。理杏仁数据显示，截至2026年8月31日公司PE-TTM约为负153.89倍，原因是对应期间扣非或TTM利润为负，传统PE指标的解释力较弱，因此更适合观察2026—2028年预测PE和PB。若以华泰证券最新A股目标价14.80元计算，较9月11日收盘价9.17元的潜在涨幅约61.4%；参考第三方平均目标价14.00元，潜在涨幅约52.7%。当前估值核心取决于海工订单交付、海工资产运营、能源装备订单兑现、模块化数据中心放量，以及集装箱业务利润率能否企稳。主要不确定性包括：2026年半年报未经审计；汇率变化对利润影响较大；机构预测并非公司官方指引；2026年归母净利润预测区间为21.67亿至40.13亿元，机构分歧较大；2028年预测覆盖机构数量为8家，低于2026年和2027年的9家；若业绩恢复不及预期，低PB并不必然意味着估值安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2026年半年度业绩：收入增长但利润下滑</w:t>
      </w:r>
    </w:p>
    <w:p>
      <w:pPr>
        <w:spacing w:after="160" w:line="300"/>
      </w:pPr>
      <w:r>
        <w:rPr>
          <w:sz w:val="22"/>
          <w:szCs w:val="22"/>
        </w:rPr>
        <w:t xml:space="preserve">公司于2026年8月29日披露2026年半年度报告。2026年1—6月实现营业收入789.13亿元，同比增长3.71%；归属于母公司股东及其他权益持有者的净利润7.395亿元，同比下降42.14%；扣除非经常性损益后的净利润6.648亿元，同比下降46.40%；基本每股收益0.13元。经营活动现金流量净额为-5.60亿元。上述数据未经审计。</w:t>
      </w:r>
    </w:p>
    <w:p>
      <w:pPr>
        <w:pStyle w:val="Heading2"/>
        <w:spacing w:after="120" w:before="240"/>
      </w:pPr>
      <w:r>
        <w:rPr>
          <w:b/>
          <w:bCs/>
          <w:color w:val="2E74B5"/>
          <w:sz w:val="24"/>
          <w:szCs w:val="24"/>
        </w:rPr>
        <w:t xml:space="preserve">4.2 暂无2026年三季度或年度业绩预告</w:t>
      </w:r>
    </w:p>
    <w:p>
      <w:pPr>
        <w:spacing w:after="160" w:line="300"/>
      </w:pPr>
      <w:r>
        <w:rPr>
          <w:sz w:val="22"/>
          <w:szCs w:val="22"/>
        </w:rPr>
        <w:t xml:space="preserve">截至2026年9月14日，未检索到公司针对2026年三季度或2026年度发布新的业绩预告、业绩快报或盈利预警公告，最近一期正式业绩信息仍为2026年半年度报告。</w:t>
      </w:r>
    </w:p>
    <w:p>
      <w:pPr>
        <w:pStyle w:val="Heading2"/>
        <w:spacing w:after="120" w:before="240"/>
      </w:pPr>
      <w:r>
        <w:rPr>
          <w:b/>
          <w:bCs/>
          <w:color w:val="2E74B5"/>
          <w:sz w:val="24"/>
          <w:szCs w:val="24"/>
        </w:rPr>
        <w:t xml:space="preserve">4.3 集装箱业务二季度有所回暖，全年业绩仍承压</w:t>
      </w:r>
    </w:p>
    <w:p>
      <w:pPr>
        <w:spacing w:after="160" w:line="300"/>
      </w:pPr>
      <w:r>
        <w:rPr>
          <w:sz w:val="22"/>
          <w:szCs w:val="22"/>
        </w:rPr>
        <w:t xml:space="preserve">2026年9月2日投资者关系活动记录显示，集装箱业务一季度受量价回落影响，收入和净利润同比下降；进入二季度后，运价和需求有所回暖，集装箱制造业务目前排产至11月。但受2025年高基数和材料价格上涨影响，公司提示2026年全年集装箱板块业绩仍承压。</w:t>
      </w:r>
    </w:p>
    <w:p>
      <w:pPr>
        <w:pStyle w:val="Heading2"/>
        <w:spacing w:after="120" w:before="240"/>
      </w:pPr>
      <w:r>
        <w:rPr>
          <w:b/>
          <w:bCs/>
          <w:color w:val="2E74B5"/>
          <w:sz w:val="24"/>
          <w:szCs w:val="24"/>
        </w:rPr>
        <w:t xml:space="preserve">4.4 海工业务披露约7.5亿美元生效合同额</w:t>
      </w:r>
    </w:p>
    <w:p>
      <w:pPr>
        <w:spacing w:after="160" w:line="300"/>
      </w:pPr>
      <w:r>
        <w:rPr>
          <w:sz w:val="22"/>
          <w:szCs w:val="22"/>
        </w:rPr>
        <w:t xml:space="preserve">公司在2026年8月投资者交流中披露，2026年一季度海工业务生效合同额约7.5亿美元，涉及1条铺石船、2条RORO船及4艘载重能力为31.9万吨的超大型原油运输船。该信息属于投资者交流口径，不等同于经审计财务数据，订单后续执行进度和利润确认情况仍需关注。</w:t>
      </w:r>
    </w:p>
    <w:p>
      <w:pPr>
        <w:pStyle w:val="Heading2"/>
        <w:spacing w:after="120" w:before="240"/>
      </w:pPr>
      <w:r>
        <w:rPr>
          <w:b/>
          <w:bCs/>
          <w:color w:val="2E74B5"/>
          <w:sz w:val="24"/>
          <w:szCs w:val="24"/>
        </w:rPr>
        <w:t xml:space="preserve">4.5 拟注销2023年回购的约2464.56万股A股</w:t>
      </w:r>
    </w:p>
    <w:p>
      <w:pPr>
        <w:spacing w:after="160" w:line="300"/>
      </w:pPr>
      <w:r>
        <w:rPr>
          <w:sz w:val="22"/>
          <w:szCs w:val="22"/>
        </w:rPr>
        <w:t xml:space="preserve">公司于2026年8月29日披露拟将2023年回购的24,645,550股A股股份用途由“用于维护公司价值及股东权益并择机出售”变更为“注销并减少注册资本”，占公司当前总股本约0.4570%。注销完成后，公司总股本拟由5,392,520,385股减少至5,367,874,835股，A股数量拟由2,302,682,490股减少至2,278,036,940股，注册资本相应减少人民币24,645,550元。该事项尚需提交股东会审议。</w:t>
      </w:r>
    </w:p>
    <w:p>
      <w:pPr>
        <w:pStyle w:val="Heading2"/>
        <w:spacing w:after="120" w:before="240"/>
      </w:pPr>
      <w:r>
        <w:rPr>
          <w:b/>
          <w:bCs/>
          <w:color w:val="2E74B5"/>
          <w:sz w:val="24"/>
          <w:szCs w:val="24"/>
        </w:rPr>
        <w:t xml:space="preserve">4.6 2026年第二次临时股东会拟于9月23日召开</w:t>
      </w:r>
    </w:p>
    <w:p>
      <w:pPr>
        <w:spacing w:after="160" w:line="300"/>
      </w:pPr>
      <w:r>
        <w:rPr>
          <w:sz w:val="22"/>
          <w:szCs w:val="22"/>
        </w:rPr>
        <w:t xml:space="preserve">公司董事会于2026年9月4日审议通过召开2026年第二次临时股东会的议案，会议拟于2026年9月23日召开，股权登记日为2026年9月18日。审议事项包括变更回购A股股份用途并注销、减少注册资本及修订公司章程，更新2026年度担保计划，申请注册发行银行间市场交易商协会债务融资工具，以及补选独立董事和非独立董事。相关董事会决议以8票同意、0票反对、0票弃权通过。</w:t>
      </w:r>
    </w:p>
    <w:p>
      <w:pPr>
        <w:pStyle w:val="Heading2"/>
        <w:spacing w:after="120" w:before="240"/>
      </w:pPr>
      <w:r>
        <w:rPr>
          <w:b/>
          <w:bCs/>
          <w:color w:val="2E74B5"/>
          <w:sz w:val="24"/>
          <w:szCs w:val="24"/>
        </w:rPr>
        <w:t xml:space="preserve">4.7 拟开展H股回购</w:t>
      </w:r>
    </w:p>
    <w:p>
      <w:pPr>
        <w:spacing w:after="160" w:line="300"/>
      </w:pPr>
      <w:r>
        <w:rPr>
          <w:sz w:val="22"/>
          <w:szCs w:val="22"/>
        </w:rPr>
        <w:t xml:space="preserve">公司于2026年7月17日披露拟使用一般性授权回购部分H股，拟回购金额不超过港币172,672,971.77元，资金来源为公司自有资金或符合法律法规要求的资金。2025年H股回购已于2026年6月15日实施完成，累计回购H股79,981,400股。2026年H股回购股份将作为库存股份持有，后续可按香港上市规则及公司章程规定转让或注销，也可根据实际需要用于员工持股计划、股权激励或转换可转债等。</w:t>
      </w:r>
    </w:p>
    <w:p>
      <w:pPr>
        <w:pStyle w:val="Heading2"/>
        <w:spacing w:after="120" w:before="240"/>
      </w:pPr>
      <w:r>
        <w:rPr>
          <w:b/>
          <w:bCs/>
          <w:color w:val="2E74B5"/>
          <w:sz w:val="24"/>
          <w:szCs w:val="24"/>
        </w:rPr>
        <w:t xml:space="preserve">4.8 董事及独立董事发生变动</w:t>
      </w:r>
    </w:p>
    <w:p>
      <w:pPr>
        <w:spacing w:after="160" w:line="300"/>
      </w:pPr>
      <w:r>
        <w:rPr>
          <w:sz w:val="22"/>
          <w:szCs w:val="22"/>
        </w:rPr>
        <w:t xml:space="preserve">2026年8月29日，朱志强因工作安排原因辞去副董事长、董事及董事会相关专门委员会职务，辞职后不再在公司及下属控股子公司任职；公司董事会选举现任董事徐腊平担任副董事长，并提名孙慧荣为非独立董事候选人。2026年7月29日，独立董事谢家伟因个人工作安排调整辞任；由于其辞任会导致独立董事人数占董事会人数比例低于三分之一，且独立董事中暂时缺少会计专业人士，在新任独立董事经股东会选举通过前，谢家伟拟继续履行相关职责。公司随后提名刘雪生为独立董事候选人，相关议案拟提交2026年9月23日临时股东会审议。</w:t>
      </w:r>
    </w:p>
    <w:p>
      <w:pPr>
        <w:pStyle w:val="Heading2"/>
        <w:spacing w:after="120" w:before="240"/>
      </w:pPr>
      <w:r>
        <w:rPr>
          <w:b/>
          <w:bCs/>
          <w:color w:val="2E74B5"/>
          <w:sz w:val="24"/>
          <w:szCs w:val="24"/>
        </w:rPr>
        <w:t xml:space="preserve">4.9 拟申请注册不超过150亿元债务融资工具</w:t>
      </w:r>
    </w:p>
    <w:p>
      <w:pPr>
        <w:spacing w:after="160" w:line="300"/>
      </w:pPr>
      <w:r>
        <w:rPr>
          <w:sz w:val="22"/>
          <w:szCs w:val="22"/>
        </w:rPr>
        <w:t xml:space="preserve">公司于2026年8月29日披露拟再次向中国银行间市场交易商协会申请注册发行总规模不超过人民币150亿元的多品种债务融资工具，包括超短期融资券、短期融资券、中期票据、永续票据、资产支持票据、绿色债务融资工具和定向债务融资工具等。募集资金拟用于偿还银行贷款、债券、补充流动资金及其他合规资金需求。该事项尚需股东会审议，并需取得交易商协会接受注册通知，最终能否获准存在不确定性。</w:t>
      </w:r>
    </w:p>
    <w:p>
      <w:pPr>
        <w:pStyle w:val="Heading2"/>
        <w:spacing w:after="120" w:before="240"/>
      </w:pPr>
      <w:r>
        <w:rPr>
          <w:b/>
          <w:bCs/>
          <w:color w:val="2E74B5"/>
          <w:sz w:val="24"/>
          <w:szCs w:val="24"/>
        </w:rPr>
        <w:t xml:space="preserve">4.10 调整2026年度担保计划额度分类</w:t>
      </w:r>
    </w:p>
    <w:p>
      <w:pPr>
        <w:spacing w:after="160" w:line="300"/>
      </w:pPr>
      <w:r>
        <w:rPr>
          <w:sz w:val="22"/>
          <w:szCs w:val="22"/>
        </w:rPr>
        <w:t xml:space="preserve">公司拟在2026年度总担保额度850亿元不变的前提下调整担保额度分类及担保对象名单。集团内部公司累计担保余额上限仍为380.9亿元，其中资产负债率超过70%的公司担保额度由245亿元调增至251.7亿元，资产负债率不超过70%的公司担保额度由135.9亿元调减至129.2亿元。新增中世运（新疆）国际物流有限公司为联营企业担保对象，担保额度为0.8亿元；中世运（北京）国际供应链有限公司额度由1亿元调整为0.2亿元，联营企业担保总额仍为14亿元。截至2026年6月30日，公司及控股子公司担保余额合计244.06亿元，对合并报表范围外单位的担保余额为5.99亿元；公司无逾期担保，也无涉及重大诉讼的担保金额。</w:t>
      </w:r>
    </w:p>
    <w:p>
      <w:pPr>
        <w:pStyle w:val="Heading2"/>
        <w:spacing w:after="120" w:before="240"/>
      </w:pPr>
      <w:r>
        <w:rPr>
          <w:b/>
          <w:bCs/>
          <w:color w:val="2E74B5"/>
          <w:sz w:val="24"/>
          <w:szCs w:val="24"/>
        </w:rPr>
        <w:t xml:space="preserve">4.11 拟收购中集天达18.07%股权</w:t>
      </w:r>
    </w:p>
    <w:p>
      <w:pPr>
        <w:spacing w:after="160" w:line="300"/>
      </w:pPr>
      <w:r>
        <w:rPr>
          <w:sz w:val="22"/>
          <w:szCs w:val="22"/>
        </w:rPr>
        <w:t xml:space="preserve">公司于2026年7月29日披露拟通过全资子公司中集香港购买Expedition持有的中集天达72,838,346股股份，占中集天达18.07%股权。交易完成后，中集香港对中集天达的持股比例将由65.66%提高至83.73%，中集天达仍为公司非全资控股子公司。该交易构成香港上市规则下的关连交易，但不构成深圳证券交易所规则下的关联交易，也不构成重大资产重组，不需提交公司股东会审议。交易对价在公告网页文本中存在金额缺失或乱码，具体美元金额暂无法可靠确认。</w:t>
      </w:r>
    </w:p>
    <w:p>
      <w:pPr>
        <w:pStyle w:val="Heading2"/>
        <w:spacing w:after="120" w:before="240"/>
      </w:pPr>
      <w:r>
        <w:rPr>
          <w:b/>
          <w:bCs/>
          <w:color w:val="2E74B5"/>
          <w:sz w:val="24"/>
          <w:szCs w:val="24"/>
        </w:rPr>
        <w:t xml:space="preserve">4.12 半年度计提减值及套期保值相关损失</w:t>
      </w:r>
    </w:p>
    <w:p>
      <w:pPr>
        <w:spacing w:after="160" w:line="300"/>
      </w:pPr>
      <w:r>
        <w:rPr>
          <w:sz w:val="22"/>
          <w:szCs w:val="22"/>
        </w:rPr>
        <w:t xml:space="preserve">公司2026年半年度计提减值准备合计人民币4.03474亿元，其中应收账款坏账准备本期增加约3.18508亿元。2026年1月1日至6月30日，汇率及利率套期保值业务产生损失约0.098亿元，外币敞口产生汇兑损失约8.025亿元，外币敞口及外汇套期保值业务合计产生损失约8.123亿元。公司称相关事项不会影响集团现金流和正常经营，但上述数据未经审计，最终会计确认可能存在调整。</w:t>
      </w:r>
    </w:p>
    <w:p>
      <w:pPr>
        <w:pStyle w:val="Heading2"/>
        <w:spacing w:after="120" w:before="240"/>
      </w:pPr>
      <w:r>
        <w:rPr>
          <w:b/>
          <w:bCs/>
          <w:color w:val="2E74B5"/>
          <w:sz w:val="24"/>
          <w:szCs w:val="24"/>
        </w:rPr>
        <w:t xml:space="preserve">4.13 披露2026年度套期保值额度上限</w:t>
      </w:r>
    </w:p>
    <w:p>
      <w:pPr>
        <w:spacing w:after="160" w:line="300"/>
      </w:pPr>
      <w:r>
        <w:rPr>
          <w:sz w:val="22"/>
          <w:szCs w:val="22"/>
        </w:rPr>
        <w:t xml:space="preserve">公司2026年度套期保值管理额度包括：汇率衍生品最高持仓量不超过等值75亿美元；利率衍生品最高持仓金额不超过等值10亿美元或70亿元人民币；钢材衍生品套保期货合约占用保证金最高不超过2000万元人民币。公司表示套保业务以降低汇率、利率及钢材价格波动风险为目的，禁止投机交易。</w:t>
      </w:r>
    </w:p>
    <w:p>
      <w:pPr>
        <w:pStyle w:val="Heading2"/>
        <w:spacing w:after="120" w:before="240"/>
      </w:pPr>
      <w:r>
        <w:rPr>
          <w:b/>
          <w:bCs/>
          <w:color w:val="2E74B5"/>
          <w:sz w:val="24"/>
          <w:szCs w:val="24"/>
        </w:rPr>
        <w:t xml:space="preserve">4.14 模块化数据中心业务扩充至三大基地</w:t>
      </w:r>
    </w:p>
    <w:p>
      <w:pPr>
        <w:spacing w:after="160" w:line="300"/>
      </w:pPr>
      <w:r>
        <w:rPr>
          <w:sz w:val="22"/>
          <w:szCs w:val="22"/>
        </w:rPr>
        <w:t xml:space="preserve">2026年9月2日投资者交流信息显示，公司模块化数据中心业务已从单一基地扩充至三大基地协同量产，截至2026年一季度末已为超过300MW的AI及云计算客户提供预制化数据中心技术、制造和交付服务。公司同时说明，该业务2025年收入占集团总收入比例远低于1%，目前对集团整体业绩贡献仍较小，相关信息不宜等同于已确认订单或盈利预测。</w:t>
      </w:r>
    </w:p>
    <w:p>
      <w:pPr>
        <w:pStyle w:val="Heading2"/>
        <w:spacing w:after="120" w:before="240"/>
      </w:pPr>
      <w:r>
        <w:rPr>
          <w:b/>
          <w:bCs/>
          <w:color w:val="2E74B5"/>
          <w:sz w:val="24"/>
          <w:szCs w:val="24"/>
        </w:rPr>
        <w:t xml:space="preserve">4.15 近期未见新的重大监管处罚或主要股东权益变动公告</w:t>
      </w:r>
    </w:p>
    <w:p>
      <w:pPr>
        <w:spacing w:after="160" w:line="300"/>
      </w:pPr>
      <w:r>
        <w:rPr>
          <w:sz w:val="22"/>
          <w:szCs w:val="22"/>
        </w:rPr>
        <w:t xml:space="preserve">截至2026年9月14日，未检索到公司因监管处罚、问询函、立案调查或重大违规事项而发布的公告，也未检索到公司主要股东在2026年9月发生新的减持、增持或权益变动公告。截至2026年6月30日，公司股东总数为74,766户，其中A股股东74,736户、H股登记股东30户。</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000039对应中国国际海运集装箱（集团）股份有限公司，简称中集集团，深圳证券交易所上市；港股代码02039</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9.17元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下跌0.33元，跌幅3.47%</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开盘9.40元，最高9.45元，最低9.10元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约32.26万手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约2.965亿元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1.40%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市值与股本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总市值约494.49亿元，流通市值约211.04亿元；总股本约53.93亿股，流通股本约23.01亿股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约7.36~14.37元；收盘价较52周高点低约36%，较52周低点高约25%。不同平台因复权方式及统计时点不同，区间可能存在差异，雪球页面显示为7.21~14.08元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不适用；最新TTM每股收益为负，部分平台显示“--”或负值，不能按正常正数PE解读</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MA5约9.41元，MA10约9.21元，MA20约9.25元，基于2026年8月17日至9月11日20个交易日收盘价测算</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9月11日收盘价9.17元低于三条短期均线，价格重新回到短期均线下方；MA5略高于MA10和MA20，但均线间距较小，尚未形成明确的中期趋势性多头排列</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交叉参考均线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英为财情2026年9月4日技术快照：MA5约8.90元、MA10约8.79元、MA20约8.89元、MA50约9.10元、MA100约9.09元、MA200约8.65元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该数据不是9月11日收盘后的重新计算，仅说明当时短线均线偏多，50日均线附近存在压力</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约-0.08；数据来自英为财情2026年9月4日技术指标快照</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技术评级为卖出；由于快照日期早于9月11日，不能视为9月11日收盘后的精确指标。结合收盘价跌破MA5、MA10和MA20，短线动能较9月4日冲高后有所转弱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约51.725；数据截至2026年9月4日</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处于中性区间，未进入超买或超卖状态；2026年9月14日盘中页面约为50.86，但属于延迟盘中数据，不纳入9月11日收盘核心结论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基于2026年8月17日至9月11日20个交易日收盘价简化测算：中轨约9.25元，上轨约9.74元，下轨约8.76元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收盘价9.17元位于中轨下方、下轨上方，处于中轨下方震荡区域，尚未触及明显技术性超卖区；有效跌破8.75~8.80元可能打开向8.50元附近或前期低点回撤的空间，重新站回9.25元上方则短线技术面有望修复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同花顺截至2026年9月4日显示近5个交易日总体净流出约5443.56万元；9月4日净流入约5951万元，但机构资金当日净流出约2406万元。另一平台“解牛”截至9月11日显示近5个交易日“大资金”合计净流入约0.3亿元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不同平台采用主动性买卖单或成交金额分档估算，不能直接相加或视为交易所披露的机构成交明细；截至9月11日无法交叉确认统一口径的当日主力资金净流入或净流出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近期成交与价格关系</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9月11日成交额约2.97亿元，低于阶段性放量日，但高于部分缩量交易日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当日股价下跌3.47%且成交额较前期放量日收缩，更接近缩量回撤或多空分歧状态，资金承接力度仍需观察</w:t>
            </w:r>
          </w:p>
        </w:tc>
      </w:tr>
    </w:tbl>
    <w:p>
      <w:pPr>
        <w:spacing w:before="200"/>
      </w:pPr>
    </w:p>
    <w:p>
      <w:pPr>
        <w:spacing w:after="160" w:line="300"/>
      </w:pPr>
      <w:r>
        <w:rPr>
          <w:sz w:val="22"/>
          <w:szCs w:val="22"/>
        </w:rPr>
        <w:t xml:space="preserve">截至2026年9月11日，中集集团收盘价9.17元，低于MA5、MA10和MA20，且位于布林带中轨下方、下轨上方，短线技术面有所转弱但尚未进入明显技术性超卖区域。9.00~9.15元附近构成近期承接观察区，8.75~8.85元接近布林带下轨及阶段性成交密集区；上方9.40~9.60元为短期压力区。资金数据存在平台口径差异，9月11日成交额约2.97亿元、换手率1.40%，尚不足以确认强势资金持续集中介入。</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风险提示：以下内容仅为基于2026年9月11日收盘数据、历史价格和技术指标的主观情景推演，不构成投资建议，也不构成买卖指令。</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9.40~9.60元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依据包括9月7日至9月10日多次高点区域、9月9日最高价9.66元及9月11日前后的短线套牢盘；若有效突破9.60元并伴随成交额明显放大，下一压力观察区为9.70~9.75元附近，对应20日布林带上轨区域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9.00~9.15元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9.00元为整数关口，9.10元为9月11日最低价，9.15元附近对应近期多次交易价格；若获得承接，观察股价能否在9.00~9.60元区间内震荡修复</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8.75~8.85元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接近20日布林带下轨约8.76元，并接近8月中下旬多个收盘价及阶段性成交密集区；若有效跌破8.75元，技术上可能进一步回试8.50~8.60元区域</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均线、布林带和成交量结构的主观启发式判断，不是统计概率）：观察区间约9.00~9.55元。触发条件为股价守住9.00~9.15元支撑区，但无法有效突破9.40~9.60元压力区；成交额维持约2亿~4亿元的近期常态范围，且市场和相关制造业板块没有明显突发利空或利好</w:t>
      </w:r>
    </w:p>
    <w:p>
      <w:pPr>
        <w:pStyle w:val="ListParagraph"/>
        <w:numPr>
          <w:ilvl w:val="0"/>
          <w:numId w:val="2"/>
        </w:numPr>
        <w:spacing w:after="80" w:line="280"/>
      </w:pPr>
      <w:r>
        <w:rPr>
          <w:sz w:val="22"/>
          <w:szCs w:val="22"/>
        </w:rPr>
        <w:t xml:space="preserve">偏弱下行（权重中等；为主观情景权重，不是统计概率）：观察区间约8.60~9.05元。触发条件为股价有效跌破9.00元，且成交额连续放大至约4亿元以上，同时主力资金继续出现连续净流出；若进一步跌破8.75元，可能打开向8.50~8.60元区域回撤的空间</w:t>
      </w:r>
    </w:p>
    <w:p>
      <w:pPr>
        <w:pStyle w:val="ListParagraph"/>
        <w:numPr>
          <w:ilvl w:val="0"/>
          <w:numId w:val="2"/>
        </w:numPr>
        <w:spacing w:after="80" w:line="280"/>
      </w:pPr>
      <w:r>
        <w:rPr>
          <w:sz w:val="22"/>
          <w:szCs w:val="22"/>
        </w:rPr>
        <w:t xml:space="preserve">反弹走强（权重偏低至中等；为主观情景权重，不是统计概率）：观察区间约9.40~9.75元。触发条件为股价重新站上9.40元并突破9.60元附近压力，同时单日成交额明显高于近期常态，至少达到约4.5亿~5亿元，并伴随行业板块走强或公司层面的积极催化；若价格上涨但成交量未同步放大，则反弹持续性仍需观察</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1.40%，成交额约2.965亿元；近期日成交额大致在1.8亿~6.3亿元之间，阶段性放量日包括8月11日约11.01亿元、8月13日约7.46亿元、8月18日约6.31亿元及9月4日约5.25亿元。股东结构数据截至2026年6月30日：前十大流通股东合计持股约39.47亿股，占流通盘约73.23%；公开机构持仓约9.51亿股，占流通A股约41.34%，机构构成包括基金、一般法人、社保基金、基本养老保险基金及保险公司等，陆股通持股占流通A股约4.30%。深圳市资本运营集团有限公司和招商局港口控股有限公司持股比例分别约25.42%和24.66%，但不同平台披露日期并不完全一致。上述集中度和机构持仓数据存在季度滞后，不能简单理解为2026年9月11日实时筹码结构；其显示前十大股东和机构持仓占比较高、二级市场可交易筹码相对集中，但重要股东或机构持仓变化可能对价格产生较明显影响。中集集团属于大市值A股，盘口容量通常较小盘股更好，但当前1.40%的换手率不支持强势资金持续集中介入的确定性判断。</w:t>
      </w:r>
    </w:p>
    <w:p>
      <w:pPr>
        <w:spacing w:after="160" w:line="300"/>
      </w:pPr>
      <w:r>
        <w:rPr>
          <w:sz w:val="22"/>
          <w:szCs w:val="22"/>
        </w:rPr>
        <w:t xml:space="preserve">可检查的成交量确认信号是：若股价向上突破9.40~9.60元压力区时，单日成交额连续放大至约4.5亿~5亿元以上，且换手率升至约2%以上，可视为短线资金参与度增强的确认信号；若反弹无量，则上涨信号可靠性相对较低。</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观察9.00~9.15元区域能否形成有效支撑；该内容为观察思路，非操作指令。</w:t>
      </w:r>
    </w:p>
    <w:p>
      <w:pPr>
        <w:pStyle w:val="ListParagraph"/>
        <w:numPr>
          <w:ilvl w:val="0"/>
          <w:numId w:val="2"/>
        </w:numPr>
        <w:spacing w:after="80" w:line="280"/>
      </w:pPr>
      <w:r>
        <w:rPr>
          <w:sz w:val="22"/>
          <w:szCs w:val="22"/>
        </w:rPr>
        <w:t xml:space="preserve">观察9.40~9.60元区域能否伴随成交额放大而突破；该内容为观察思路，非操作指令。</w:t>
      </w:r>
    </w:p>
    <w:p>
      <w:pPr>
        <w:pStyle w:val="ListParagraph"/>
        <w:numPr>
          <w:ilvl w:val="0"/>
          <w:numId w:val="2"/>
        </w:numPr>
        <w:spacing w:after="80" w:line="280"/>
      </w:pPr>
      <w:r>
        <w:rPr>
          <w:sz w:val="22"/>
          <w:szCs w:val="22"/>
        </w:rPr>
        <w:t xml:space="preserve">若跌破8.75元，关注是否向8.50~8.60元区域进一步寻找支撑；该内容为观察思路，非操作指令。</w:t>
      </w:r>
    </w:p>
    <w:p>
      <w:pPr>
        <w:pStyle w:val="ListParagraph"/>
        <w:numPr>
          <w:ilvl w:val="0"/>
          <w:numId w:val="2"/>
        </w:numPr>
        <w:spacing w:after="80" w:line="280"/>
      </w:pPr>
      <w:r>
        <w:rPr>
          <w:sz w:val="22"/>
          <w:szCs w:val="22"/>
        </w:rPr>
        <w:t xml:space="preserve">关注成交额是否重新回到4.5亿~5亿元以上，以及主力资金数据是否由净流出转为持续净流入；该内容为观察思路，非操作指令。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集集团横跨集装箱、道路运输车辆、物流服务、能源化工及液态食品装备、海洋工程、机场与物流装备等多个细分行业，不能用单一行业格局概括。集装箱制造集中度较高但周期性强；半挂车具有全球化竞争特征；能源装备依赖项目、技术认证和资本开支；海洋工程具有高技术、高资金和强周期属性。</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集装箱制造：产能主要集中在中国，中集集团、中远海运旗下相关企业、胜狮货柜和新华昌是主要竞争者。中集标准干货集装箱、冷藏集装箱、特种集装箱和罐式集装箱产量保持全球领先，2025年年报摘要引用行业资料称相关产量保持全球第一。</w:t>
      </w:r>
    </w:p>
    <w:p>
      <w:pPr>
        <w:pStyle w:val="ListParagraph"/>
        <w:numPr>
          <w:ilvl w:val="0"/>
          <w:numId w:val="2"/>
        </w:numPr>
        <w:spacing w:after="80" w:line="280"/>
      </w:pPr>
      <w:r>
        <w:rPr>
          <w:sz w:val="22"/>
          <w:szCs w:val="22"/>
        </w:rPr>
        <w:t xml:space="preserve">集装箱行业标准干箱技术壁垒相对有限，但规模、成本、交付和全球服务网络壁垒较高；冷藏箱、罐箱和特种箱的技术、认证和客户壁垒更高。需求受全球贸易、船公司资本开支、旧箱更新和航运事件影响，钢材价格及美元汇率也会影响盈利。</w:t>
      </w:r>
    </w:p>
    <w:p>
      <w:pPr>
        <w:pStyle w:val="ListParagraph"/>
        <w:numPr>
          <w:ilvl w:val="0"/>
          <w:numId w:val="2"/>
        </w:numPr>
        <w:spacing w:after="80" w:line="280"/>
      </w:pPr>
      <w:r>
        <w:rPr>
          <w:sz w:val="22"/>
          <w:szCs w:val="22"/>
        </w:rPr>
        <w:t xml:space="preserve">公开资料及较早的Drewry、券商资料显示，中集集团全球集装箱制造市场份额约40%至45%，但不同统计可能覆盖标准箱、冷箱、特种箱或罐箱，不能视为所有箱型、所有年份的精确份额，也不能将不同年份和口径直接相加。</w:t>
      </w:r>
    </w:p>
    <w:p>
      <w:pPr>
        <w:pStyle w:val="ListParagraph"/>
        <w:numPr>
          <w:ilvl w:val="0"/>
          <w:numId w:val="2"/>
        </w:numPr>
        <w:spacing w:after="80" w:line="280"/>
      </w:pPr>
      <w:r>
        <w:rPr>
          <w:sz w:val="22"/>
          <w:szCs w:val="22"/>
        </w:rPr>
        <w:t xml:space="preserve">半挂车行业竞争者包括Schmitz Cargobull、Wabash National、Great Dane、Krone以及中国市场各类专用车和半挂车制造商；竞争受区域需求、贸易政策、运输价格和经销商库存周期影响。</w:t>
      </w:r>
    </w:p>
    <w:p>
      <w:pPr>
        <w:pStyle w:val="ListParagraph"/>
        <w:numPr>
          <w:ilvl w:val="0"/>
          <w:numId w:val="2"/>
        </w:numPr>
        <w:spacing w:after="80" w:line="280"/>
      </w:pPr>
      <w:r>
        <w:rPr>
          <w:sz w:val="22"/>
          <w:szCs w:val="22"/>
        </w:rPr>
        <w:t xml:space="preserve">能源、化工及液态食品装备竞争者包括Chart Industries、Hexagon Purus及相关氢能储运设备企业、中国特种压力容器和气体装备企业、Krones、Tetra Pak及国内专业工程公司。行业订单受天然气、化工资本开支和客户项目审批影响。</w:t>
      </w:r>
    </w:p>
    <w:p>
      <w:pPr>
        <w:pStyle w:val="ListParagraph"/>
        <w:numPr>
          <w:ilvl w:val="0"/>
          <w:numId w:val="2"/>
        </w:numPr>
        <w:spacing w:after="80" w:line="280"/>
      </w:pPr>
      <w:r>
        <w:rPr>
          <w:sz w:val="22"/>
          <w:szCs w:val="22"/>
        </w:rPr>
        <w:t xml:space="preserve">海洋工程竞争者包括海洋石油工程（600583）、中国船舶集团旗下海工及船舶企业、韩国、新加坡和欧洲大型海工船厂，以及MODEC、SBM Offshore等FPSO项目总包及运营商。行业项目金额大、建设周期长，单个项目对利润影响显著。</w:t>
      </w:r>
    </w:p>
    <w:p>
      <w:pPr>
        <w:pStyle w:val="ListParagraph"/>
        <w:numPr>
          <w:ilvl w:val="0"/>
          <w:numId w:val="2"/>
        </w:numPr>
        <w:spacing w:after="80" w:line="280"/>
      </w:pPr>
      <w:r>
        <w:rPr>
          <w:sz w:val="22"/>
          <w:szCs w:val="22"/>
        </w:rPr>
        <w:t xml:space="preserve">截至2025年末，中集海工累计在手订单价值约50.9亿美元，龙口基地已排产至2030年；2024年末约69.2亿美元、2025年6月底约55.5亿美元。不同时间点数据受交付、新签订单、汇率、合同变更及口径影响，不能简单解释为订单持续萎缩。</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中远海运发展/上海寰宇物流装备</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集装箱制造、箱租赁及物流装备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依托中远海运集团的航运和集装箱需求，在客户及产业链协同方面较强，是中集集团重要竞争者；中集业务更加多元。</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胜狮货柜企业有限公司（香港联交所0716）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干货箱、冷藏箱、特种箱和罐式集装箱</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传统集装箱制造商，拥有国际客户基础；中集在规模、全球制造网络和产品综合化程度方面更强。</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新华昌集团</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标准集装箱、特种集装箱及相关装备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国内主要集装箱制造商之一；中集在全球化布局和综合供应链能力方面更强。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中集车辆（301039）</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半挂车、专用车上装和运输装备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中集集团体系内控股子公司，也是全球半挂车主要制造商之一，严格意义上不是集团外部竞争对手。</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Schmitz Cargobull、Wabash National、Great Dane、Krone</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全球半挂车及运输装备</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与中集车辆在全球半挂车市场形成竞争，区域市场、品牌、渠道和产品认证是重要竞争因素。</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Chart Industries、Hexagon Purus及相关企业</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液化气体、低温装备及氢能储运装备</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与中集安瑞科在能源储运和清洁能源装备等领域存在竞争，项目技术、认证和客户需求是重要变量。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海洋石油工程（600583）及中国船舶集团相关海工企业</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海洋油气工程、海工装备和大型海洋工程项目</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具备大型海洋工程总包、设计、建造和安装能力；中集来福士更偏高端海工装备建造、集成及部分资产运营，双方存在部分交集但并非完全同质化竞争。</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MODEC、SBM Offshore</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FPSO项目总包及运营</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在FPSO等海洋油气装备项目中与中集海工存在一定竞争，项目总包、设计集成和运营经验是核心能力。</w:t>
            </w:r>
          </w:p>
        </w:tc>
      </w:tr>
    </w:tbl>
    <w:p>
      <w:pPr>
        <w:spacing w:before="200"/>
      </w:pPr>
    </w:p>
    <w:p>
      <w:pPr>
        <w:spacing w:after="160" w:line="300"/>
      </w:pPr>
      <w:r>
        <w:rPr>
          <w:sz w:val="22"/>
          <w:szCs w:val="22"/>
        </w:rPr>
        <w:t xml:space="preserve">中集集团相较单一集装箱制造商，业务覆盖道路运输车辆、能源装备、海洋工程、物流服务和机场装备，全球制造网络及产品综合化程度更高，但综合盈利也更容易受到多业务周期叠加影响。与中远海运体系相比，中集的业务多元化和全球制造能力更突出，而中远海运体系在航运客户及箱租赁协同方面更强；与海油工程等海工企业相比，中集来福士更偏高端海工装备设计、建造、集成及部分资产运营。整体而言，公司规模化标准制造构成基本盘，高端能源装备和海工业务决定利润结构升级空间。</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集装箱制造业务仍面临量价压力：公司提示2026年全年集装箱板块业绩承压，原因包括2025年高基数、运价和需求波动、材料价格上涨及行业竞争加剧；即使二季度排产有所回暖，也未必能够迅速恢复盈利水平。</w:t>
      </w:r>
    </w:p>
    <w:p>
      <w:pPr>
        <w:pStyle w:val="ListParagraph"/>
        <w:numPr>
          <w:ilvl w:val="0"/>
          <w:numId w:val="2"/>
        </w:numPr>
        <w:spacing w:after="80" w:line="280"/>
      </w:pPr>
      <w:r>
        <w:rPr>
          <w:sz w:val="22"/>
          <w:szCs w:val="22"/>
        </w:rPr>
        <w:t xml:space="preserve">汇率和套期保值损益可能继续大幅扰动利润：2026年上半年外币敞口汇兑损失约8.025亿元，汇率及利率套期保值业务损失约0.098亿元，合计约8.123亿元；公司美元等外汇敞口及衍生品规模较大，人民币继续升值或套保效果不及预期可能压低归母净利润。</w:t>
      </w:r>
    </w:p>
    <w:p>
      <w:pPr>
        <w:pStyle w:val="ListParagraph"/>
        <w:numPr>
          <w:ilvl w:val="0"/>
          <w:numId w:val="2"/>
        </w:numPr>
        <w:spacing w:after="80" w:line="280"/>
      </w:pPr>
      <w:r>
        <w:rPr>
          <w:sz w:val="22"/>
          <w:szCs w:val="22"/>
        </w:rPr>
        <w:t xml:space="preserve">海洋工程项目具有金额大、周期长、验收节点复杂的特点：截至2025年末海工在手订单价值约50.9亿美元，且公司披露2026年一季度生效合同额约7.5亿美元，但订单金额不等同于当期收入或利润，项目交付延期、合同变更、成本超支或利润确认节奏变化可能造成业绩波动。</w:t>
      </w:r>
    </w:p>
    <w:p>
      <w:pPr>
        <w:pStyle w:val="ListParagraph"/>
        <w:numPr>
          <w:ilvl w:val="0"/>
          <w:numId w:val="2"/>
        </w:numPr>
        <w:spacing w:after="80" w:line="280"/>
      </w:pPr>
      <w:r>
        <w:rPr>
          <w:sz w:val="22"/>
          <w:szCs w:val="22"/>
        </w:rPr>
        <w:t xml:space="preserve">营运资金占用和应收账款减值风险较高：截至2024年末应收账款原值约332.71亿元，已计提坏账准备约16.15亿元；2026年上半年应收账款坏账准备本期增加约3.19亿元，若项目客户回款放缓，可能进一步增加减值并压制经营现金流。</w:t>
      </w:r>
    </w:p>
    <w:p>
      <w:pPr>
        <w:pStyle w:val="ListParagraph"/>
        <w:numPr>
          <w:ilvl w:val="0"/>
          <w:numId w:val="2"/>
        </w:numPr>
        <w:spacing w:after="80" w:line="280"/>
      </w:pPr>
      <w:r>
        <w:rPr>
          <w:sz w:val="22"/>
          <w:szCs w:val="22"/>
        </w:rPr>
        <w:t xml:space="preserve">经营现金流与利润表现存在压力：2026年上半年经营活动现金流量净额为-5.60亿元，而2025年同期为71.54亿元；公司业务包含项目制装备、贸易和物流服务，订单增长若伴随较大预付款、存货或应收账款占用，可能削弱利润向现金流的转化。</w:t>
      </w:r>
    </w:p>
    <w:p>
      <w:pPr>
        <w:pStyle w:val="ListParagraph"/>
        <w:numPr>
          <w:ilvl w:val="0"/>
          <w:numId w:val="2"/>
        </w:numPr>
        <w:spacing w:after="80" w:line="280"/>
      </w:pPr>
      <w:r>
        <w:rPr>
          <w:sz w:val="22"/>
          <w:szCs w:val="22"/>
        </w:rPr>
        <w:t xml:space="preserve">公司拟申请注册总规模不超过150亿元的多品种债务融资工具，且截至2026年6月30日公司及控股子公司担保余额合计244.06亿元；债务融资工具最终能否获准存在不确定性，新增融资和较高担保规模可能增加资金成本及财务结构压力。</w:t>
      </w:r>
    </w:p>
    <w:p>
      <w:pPr>
        <w:pStyle w:val="ListParagraph"/>
        <w:numPr>
          <w:ilvl w:val="0"/>
          <w:numId w:val="2"/>
        </w:numPr>
        <w:spacing w:after="80" w:line="280"/>
      </w:pPr>
      <w:r>
        <w:rPr>
          <w:sz w:val="22"/>
          <w:szCs w:val="22"/>
        </w:rPr>
        <w:t xml:space="preserve">机构盈利预测存在较大不确定性：2026年归母净利润预测区间为21.67亿至40.13亿元，且2026年半年报未经审计；若海工交付、能源装备订单或集装箱业务修复低于预期，当前基于预测利润的估值参考可能失效。</w:t>
      </w:r>
    </w:p>
    <w:p>
      <w:pPr>
        <w:pStyle w:val="ListParagraph"/>
        <w:numPr>
          <w:ilvl w:val="0"/>
          <w:numId w:val="2"/>
        </w:numPr>
        <w:spacing w:after="80" w:line="280"/>
      </w:pPr>
      <w:r>
        <w:rPr>
          <w:sz w:val="22"/>
          <w:szCs w:val="22"/>
        </w:rPr>
        <w:t xml:space="preserve">模块化数据中心虽已实现三大基地协同量产并服务超过300MW客户，但该业务2025年收入占集团总收入比例远低于1%，目前对集团整体业绩贡献较小，相关服务规模不应直接等同于已确认订单或利润增长。</w:t>
      </w:r>
    </w:p>
    <w:p>
      <w:pPr>
        <w:pStyle w:val="ListParagraph"/>
        <w:numPr>
          <w:ilvl w:val="0"/>
          <w:numId w:val="2"/>
        </w:numPr>
        <w:spacing w:after="80" w:line="280"/>
      </w:pPr>
      <w:r>
        <w:rPr>
          <w:sz w:val="22"/>
          <w:szCs w:val="22"/>
        </w:rPr>
        <w:t xml:space="preserve">短期技术面仍偏弱：2026年9月11日股价9.17元低于MA5、MA10和MA20，若有效跌破9.00元并进一步失守约8.75元，可能回撤至8.50—8.60元区域；不过技术指标具有滞后性，相关区间仅反映历史价格和成交结构。</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中集集团的中长期增长逻辑在于利用全球制造网络、规模采购、交付能力和技术认证优势，推动利润结构从标准集装箱及普通运输装备向高端海工、清洁能源及能源化工装备、罐式和特种集装箱、机场及智能物流装备升级。海工在手订单及新签合同为收入和利润改善提供一定基础，中集天达持股比例拟提升至83.73%也有助于增强对子公司的控制和业务协同。</w:t>
      </w:r>
    </w:p>
    <w:p>
      <w:pPr>
        <w:spacing w:after="160" w:line="300"/>
      </w:pPr>
      <w:r>
        <w:rPr>
          <w:sz w:val="22"/>
          <w:szCs w:val="22"/>
        </w:rPr>
        <w:t xml:space="preserve">短期业绩修复仍需多个条件共同兑现，包括集装箱需求和价格企稳、材料成本压力缓和、海工项目按计划交付并确认利润、能源装备订单落地，以及人民币汇率和套期保值损益改善。机构预测显示市场对2026—2028年利润恢复抱有预期，但该预期并非公司官方指引，且2026年上半年收入增长尚未转化为利润增长，现金流和盈利质量仍需跟踪。</w:t>
      </w:r>
    </w:p>
    <w:p>
      <w:pPr>
        <w:spacing w:after="160" w:line="300"/>
      </w:pPr>
      <w:r>
        <w:rPr>
          <w:sz w:val="22"/>
          <w:szCs w:val="22"/>
        </w:rPr>
        <w:t xml:space="preserve">公司还计划注销部分回购A股、开展H股回购，并申请注册不超过150亿元债务融资工具；这些事项可能影响股本、资金安排和财务结构，但均存在审批、注册或后续执行不确定性。总体而言，公司具备多元化业务和高端装备升级潜力，但未来表现取决于周期业务修复与项目型业务兑现，不能仅以较低市净率或机构盈利预测判断业绩确定性。</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中集集团(000039)_公司公告_中集集团：2025年年度报告摘要新浪财经_新浪网 — https://vip.stock.finance.sina.com.cn/corp/view/vCB_AllBulletinDetail.php?CompanyCode=10000628&amp;gather=1&amp;id=12024875&amp;utm_source=openai</w:t>
      </w:r>
    </w:p>
    <w:p>
      <w:pPr>
        <w:spacing w:after="200"/>
      </w:pPr>
      <w:r>
        <w:rPr>
          <w:i/>
          <w:iCs/>
          <w:color w:val="595959"/>
          <w:sz w:val="18"/>
          <w:szCs w:val="18"/>
        </w:rPr>
        <w:t xml:space="preserve">中集集团(000039)财务附注_新浪财经_新浪网 — https://vip.stock.finance.sina.com.cn/corp/go.php/vFD_FootNotes/stockid/000039.phtml?utm_source=openai</w:t>
      </w:r>
    </w:p>
    <w:p>
      <w:pPr>
        <w:spacing w:after="200"/>
      </w:pPr>
      <w:r>
        <w:rPr>
          <w:i/>
          <w:iCs/>
          <w:color w:val="595959"/>
          <w:sz w:val="18"/>
          <w:szCs w:val="18"/>
        </w:rPr>
        <w:t xml:space="preserve">https://app.cnstock.com/zzb/zgzqb/html/2026-03/27/nw.D110000zgzqb_20260327_2-B089.htm?utm_source=openai — https://app.cnstock.com/zzb/zgzqb/html/2026-03/27/nw.D110000zgzqb_20260327_2-B089.htm?utm_source=openai</w:t>
      </w:r>
    </w:p>
    <w:p>
      <w:pPr>
        <w:spacing w:after="200"/>
      </w:pPr>
      <w:r>
        <w:rPr>
          <w:i/>
          <w:iCs/>
          <w:color w:val="595959"/>
          <w:sz w:val="18"/>
          <w:szCs w:val="18"/>
        </w:rPr>
        <w:t xml:space="preserve">中集集团(000039) 经营分析_F10_同花顺金融服务网 — https://basic.10jqka.com.cn/000039/operate.html</w:t>
      </w:r>
    </w:p>
    <w:p>
      <w:pPr>
        <w:spacing w:after="200"/>
      </w:pPr>
      <w:r>
        <w:rPr>
          <w:i/>
          <w:iCs/>
          <w:color w:val="595959"/>
          <w:sz w:val="18"/>
          <w:szCs w:val="18"/>
        </w:rPr>
        <w:t xml:space="preserve">中集集团公布2024年全年业绩 — https://www.jcnnewswire.com/pressrelease/98603/2/%E4%B8%AD%E9%9B%86%E9%9B%86%E5%9B%A2%E5%85%AC%E5%B8%832024%E5%B9%B4%E5%85%A8%E5%B9%B4%E4%B8%9A%E7%BB%A9?utm_source=openai</w:t>
      </w:r>
    </w:p>
    <w:p>
      <w:pPr>
        <w:spacing w:after="200"/>
      </w:pPr>
      <w:r>
        <w:rPr>
          <w:i/>
          <w:iCs/>
          <w:color w:val="595959"/>
          <w:sz w:val="18"/>
          <w:szCs w:val="18"/>
        </w:rPr>
        <w:t xml:space="preserve">中集集团(000039)_公司公告_中集集团：投资者关系管理信息20251124新浪财经_新浪网 — https://vip.stock.finance.sina.com.cn/corp/view/vCB_AllBulletinDetail.php?CompanyCode=10000628&amp;gather=1&amp;id=11639660&amp;utm_source=openai</w:t>
      </w:r>
    </w:p>
    <w:p>
      <w:pPr>
        <w:spacing w:after="200"/>
      </w:pPr>
      <w:r>
        <w:rPr>
          <w:i/>
          <w:iCs/>
          <w:color w:val="595959"/>
          <w:sz w:val="18"/>
          <w:szCs w:val="18"/>
        </w:rPr>
        <w:t xml:space="preserve">中集集团：截至2024年末公司海工板块累计在手订单价值达到69.2亿美元 | 每经网 — https://www.nbd.com.cn/articles/2025-04-21/3840369.html?utm_source=openai</w:t>
      </w:r>
    </w:p>
    <w:p>
      <w:pPr>
        <w:spacing w:after="200"/>
      </w:pPr>
      <w:r>
        <w:rPr>
          <w:i/>
          <w:iCs/>
          <w:color w:val="595959"/>
          <w:sz w:val="18"/>
          <w:szCs w:val="18"/>
        </w:rPr>
        <w:t xml:space="preserve">中集集团(000039) 经营分析_F10_同花顺金融服务网 — https://basic.10jqka.com.cn/000039/operate.html?utm_source=openai</w:t>
      </w:r>
    </w:p>
    <w:p>
      <w:pPr>
        <w:spacing w:after="200"/>
      </w:pPr>
      <w:r>
        <w:rPr>
          <w:i/>
          <w:iCs/>
          <w:color w:val="595959"/>
          <w:sz w:val="18"/>
          <w:szCs w:val="18"/>
        </w:rPr>
        <w:t xml:space="preserve">中集集团(000039)_公司公告_中集集团：2024年年度审计报告2新浪财经_新浪网 — https://money.finance.sina.com.cn/corp/view/vCB_AllBulletinDetail.php?id=10820358&amp;stockid=000039&amp;utm_source=openai</w:t>
      </w:r>
    </w:p>
    <w:p>
      <w:pPr>
        <w:spacing w:after="200"/>
      </w:pPr>
      <w:r>
        <w:rPr>
          <w:i/>
          <w:iCs/>
          <w:color w:val="595959"/>
          <w:sz w:val="18"/>
          <w:szCs w:val="18"/>
        </w:rPr>
        <w:t xml:space="preserve">公司报告 | 首次覆盖报告 — https://investor.cimc.com/media/k4xemn2q/%E5%A4%A9%E9%A3%8E%E8%AF%81%E5%88%B8-%E5%85%A8%E7%90%83%E9%9B%86%E8%A3%85%E7%AE%B1%E5%88%B6%E9%80%A0%E9%BE%99%E5%A4%B4%E6%88%96%E8%BF%8E%E6%9D%A5%E4%B8%9A%E7%BB%A9%E6%8B%90%E7%82%B9-%E9%9D%9E%E7%AE%B1%E4%B8%9A%E5%8A%A1%E5%90%8C%E6%A0%B7%E6%9C%AA%E6%9D%A5%E5%8F%AF%E6%9C%9F.pdf?utm_source=openai</w:t>
      </w:r>
    </w:p>
    <w:p>
      <w:pPr>
        <w:spacing w:after="200"/>
      </w:pPr>
      <w:r>
        <w:rPr>
          <w:i/>
          <w:iCs/>
          <w:color w:val="595959"/>
          <w:sz w:val="18"/>
          <w:szCs w:val="18"/>
        </w:rPr>
        <w:t xml:space="preserve">鹰眼预警：中集集团销售毛利率持续下降|毛利率_新浪财经_新浪网 — https://finance.sina.com.cn/stock/yyyj/2025-03-28/doc-inerfpzn6757613.shtml?utm_source=openai</w:t>
      </w:r>
    </w:p>
    <w:p>
      <w:pPr>
        <w:spacing w:after="200"/>
      </w:pPr>
      <w:r>
        <w:rPr>
          <w:i/>
          <w:iCs/>
          <w:color w:val="595959"/>
          <w:sz w:val="18"/>
          <w:szCs w:val="18"/>
        </w:rPr>
        <w:t xml:space="preserve">申万宏源-中集集团(000039)深圳工业之光,全球领先的物流与能源装备供应商-210208.pdf — https://investor.cimc.com/media/pmadkxd5/%E7%94%B3%E4%B8%87%E5%AE%8F%E6%BA%90-%E6%B7%B1%E5%9C%B3%E5%B7%A5%E4%B8%9A%E4%B9%8B%E5%85%89-%E5%85%A8%E7%90%83%E9%A2%86%E5%85%88%E7%9A%84%E7%89%A9%E6%B5%81%E4%B8%8E%E8%83%BD%E6%BA%90%E8%A3%85%E5%A4%87%E4%BE%9B%E5%BA%94%E5%95%86.pdf?utm_source=openai</w:t>
      </w:r>
    </w:p>
    <w:p>
      <w:pPr>
        <w:spacing w:after="200"/>
      </w:pPr>
      <w:r>
        <w:rPr>
          <w:i/>
          <w:iCs/>
          <w:color w:val="595959"/>
          <w:sz w:val="18"/>
          <w:szCs w:val="18"/>
        </w:rPr>
        <w:t xml:space="preserve">中集集团(000039)_公司公告_中集集团：2026年半年度报告摘要新浪财经_新浪网 — https://money.finance.sina.com.cn/corp/view/vCB_AllBulletinDetail.php?id=12573396&amp;stockid=000039&amp;utm_source=openai</w:t>
      </w:r>
    </w:p>
    <w:p>
      <w:pPr>
        <w:spacing w:after="200"/>
      </w:pPr>
      <w:r>
        <w:rPr>
          <w:i/>
          <w:iCs/>
          <w:color w:val="595959"/>
          <w:sz w:val="18"/>
          <w:szCs w:val="18"/>
        </w:rPr>
        <w:t xml:space="preserve">中集集团(000039)利润表_新浪财经_新浪网 — https://vip.stock.finance.sina.com.cn/corp/go.php/vFD_ProfitStatement/stockid/000039/ctrl/part/displaytype/4.phtml?utm_source=openai</w:t>
      </w:r>
    </w:p>
    <w:p>
      <w:pPr>
        <w:spacing w:after="200"/>
      </w:pPr>
      <w:r>
        <w:rPr>
          <w:i/>
          <w:iCs/>
          <w:color w:val="595959"/>
          <w:sz w:val="18"/>
          <w:szCs w:val="18"/>
        </w:rPr>
        <w:t xml:space="preserve">2026年半年报点评：Q2营收同比+15%增速稳健，海工板块订单、利润高增- 宏观研究报告 _ 数据中心 _ 东方财富网 — https://data.eastmoney.com/report/info/AP202609021828932716.html?utm_source=openai</w:t>
      </w:r>
    </w:p>
    <w:p>
      <w:pPr>
        <w:spacing w:after="200"/>
      </w:pPr>
      <w:r>
        <w:rPr>
          <w:i/>
          <w:iCs/>
          <w:color w:val="595959"/>
          <w:sz w:val="18"/>
          <w:szCs w:val="18"/>
        </w:rPr>
        <w:t xml:space="preserve">中集集团(000039)26H1点评：海工业务景气上行 板块盈利高增 模块化数据中心持续加速__新浪财经_新浪网 — https://stock.finance.sina.com.cn/stock/go.php/vReport_Show/kind/search/rptid/841723592704/index.phtml?utm_source=openai</w:t>
      </w:r>
    </w:p>
    <w:p>
      <w:pPr>
        <w:spacing w:after="200"/>
      </w:pPr>
      <w:r>
        <w:rPr>
          <w:i/>
          <w:iCs/>
          <w:color w:val="595959"/>
          <w:sz w:val="18"/>
          <w:szCs w:val="18"/>
        </w:rPr>
        <w:t xml:space="preserve">中集集团(000039)_公司公告_中集集团：2025年年度报告摘要新浪财经_新浪网 — https://money.finance.sina.com.cn/corp/view/vCB_AllBulletinDetail.php?id=12024875&amp;stockid=000039&amp;utm_source=openai</w:t>
      </w:r>
    </w:p>
    <w:p>
      <w:pPr>
        <w:spacing w:after="200"/>
      </w:pPr>
      <w:r>
        <w:rPr>
          <w:i/>
          <w:iCs/>
          <w:color w:val="595959"/>
          <w:sz w:val="18"/>
          <w:szCs w:val="18"/>
        </w:rPr>
        <w:t xml:space="preserve">中集集团(000039) 盈利预测_F10_同花顺金融服务网 — https://basic.10jqka.com.cn/000039/worth.html</w:t>
      </w:r>
    </w:p>
    <w:p>
      <w:pPr>
        <w:spacing w:after="200"/>
      </w:pPr>
      <w:r>
        <w:rPr>
          <w:i/>
          <w:iCs/>
          <w:color w:val="595959"/>
          <w:sz w:val="18"/>
          <w:szCs w:val="18"/>
        </w:rPr>
        <w:t xml:space="preserve">中集集团(000039)：海工业务盈利能力显著提升 — https://quote.cfi.cn/ybdata.aspx?id=20260902000315</w:t>
      </w:r>
    </w:p>
    <w:p>
      <w:pPr>
        <w:spacing w:after="200"/>
      </w:pPr>
      <w:r>
        <w:rPr>
          <w:i/>
          <w:iCs/>
          <w:color w:val="595959"/>
          <w:sz w:val="18"/>
          <w:szCs w:val="18"/>
        </w:rPr>
        <w:t xml:space="preserve">中集集团(000039) 盈利预测_F10_同花顺金融服务网 — https://basic.10jqka.com.cn/48/000039/worth.html</w:t>
      </w:r>
    </w:p>
    <w:p>
      <w:pPr>
        <w:spacing w:after="200"/>
      </w:pPr>
      <w:r>
        <w:rPr>
          <w:i/>
          <w:iCs/>
          <w:color w:val="595959"/>
          <w:sz w:val="18"/>
          <w:szCs w:val="18"/>
        </w:rPr>
        <w:t xml:space="preserve">中集集团(000039)股票最新价格行情,实时走势图,股价分析预测_英为财情Investing.com — https://cn.investing.com/equities/intl-container-a?utm_source=openai</w:t>
      </w:r>
    </w:p>
    <w:p>
      <w:pPr>
        <w:spacing w:after="200"/>
      </w:pPr>
      <w:r>
        <w:rPr>
          <w:i/>
          <w:iCs/>
          <w:color w:val="595959"/>
          <w:sz w:val="18"/>
          <w:szCs w:val="18"/>
        </w:rPr>
        <w:t xml:space="preserve">中集集团(000039)股票信息 - 数据平台 — https://data.agoer.com/cms/Index/detail?id=000039&amp;utm_source=openai</w:t>
      </w:r>
    </w:p>
    <w:p>
      <w:pPr>
        <w:spacing w:after="200"/>
      </w:pPr>
      <w:r>
        <w:rPr>
          <w:i/>
          <w:iCs/>
          <w:color w:val="595959"/>
          <w:sz w:val="18"/>
          <w:szCs w:val="18"/>
        </w:rPr>
        <w:t xml:space="preserve">中集集团(000039)市盈率|估值|基本面 - 理杏仁 — https://www.lixinger.com/equity/company/detail/sz/000039/39/fundamental/valuation/pe-ttm</w:t>
      </w:r>
    </w:p>
    <w:p>
      <w:pPr>
        <w:spacing w:after="200"/>
      </w:pPr>
      <w:r>
        <w:rPr>
          <w:i/>
          <w:iCs/>
          <w:color w:val="595959"/>
          <w:sz w:val="18"/>
          <w:szCs w:val="18"/>
        </w:rPr>
        <w:t xml:space="preserve">中集集团(000039)_公司公告_中集集团：2026年半年度报告摘要新浪财经_新浪网 — https://vip.stock.finance.sina.com.cn/corp/view/vCB_AllBulletinDetail.php?id=12573396&amp;stockid=000039&amp;utm_source=openai</w:t>
      </w:r>
    </w:p>
    <w:p>
      <w:pPr>
        <w:spacing w:after="200"/>
      </w:pPr>
      <w:r>
        <w:rPr>
          <w:i/>
          <w:iCs/>
          <w:color w:val="595959"/>
          <w:sz w:val="18"/>
          <w:szCs w:val="18"/>
        </w:rPr>
        <w:t xml:space="preserve">中集集团(000039)_公司公告_中集集团：投资者关系管理信息20260902新浪财经_新浪网 — https://money.finance.sina.com.cn/corp/view/vCB_AllBulletinDetail.php?id=12580469&amp;stockid=000039</w:t>
      </w:r>
    </w:p>
    <w:p>
      <w:pPr>
        <w:spacing w:after="200"/>
      </w:pPr>
      <w:r>
        <w:rPr>
          <w:i/>
          <w:iCs/>
          <w:color w:val="595959"/>
          <w:sz w:val="18"/>
          <w:szCs w:val="18"/>
        </w:rPr>
        <w:t xml:space="preserve">中集集团(000039)_公司公告_中集集团：关于变更回购部分A股股份用途并注销暨减少注册资本及修订《公司章程》的公告新浪财经_新浪网 — https://money.finance.sina.com.cn/corp/view/vCB_AllBulletinDetail.php?id=12571086&amp;stockid=000039</w:t>
      </w:r>
    </w:p>
    <w:p>
      <w:pPr>
        <w:spacing w:after="200"/>
      </w:pPr>
      <w:r>
        <w:rPr>
          <w:i/>
          <w:iCs/>
          <w:color w:val="595959"/>
          <w:sz w:val="18"/>
          <w:szCs w:val="18"/>
        </w:rPr>
        <w:t xml:space="preserve">中集集团(000039)_公司公告_中集集团：关于第十一届董事会二〇二六年度第十四次会议决议的公告新浪财经_新浪网 — https://vip.stock.finance.sina.com.cn/corp/view/vCB_AllBulletinDetail.php?id=12585430&amp;stockid=000039</w:t>
      </w:r>
    </w:p>
    <w:p>
      <w:pPr>
        <w:spacing w:after="200"/>
      </w:pPr>
      <w:r>
        <w:rPr>
          <w:i/>
          <w:iCs/>
          <w:color w:val="595959"/>
          <w:sz w:val="18"/>
          <w:szCs w:val="18"/>
        </w:rPr>
        <w:t xml:space="preserve">中集集团(000039)_公司公告_中集集团：2026年半年度报告新浪财经_新浪网 — https://money.finance.sina.com.cn/corp/view/vCB_AllBulletinDetail.php?id=12573394&amp;stockid=000039&amp;utm_source=openai</w:t>
      </w:r>
    </w:p>
    <w:p>
      <w:pPr>
        <w:spacing w:after="200"/>
      </w:pPr>
      <w:r>
        <w:rPr>
          <w:i/>
          <w:iCs/>
          <w:color w:val="595959"/>
          <w:sz w:val="18"/>
          <w:szCs w:val="18"/>
        </w:rPr>
        <w:t xml:space="preserve">中集集团: 中国国际海运集装箱（集团）股份有限公司关于董事辞职暨选举副董事长及补选董事的公告_股票频道_证券之星 — https://stock.stockstar.com/notice/SN2026082900007092.shtml?utm_source=openai</w:t>
      </w:r>
    </w:p>
    <w:p>
      <w:pPr>
        <w:spacing w:after="200"/>
      </w:pPr>
      <w:r>
        <w:rPr>
          <w:i/>
          <w:iCs/>
          <w:color w:val="595959"/>
          <w:sz w:val="18"/>
          <w:szCs w:val="18"/>
        </w:rPr>
        <w:t xml:space="preserve">中集集团(000039)_公司公告_中集集团：关于独立董事辞任的公告新浪财经_新浪网 — https://vip.stock.finance.sina.com.cn/corp/view/vCB_AllBulletinDetail.php?id=12466306&amp;stockid=000039</w:t>
      </w:r>
    </w:p>
    <w:p>
      <w:pPr>
        <w:spacing w:after="200"/>
      </w:pPr>
      <w:r>
        <w:rPr>
          <w:i/>
          <w:iCs/>
          <w:color w:val="595959"/>
          <w:sz w:val="18"/>
          <w:szCs w:val="18"/>
        </w:rPr>
        <w:t xml:space="preserve">中集集团(000039)_公司公告_中集集团：关于申请注册发行银行间市场交易商协会债务融资工具的公告新浪财经_新浪网 — https://vip.stock.finance.sina.com.cn/corp/view/vCB_AllBulletinDetail.php?id=12573387&amp;stockid=000039</w:t>
      </w:r>
    </w:p>
    <w:p>
      <w:pPr>
        <w:spacing w:after="200"/>
      </w:pPr>
      <w:r>
        <w:rPr>
          <w:i/>
          <w:iCs/>
          <w:color w:val="595959"/>
          <w:sz w:val="18"/>
          <w:szCs w:val="18"/>
        </w:rPr>
        <w:t xml:space="preserve">中集集团(000039)_公司公告_中集集团：关于2026年度担保计划额度调剂的公告新浪财经_新浪网 — https://vip.stock.finance.sina.com.cn/corp/view/vCB_AllBulletinDetail.php?id=12573390&amp;stockid=000039</w:t>
      </w:r>
    </w:p>
    <w:p>
      <w:pPr>
        <w:spacing w:after="200"/>
      </w:pPr>
      <w:r>
        <w:rPr>
          <w:i/>
          <w:iCs/>
          <w:color w:val="595959"/>
          <w:sz w:val="18"/>
          <w:szCs w:val="18"/>
        </w:rPr>
        <w:t xml:space="preserve">中集集团(000039)_公司公告_中集集团：关于购买子公司中集天达控股有限公司股权的公告新浪财经_新浪网 — https://vip.stock.finance.sina.com.cn/corp/view/vCB_AllBulletinDetail.php?id=12466539&amp;stockid=000039</w:t>
      </w:r>
    </w:p>
    <w:p>
      <w:pPr>
        <w:spacing w:after="200"/>
      </w:pPr>
      <w:r>
        <w:rPr>
          <w:i/>
          <w:iCs/>
          <w:color w:val="595959"/>
          <w:sz w:val="18"/>
          <w:szCs w:val="18"/>
        </w:rPr>
        <w:t xml:space="preserve">中集集团(000039)_公司公告_中集集团：关于2026年半年度计提减值准备的公告新浪财经_新浪网 — https://vip.stock.finance.sina.com.cn/corp/view/vCB_AllBulletinDetail.php?id=12573389&amp;stockid=000039</w:t>
      </w:r>
    </w:p>
    <w:p>
      <w:pPr>
        <w:spacing w:after="200"/>
      </w:pPr>
      <w:r>
        <w:rPr>
          <w:i/>
          <w:iCs/>
          <w:color w:val="595959"/>
          <w:sz w:val="18"/>
          <w:szCs w:val="18"/>
        </w:rPr>
        <w:t xml:space="preserve">中集集团(000039)_公司公告_中集集团：关于开展套期保值业务的进展公告新浪财经_新浪网 — https://vip.stock.finance.sina.com.cn/corp/view/vCB_AllBulletinDetail.php?id=12573392&amp;stockid=000039</w:t>
      </w:r>
    </w:p>
    <w:p>
      <w:pPr>
        <w:spacing w:after="200"/>
      </w:pPr>
      <w:r>
        <w:rPr>
          <w:i/>
          <w:iCs/>
          <w:color w:val="595959"/>
          <w:sz w:val="18"/>
          <w:szCs w:val="18"/>
        </w:rPr>
        <w:t xml:space="preserve">中集集团(000039)_股票行情，行情首页_中财网 — https://quote.cfi.cn/quote.aspx?client=pc&amp;stockid=37&amp;utm_source=openai</w:t>
      </w:r>
    </w:p>
    <w:p>
      <w:pPr>
        <w:spacing w:after="200"/>
      </w:pPr>
      <w:r>
        <w:rPr>
          <w:i/>
          <w:iCs/>
          <w:color w:val="595959"/>
          <w:sz w:val="18"/>
          <w:szCs w:val="18"/>
        </w:rPr>
        <w:t xml:space="preserve">中集集团(SZ000039)股票股价_股价行情_财报_数据报告 - 雪球 — https://xueqiu.com/S/sz000039?utm_source=openai</w:t>
      </w:r>
    </w:p>
    <w:p>
      <w:pPr>
        <w:spacing w:after="200"/>
      </w:pPr>
      <w:r>
        <w:rPr>
          <w:i/>
          <w:iCs/>
          <w:color w:val="595959"/>
          <w:sz w:val="18"/>
          <w:szCs w:val="18"/>
        </w:rPr>
        <w:t xml:space="preserve">中集集团(000039)股票行情走势技术分析_未来预测_买卖操作建议_英为财情Investing.com — https://cn.investing.com/equities/intl-container-a-technical</w:t>
      </w:r>
    </w:p>
    <w:p>
      <w:pPr>
        <w:spacing w:after="200"/>
      </w:pPr>
      <w:r>
        <w:rPr>
          <w:i/>
          <w:iCs/>
          <w:color w:val="595959"/>
          <w:sz w:val="18"/>
          <w:szCs w:val="18"/>
        </w:rPr>
        <w:t xml:space="preserve">中集集团(000039)股票最新价格行情,实时走势图,股价分析预测_英为财情Investing.com — https://cn.investing.com/equities/intl-container-a</w:t>
      </w:r>
    </w:p>
    <w:p>
      <w:pPr>
        <w:spacing w:after="200"/>
      </w:pPr>
      <w:r>
        <w:rPr>
          <w:i/>
          <w:iCs/>
          <w:color w:val="595959"/>
          <w:sz w:val="18"/>
          <w:szCs w:val="18"/>
        </w:rPr>
        <w:t xml:space="preserve">中集集团(000039)个股分析_牛叉诊股_同花顺财经 — https://doctor.10jqka.com.cn/000039/?utm_source=openai</w:t>
      </w:r>
    </w:p>
    <w:p>
      <w:pPr>
        <w:spacing w:after="200"/>
      </w:pPr>
      <w:r>
        <w:rPr>
          <w:i/>
          <w:iCs/>
          <w:color w:val="595959"/>
          <w:sz w:val="18"/>
          <w:szCs w:val="18"/>
        </w:rPr>
        <w:t xml:space="preserve">中集集团(000039)（000039） — https://jieniu.club/entity/cmr7vma45016mitcyjcud5imn?utm_source=openai</w:t>
      </w:r>
    </w:p>
    <w:p>
      <w:pPr>
        <w:spacing w:after="200"/>
      </w:pPr>
      <w:r>
        <w:rPr>
          <w:i/>
          <w:iCs/>
          <w:color w:val="595959"/>
          <w:sz w:val="18"/>
          <w:szCs w:val="18"/>
        </w:rPr>
        <w:t xml:space="preserve">中集集团(000039) 最新动态_F10_同花顺金融服务网 — https://basic.10jqka.com.cn/000039/</w:t>
      </w:r>
    </w:p>
    <w:p>
      <w:pPr>
        <w:spacing w:after="200"/>
      </w:pPr>
      <w:r>
        <w:rPr>
          <w:i/>
          <w:iCs/>
          <w:color w:val="595959"/>
          <w:sz w:val="18"/>
          <w:szCs w:val="18"/>
        </w:rPr>
        <w:t xml:space="preserve">本报告由AI基于公开渠道信息自动检索、整理并生成，信息截至 截至2026年9月11日收盘；2026年9月14日页面为盘中延迟行情，不作为最新收盘价，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2026-09-14T06:14:39.825Z</dcterms:created>
  <dcterms:modified xsi:type="dcterms:W3CDTF">2026-09-14T06:14:39.825Z</dcterms:modified>
</cp:coreProperties>
</file>

<file path=docProps/custom.xml><?xml version="1.0" encoding="utf-8"?>
<Properties xmlns="http://schemas.openxmlformats.org/officeDocument/2006/custom-properties" xmlns:vt="http://schemas.openxmlformats.org/officeDocument/2006/docPropsVTypes"/>
</file>