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中兴通讯股份有限公司 (000063)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行业：通信设备与ICT解决方案</w:t>
      </w:r>
    </w:p>
    <w:p>
      <w:pPr>
        <w:jc w:val="center"/>
      </w:pPr>
      <w:r>
        <w:rPr>
          <w:color w:val="595959"/>
          <w:sz w:val="22"/>
          <w:szCs w:val="22"/>
        </w:rPr>
        <w:t xml:space="preserve">报告日期：2026年9月13日</w:t>
      </w:r>
    </w:p>
    <w:p>
      <w:pPr>
        <w:jc w:val="center"/>
      </w:pPr>
      <w:r>
        <w:rPr>
          <w:color w:val="595959"/>
          <w:sz w:val="20"/>
          <w:szCs w:val="20"/>
        </w:rPr>
        <w:t xml:space="preserve">截至2026年9月11日收盘；技术指标、资金流向及行情数据以研究纪要所列口径为准，部分指标为第三方页面或基于历史收盘价估算。</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兴通讯最新经营表现呈现“收入增长但盈利承压”：2026年上半年营业收入780.25亿元，同比增长9.05%，归母净利润27.53亿元，同比下降45.57%，扣非归母净利润同比下降45.89%；综合毛利率降至25.48%，营业成本增速达20.29%，高于收入增速。2025年全年亦表现为收入增长10.38%而归母净利润下降33.32%，显示公司当前最具决策意义的矛盾在于算力业务快速放量尚未同步转化为利润增长。</w:t>
      </w:r>
    </w:p>
    <w:p>
      <w:pPr>
        <w:spacing w:after="160" w:line="300"/>
      </w:pPr>
      <w:r>
        <w:rPr>
          <w:sz w:val="22"/>
          <w:szCs w:val="22"/>
        </w:rPr>
        <w:t xml:space="preserve">业务结构正在由传统运营商网络向“连接+算力”转型。2026年上半年算力业务收入同比增长超过55%，占总营收比重提升至35.1%，服务器及存储、数据中心产品收入分别同比增长接近60%和超过90%；但同期政企业务毛利率为15.84%，运营商网络业务收入同比下降9.41%、毛利率为38.06%。2025年算力业务收入同比增长约150%，占整体收入约24.6%，政企业务收入同比增长100.49%但毛利率仅10.97%，低毛利硬件业务扩张和高毛利运营商网络承压共同导致综合毛利率由2024年的37.91%降至2025年的30.25%。</w:t>
      </w:r>
    </w:p>
    <w:p>
      <w:pPr>
        <w:spacing w:after="160" w:line="300"/>
      </w:pPr>
      <w:r>
        <w:rPr>
          <w:sz w:val="22"/>
          <w:szCs w:val="22"/>
        </w:rPr>
        <w:t xml:space="preserve">公司仍具备通信设备、运营商网络、政企ICT、算力基础设施及终端的综合产品能力，国内收入占2025年总收入67.02%，国际收入占32.98%，且两者分别同比增长9.4%和12.4%。客户集中度较2022—2024年有所下降，2025年前五大客户销售占比为44.87%，但运营商网络仍依赖大型运营商集采和大型政企项目。与此同时，2025年末存货约412.58亿元、应收账款账面价值216.70亿元，2026年6月末存货进一步升至约546.5亿元，经营资金占用和库存扩张值得持续关注。</w:t>
      </w:r>
    </w:p>
    <w:p>
      <w:pPr>
        <w:spacing w:after="160" w:line="300"/>
      </w:pPr>
      <w:r>
        <w:rPr>
          <w:sz w:val="22"/>
          <w:szCs w:val="22"/>
        </w:rPr>
        <w:t xml:space="preserve">截至2026年9月11日，股价为32.17元，较52周高点55.44元明显回落，收盘价低于MA5、MA10和MA20，MACD位于零轴下方，近期主力资金多数交易日净流出，短期技术面偏弱。当前股价接近31.80—32.20元支撑区间，而33.30—33.70元对应均线及成交密集区压力；技术指标部分显示RSI接近超卖，但不同数据口径差异较大，尚不足以确认趋势反转。</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000063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A股简称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中兴通讯</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港股代码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00763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数据截至日期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2025年12月31日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注册及办公地址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广东省深圳市南山区科技南路</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综合信息与通信技术解决方案提供商，覆盖设计、开发、生产、销售和服务全流程</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战略方向</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由传统“全连接”向“连接+算力”升级，聚焦网络、算力、家庭、个人四大领域</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制造及研发布局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拥有深圳、西安、长沙、河源、南京五大制造基地，全国设有11个研发基地</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研究纪要未提供公司合并口径营业收入绝对值；各业务及区域收入已披露</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2025年归属于上市公司普通股股东的净利率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约4.20%</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运营商网络：2025年营业收入628.57亿元，占总营业收入46.9%，同比下降10.62%；毛利率48.09%。主要覆盖无线接入、有线接入、核心网、固网、光传输、核心路由器、服务器及存储、数据中心和数字能源等。</w:t>
      </w:r>
    </w:p>
    <w:p>
      <w:pPr>
        <w:pStyle w:val="ListParagraph"/>
        <w:numPr>
          <w:ilvl w:val="0"/>
          <w:numId w:val="2"/>
        </w:numPr>
        <w:spacing w:after="80" w:line="280"/>
      </w:pPr>
      <w:r>
        <w:rPr>
          <w:sz w:val="22"/>
          <w:szCs w:val="22"/>
        </w:rPr>
        <w:t xml:space="preserve">政企业务：2025年营业收入372.22亿元，同比增长100.49%；毛利率10.97%。面向互联网、金融、电力、交通、政府及其他行业客户，提供服务器及存储、智算基础设施、数据中心交换机、云计算、数据库、操作系统、网络安全和产业数字化解决方案。</w:t>
      </w:r>
    </w:p>
    <w:p>
      <w:pPr>
        <w:pStyle w:val="ListParagraph"/>
        <w:numPr>
          <w:ilvl w:val="0"/>
          <w:numId w:val="2"/>
        </w:numPr>
        <w:spacing w:after="80" w:line="280"/>
      </w:pPr>
      <w:r>
        <w:rPr>
          <w:sz w:val="22"/>
          <w:szCs w:val="22"/>
        </w:rPr>
        <w:t xml:space="preserve">消费者业务：2025年营业收入338.22亿元，同比增长4.4%；毛利率约18.31%。主要覆盖家庭信息终端、PON及FTTR终端、Wi-Fi终端、手机、移动互联产品、云电脑和个人周边产品，采用“中兴+努比亚”双品牌策略。</w:t>
      </w:r>
    </w:p>
    <w:p>
      <w:pPr>
        <w:pStyle w:val="ListParagraph"/>
        <w:numPr>
          <w:ilvl w:val="0"/>
          <w:numId w:val="2"/>
        </w:numPr>
        <w:spacing w:after="80" w:line="280"/>
      </w:pPr>
      <w:r>
        <w:rPr>
          <w:sz w:val="22"/>
          <w:szCs w:val="22"/>
        </w:rPr>
        <w:t xml:space="preserve">区域结构：2025年国内市场收入897.34亿元，占总收入67.02%；国际市场收入441.61亿元，占比32.98%。国内收入同比增长9.4%，国际收入同比增长12.4%。</w:t>
      </w:r>
    </w:p>
    <w:p>
      <w:pPr>
        <w:pStyle w:val="ListParagraph"/>
        <w:numPr>
          <w:ilvl w:val="0"/>
          <w:numId w:val="2"/>
        </w:numPr>
        <w:spacing w:after="80" w:line="280"/>
      </w:pPr>
      <w:r>
        <w:rPr>
          <w:sz w:val="22"/>
          <w:szCs w:val="22"/>
        </w:rPr>
        <w:t xml:space="preserve">算力业务：2025年收入同比增长约150%，占整体收入约24.6%；服务器及存储收入同比增长超过200%，数据中心产品收入同比增长约50%。</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中兴通讯处于通信设备、ICT系统集成和智能算力基础设施产业链的中游偏下游位置。公司通过通信芯片、算法、网络架构、系统软件研发，以及无线、有线、光通信、核心网、服务器、存储、数据中心和终端产品集成，为运营商、政企客户及消费者提供设备、系统和解决方案。传统运营商网络业务附加值和毛利率较高，服务器、存储及终端业务硬件成本占比较高、价格竞争更直接。</w:t>
      </w:r>
    </w:p>
    <w:p>
      <w:pPr>
        <w:pStyle w:val="ListParagraph"/>
        <w:numPr>
          <w:ilvl w:val="0"/>
          <w:numId w:val="2"/>
        </w:numPr>
        <w:spacing w:after="80" w:line="280"/>
      </w:pPr>
      <w:r>
        <w:rPr>
          <w:sz w:val="22"/>
          <w:szCs w:val="22"/>
        </w:rPr>
        <w:t xml:space="preserve">主要采购电子元器件、通信芯片、处理器及相关芯片、光模块、光器件、射频器件、滤波器、天线、印制电路板、结构件、显示屏、电池及终端零部件，以及服务器及存储设备部件。</w:t>
      </w:r>
    </w:p>
    <w:p>
      <w:pPr>
        <w:pStyle w:val="ListParagraph"/>
        <w:numPr>
          <w:ilvl w:val="0"/>
          <w:numId w:val="2"/>
        </w:numPr>
        <w:spacing w:after="80" w:line="280"/>
      </w:pPr>
      <w:r>
        <w:rPr>
          <w:sz w:val="22"/>
          <w:szCs w:val="22"/>
        </w:rPr>
        <w:t xml:space="preserve">还采购机柜、电源、散热和数据中心配套设备，并发生委外加工、工程实施和交付服务采购。</w:t>
      </w:r>
    </w:p>
    <w:p>
      <w:pPr>
        <w:pStyle w:val="ListParagraph"/>
        <w:numPr>
          <w:ilvl w:val="0"/>
          <w:numId w:val="2"/>
        </w:numPr>
        <w:spacing w:after="80" w:line="280"/>
      </w:pPr>
      <w:r>
        <w:rPr>
          <w:sz w:val="22"/>
          <w:szCs w:val="22"/>
        </w:rPr>
        <w:t xml:space="preserve">2025年营业成本为933.91亿元，其中原材料成本769.47亿元，占营业成本82.39%；工程成本132.70亿元，占14.21%；其他成本31.74亿元，占3.40%。</w:t>
      </w:r>
    </w:p>
    <w:p>
      <w:pPr>
        <w:pStyle w:val="ListParagraph"/>
        <w:numPr>
          <w:ilvl w:val="0"/>
          <w:numId w:val="2"/>
        </w:numPr>
        <w:spacing w:after="80" w:line="280"/>
      </w:pPr>
      <w:r>
        <w:rPr>
          <w:sz w:val="22"/>
          <w:szCs w:val="22"/>
        </w:rPr>
        <w:t xml:space="preserve">2025年最大供应商采购金额48.71亿元，占采购总额4.98%；前五名供应商采购金额190.88亿元，占采购总额19.53%。该数据来自2025年年度报告；研究纪要未提供可进一步交叉核实的其他来源。</w:t>
      </w:r>
    </w:p>
    <w:p>
      <w:pPr>
        <w:pStyle w:val="ListParagraph"/>
        <w:numPr>
          <w:ilvl w:val="0"/>
          <w:numId w:val="2"/>
        </w:numPr>
        <w:spacing w:after="80" w:line="280"/>
      </w:pPr>
      <w:r>
        <w:rPr>
          <w:sz w:val="22"/>
          <w:szCs w:val="22"/>
        </w:rPr>
        <w:t xml:space="preserve">供应商集中度较2022年下降：2022年最大供应商及前五大供应商采购占比分别为9.12%和22.98%，2023年分别为6.10%和23.22%。整体不存在对单一供应商的极端依赖，但高端芯片、处理器、GPU、光器件及服务器核心部件可能存在技术认证和替代周期较长的问题。</w:t>
      </w:r>
    </w:p>
    <w:p>
      <w:pPr>
        <w:pStyle w:val="ListParagraph"/>
        <w:numPr>
          <w:ilvl w:val="0"/>
          <w:numId w:val="2"/>
        </w:numPr>
        <w:spacing w:after="80" w:line="280"/>
      </w:pPr>
      <w:r>
        <w:rPr>
          <w:sz w:val="22"/>
          <w:szCs w:val="22"/>
        </w:rPr>
        <w:t xml:space="preserve">公司对一般电子元器件、结构件和外包制造具备一定规模采购能力，但对高端芯片、处理器、GPU和关键光电器件的议价能力并非绝对强势，部分环节可能受到全球芯片供应、技术授权和产业周期影响。年报未披露全部关键元器件供应商名称及替代率，不能据此断言所有核心器件均已实现完全国产替代或完全多供应商化。</w:t>
      </w:r>
    </w:p>
    <w:p>
      <w:pPr>
        <w:pStyle w:val="ListParagraph"/>
        <w:numPr>
          <w:ilvl w:val="0"/>
          <w:numId w:val="2"/>
        </w:numPr>
        <w:spacing w:after="80" w:line="280"/>
      </w:pPr>
      <w:r>
        <w:rPr>
          <w:sz w:val="22"/>
          <w:szCs w:val="22"/>
        </w:rPr>
        <w:t xml:space="preserve">主要客户包括中国移动、中国电信、中国联通及海外运营商，政府和大型企业，互联网公司，银行、证券、保险等金融客户，电力、交通、能源和制造业客户，以及家庭用户、个人消费者、海外渠道商、零售商和终端运营商。</w:t>
      </w:r>
    </w:p>
    <w:p>
      <w:pPr>
        <w:pStyle w:val="ListParagraph"/>
        <w:numPr>
          <w:ilvl w:val="0"/>
          <w:numId w:val="2"/>
        </w:numPr>
        <w:spacing w:after="80" w:line="280"/>
      </w:pPr>
      <w:r>
        <w:rPr>
          <w:sz w:val="22"/>
          <w:szCs w:val="22"/>
        </w:rPr>
        <w:t xml:space="preserve">运营商网络业务通常采用集中采购、招投标和框架协议模式，客户集中度较高，项目交付周期较长，收入确认和回款受运营商资本开支影响。政企业务客户数量更多，但单项目竞争、交付和定制化要求较高；消费者业务面临品牌、渠道、价格和库存竞争。</w:t>
      </w:r>
    </w:p>
    <w:p>
      <w:pPr>
        <w:pStyle w:val="ListParagraph"/>
        <w:numPr>
          <w:ilvl w:val="0"/>
          <w:numId w:val="2"/>
        </w:numPr>
        <w:spacing w:after="80" w:line="280"/>
      </w:pPr>
      <w:r>
        <w:rPr>
          <w:sz w:val="22"/>
          <w:szCs w:val="22"/>
        </w:rPr>
        <w:t xml:space="preserve">2025年最大客户销售金额273.95亿元，占销售总额20.46%；前五大客户销售金额600.85亿元，占销售总额44.87%。该数据为2025年年度报告口径；研究纪要未提供其他来源交叉核实。</w:t>
      </w:r>
    </w:p>
    <w:p>
      <w:pPr>
        <w:pStyle w:val="ListParagraph"/>
        <w:numPr>
          <w:ilvl w:val="0"/>
          <w:numId w:val="2"/>
        </w:numPr>
        <w:spacing w:after="80" w:line="280"/>
      </w:pPr>
      <w:r>
        <w:rPr>
          <w:sz w:val="22"/>
          <w:szCs w:val="22"/>
        </w:rPr>
        <w:t xml:space="preserve">客户集中度较2022—2024年下降：最大客户占比由2022年的30.20%、2023年的27.95%、2024年的27.45%降至2025年的20.46%；前五大客户占比由2022年的61.13%、2023年的62.45%、2024年的55.72%降至2025年的44.87%。</w:t>
      </w:r>
    </w:p>
    <w:p>
      <w:pPr>
        <w:pStyle w:val="ListParagraph"/>
        <w:numPr>
          <w:ilvl w:val="0"/>
          <w:numId w:val="2"/>
        </w:numPr>
        <w:spacing w:after="80" w:line="280"/>
      </w:pPr>
      <w:r>
        <w:rPr>
          <w:sz w:val="22"/>
          <w:szCs w:val="22"/>
        </w:rPr>
        <w:t xml:space="preserve">整体客户结构因政企业务、海外业务和消费者业务扩张而更加分散，但运营商网络业务仍较依赖大型客户和集采项目。年报未完整披露前五大客户具体名称，因此不能将整体集中度下降等同于运营商网络板块客户依赖已经消除。</w:t>
      </w:r>
    </w:p>
    <w:p>
      <w:pPr>
        <w:pStyle w:val="ListParagraph"/>
        <w:numPr>
          <w:ilvl w:val="0"/>
          <w:numId w:val="2"/>
        </w:numPr>
        <w:spacing w:after="80" w:line="280"/>
      </w:pPr>
      <w:r>
        <w:rPr>
          <w:sz w:val="22"/>
          <w:szCs w:val="22"/>
        </w:rPr>
        <w:t xml:space="preserve">运营商及大型政企客户通常具有较强采购议价能力，招投标、技术认证、项目交付和总拥有成本要求会压制设备商的转嫁能力。消费者业务则受渠道商和零售商的品牌、返利、库存周转及促销要求影响。</w:t>
      </w:r>
    </w:p>
    <w:p>
      <w:pPr>
        <w:pStyle w:val="ListParagraph"/>
        <w:numPr>
          <w:ilvl w:val="0"/>
          <w:numId w:val="2"/>
        </w:numPr>
        <w:spacing w:after="80" w:line="280"/>
      </w:pPr>
      <w:r>
        <w:rPr>
          <w:sz w:val="22"/>
          <w:szCs w:val="22"/>
        </w:rPr>
        <w:t xml:space="preserve">截至2025年12月31日，合并口径应收账款账面价值216.70亿元，占2025年营业收入约16.18%，应收账款周转天数约57.8天；信用期通常为0—90日，最长可延长至1年。存货约412.58亿元，占营业收入约30.82%；应付账款约223.72亿元，应付票据约109.59亿元。应收账款加存货扣除应付账款和应付票据后约300.0亿元，占年度营业收入约22.4%，显示项目交付、库存备货和供应链资金占用较明显。2025年末应收账款账面余额中，3年以上账龄金额约49.96亿元，占约17.85%，对应坏账准备约63.23亿元；因此不能仅以平均周转天数判断回款压力较低。2025年经营活动现金流净额为114.8亿元，对部分营运资金占用形成对冲。</w:t>
      </w:r>
    </w:p>
    <w:p>
      <w:pPr>
        <w:pStyle w:val="ListParagraph"/>
        <w:numPr>
          <w:ilvl w:val="0"/>
          <w:numId w:val="2"/>
        </w:numPr>
        <w:spacing w:after="80" w:line="280"/>
      </w:pPr>
      <w:r>
        <w:rPr>
          <w:sz w:val="22"/>
          <w:szCs w:val="22"/>
        </w:rPr>
        <w:t xml:space="preserve">截至2025年，前五大供应商采购占比19.53%，最大供应商占比4.98%；前五大客户销售占比44.87%，最大客户占比20.46%。集中度数据主要来自公司2022—2025年年度报告，研究纪要未提供独立交叉核实来源。供应端整体不存在对单一供应商的极端依赖，但关键芯片、光器件和服务器核心部件的替代周期可能较长；需求端整体集中度下降，但运营商网络板块仍受大型运营商集采和大型政企客户议价影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37.19%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约6.57%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收入增长来自运营商网络、政企和消费者业务扩张；运营商网络毛利率46.22%，高于政企业务25.35%和消费者业务17.76%。原材料占营业成本79.38%，成本仍以硬件和设备采购为主。</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41.53%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约7.51%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三大业务毛利率均提升，运营商网络毛利率升至49.11%，收入结构和成本优化改善综合盈利能力；但前五大客户占比仍为62.45%，收入质量较依赖大型客户和项目交付。</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37.91%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约6.95%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运营商网络收入下降15.02%，但毛利率升至50.90%，主要受无线产品毛利率提升和业务结构变化影响；政企业务收入增长36.68%但毛利率降至15.33%，业务结构变化使综合毛利率回落。</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约4.20%</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政企业务收入翻倍至372.22亿元但毛利率仅10.97%，低毛利率服务器及存储等业务快速放量，同时运营商网络收入下降，导致综合毛利率明显下滑；收入增长与利润下降并存。</w:t>
            </w:r>
          </w:p>
        </w:tc>
      </w:tr>
    </w:tbl>
    <w:p>
      <w:pPr>
        <w:spacing w:before="200"/>
      </w:pPr>
    </w:p>
    <w:p>
      <w:pPr>
        <w:spacing w:after="160" w:line="300"/>
      </w:pPr>
      <w:r>
        <w:rPr>
          <w:sz w:val="22"/>
          <w:szCs w:val="22"/>
        </w:rPr>
        <w:t xml:space="preserve">中兴通讯位于通信设备和智能算力产业链中游，是具备较强研发、系统集成和全球交付能力的综合ICT设备商，整体属于中游偏下游、相对高附加值但并非上游资源或下游消费品牌型企业。利润改善主要取决于算力业务规模化后的毛利率提升、运营商网络业务恢复、产品结构升级、供应链成本控制及海外高价值项目拓展，而非单纯依靠硬件销量增长。</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780.25亿元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同比增长9.05%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归属于上市公司股东的净利润27.53亿元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同比下降45.57%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1338.95亿元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同比增长10.38%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归属于上市公司股东的净利润56.18亿元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同比下降33.32%</w:t>
            </w:r>
          </w:p>
        </w:tc>
      </w:tr>
    </w:tbl>
    <w:p>
      <w:pPr>
        <w:spacing w:after="200"/>
      </w:pPr>
      <w:r>
        <w:rPr>
          <w:i/>
          <w:iCs/>
          <w:color w:val="595959"/>
          <w:sz w:val="18"/>
          <w:szCs w:val="18"/>
        </w:rPr>
        <w:t xml:space="preserve">2026年半年度报告于2026年8月21日披露，报告期为2026年1月1日至2026年6月30日，财务报告未经审计。2026年上半年扣非归母净利润22.21亿元，同比下降45.89%；经营活动产生的现金流量净额为-1.27亿元，上年同期为12.99亿元；基本每股收益0.58元，同比下降45.28%。2025年全年扣非归母净利润33.70亿元，同比下降45.45%，基本每股收益1.17元，同比下降33.52%。</w:t>
      </w:r>
    </w:p>
    <w:p>
      <w:pPr>
        <w:spacing w:after="160" w:line="300"/>
      </w:pPr>
      <w:r>
        <w:rPr>
          <w:sz w:val="22"/>
          <w:szCs w:val="22"/>
        </w:rPr>
        <w:t xml:space="preserve">公司最新财报呈现“增收不增利”：2026年上半年营业收入同比增长9.05%，但归母净利润同比下降45.57%；综合毛利率为25.48%，同比下降6.97个百分点，营业成本同比增长20.29%，高于收入增速。运营商网络业务收入317.65亿元，同比下降9.41%，毛利率38.06%；政企业务收入276.31亿元，同比增长43.51%，毛利率15.84%；消费者业务收入186.29亿元，同比增长8.09%，毛利率18.35%。算力业务收入同比增长超过55%，占总营收比重提升至35.1%；服务器及存储产品收入同比增长接近60%，数据中心产品收入同比增长超过90%。利润下滑原因包括高毛利运营商网络业务承压、收入结构向低毛利算力硬件倾斜、汇率波动导致汇兑损失增加，以及算力业务扩张带来的备货增加。期末存货约546.5亿元，较年初增长约16.2%。截至2026年6月30日，归母净资产为769.76亿元，较2025年末增长2.06%；资产负债率为67.94%，较2025年末上升2.68个百分点。</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为截至2026年9月12日同花顺F10汇总的近6个月机构预测均值，2026年有11家机构参与预测，2028年有9家机构参与预测，属于卖方机构预测而非公司业绩指引。归母净利润预测区间：2026年54.56亿至84.70亿元，2027年60.80亿至100.20亿元，2028年68.42亿至86.33亿元；EPS预测区间：2026年1.14元至1.77元，2027年1.27元至2.09元，2028年1.43元至1.80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约1497.03亿元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61.86亿元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相对2025年归母净利润56.18亿元，按预测值计算约增长10.1%</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1.29元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约1691.42亿元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71.34亿元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相对2026年预测值增长约15.3%</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约1916.22亿元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76.22亿元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相对2027年预测值增长约6.8%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1.59元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国联民生证券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2026—2028年营业收入预测约为1514.64亿元、1683.38亿元、1856.91亿元；归母净利润预测为63.15亿元、74.10亿元、75.03亿元；EPS预测为1.32元、1.55元、1.57元。未看到明确A股目标价。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2026—2028年营业收入预测为1505.21亿元、1705.89亿元、1952.42亿元；归母净利润预测为58.48亿元、67.73亿元、76.25亿元；对应PE约为27.63倍、23.86倍、21.19倍。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2026—2028年归母净利润预测为56.78亿元、60.85亿元、72.67亿元；EPS预测为1.19元、1.27元、1.52元。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天风证券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2026年6月22日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2026—2028年归母净利润预测约为56.82亿元、64.90亿元、73.55亿元；EPS预测为1.19元、1.36元、1.54元。评级下调主要由于短期运营商业务承压、算力业务转型期利润率下降。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2026年4月28日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2026—2028年归母净利润预测约为56.81亿元、67.17亿元、81.23亿元；EPS预测为1.19元、1.40元、1.70元。后续信息显示维持A/H股“买入”评级，A股目标价为43.48元。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同花顺近6个月研报统计</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买入8份、增持1份</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中性、减持、卖出均为0份。该统计为研报聚合数据。</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富途近三个月分析师评级统计</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强力推荐约86.36%、买入约13.64%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统计样本为22位分析师，未显示持有、跑输大盘或卖出；未完整披露全部分析师及具体模型。</w:t>
            </w:r>
          </w:p>
        </w:tc>
      </w:tr>
    </w:tbl>
    <w:p>
      <w:pPr>
        <w:spacing w:before="200"/>
      </w:pPr>
    </w:p>
    <w:p>
      <w:pPr>
        <w:spacing w:after="160" w:line="300"/>
      </w:pPr>
      <w:r>
        <w:rPr>
          <w:sz w:val="22"/>
          <w:szCs w:val="22"/>
        </w:rPr>
        <w:t xml:space="preserve">截至2026年9月11日收盘，股价32.17元，总市值约1538.86亿元，流通市值约1295.69亿元，TTM市盈率约46.42倍，静态市盈率约27.40倍，市净率约2.04倍。按同花顺机构EPS均值计算，2026—2028年前瞻PE分别约为24.9倍、21.6倍和20.2倍。TTM PE与前瞻PE差距较大，主要由于2025年及2026年上半年利润处于下滑期，而机构预测假设未来利润逐步恢复。理杏仁截至2026年9月10日数据显示，PE-TTM约46.85倍，历史分位约98.21%；PB约2.06倍，历史分位约35.26%。公开可核实的A股目标价包括华泰证券43.48元；富途聚合数据显示近三个月平均目标价48.90元、最高67.37元、最低40.61元，但该数据未披露完整机构明细，只能作为市场目标价区间参考。若算力业务持续低毛利、运营商业务不能企稳，前瞻PE可能被动上修；若算力规模效应和海外业务推动利润修复，估值可能随盈利增长而下降。估值判断需重点关注算力业务毛利率、政企业务利润率、运营商网络业务企稳情况、海外收入增速、存货及应收账款周转、经营现金流和自研芯片导入后的盈利改善。</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9月正式公告较少，主要披露香港证券变动月报表</w:t>
      </w:r>
    </w:p>
    <w:p>
      <w:pPr>
        <w:spacing w:after="160" w:line="300"/>
      </w:pPr>
      <w:r>
        <w:rPr>
          <w:sz w:val="22"/>
          <w:szCs w:val="22"/>
        </w:rPr>
        <w:t xml:space="preserve">2026年9月2日，中兴通讯披露《关于按照〈香港上市规则〉公布2026年8月份证券变动月报表的公告》，同步披露截至2026年8月31日的香港证券变动月报表。该公告主要属于境内外同步披露事项，并非新的重大经营事项。截至2026年9月13日，未检索到新的业绩预告、股份回购进展、重大资产重组或重大并购公告。根据公开披露的月报表摘要，2026年8月公司股本结构总体保持稳定，未见新增发行、购回或注销股份的重大变化；具体月报表数字应以香港交易所原始披露为准。</w:t>
      </w:r>
    </w:p>
    <w:p>
      <w:pPr>
        <w:pStyle w:val="Heading2"/>
        <w:spacing w:after="120" w:before="240"/>
      </w:pPr>
      <w:r>
        <w:rPr>
          <w:b/>
          <w:bCs/>
          <w:color w:val="2E74B5"/>
          <w:sz w:val="24"/>
          <w:szCs w:val="24"/>
        </w:rPr>
        <w:t xml:space="preserve">4.2 2026年半年度业绩：收入增长，归母净利润同比下降</w:t>
      </w:r>
    </w:p>
    <w:p>
      <w:pPr>
        <w:spacing w:after="160" w:line="300"/>
      </w:pPr>
      <w:r>
        <w:rPr>
          <w:sz w:val="22"/>
          <w:szCs w:val="22"/>
        </w:rPr>
        <w:t xml:space="preserve">公司2026年半年度报告于2026年8月21日披露。2026年上半年实现营业收入约780.25亿元，同比增长约9.05%；归属于上市公司普通股股东的净利润约27.53亿元，同比下降约45.57%；扣除非经常性损益后的净利润约22.21亿元，同比下降约45.89%。上述数据为公司半年度报告及公开报告摘要披露数据。</w:t>
      </w:r>
    </w:p>
    <w:p>
      <w:pPr>
        <w:pStyle w:val="Heading2"/>
        <w:spacing w:after="120" w:before="240"/>
      </w:pPr>
      <w:r>
        <w:rPr>
          <w:b/>
          <w:bCs/>
          <w:color w:val="2E74B5"/>
          <w:sz w:val="24"/>
          <w:szCs w:val="24"/>
        </w:rPr>
        <w:t xml:space="preserve">4.3 2026年中期不分红、不转增</w:t>
      </w:r>
    </w:p>
    <w:p>
      <w:pPr>
        <w:spacing w:after="160" w:line="300"/>
      </w:pPr>
      <w:r>
        <w:rPr>
          <w:sz w:val="22"/>
          <w:szCs w:val="22"/>
        </w:rPr>
        <w:t xml:space="preserve">公司在2026年半年度报告中明确，2026年中期不进行利润分配，也不进行资本公积金转增股本。该安排不等同于公司取消年度分红安排。</w:t>
      </w:r>
    </w:p>
    <w:p>
      <w:pPr>
        <w:pStyle w:val="Heading2"/>
        <w:spacing w:after="120" w:before="240"/>
      </w:pPr>
      <w:r>
        <w:rPr>
          <w:b/>
          <w:bCs/>
          <w:color w:val="2E74B5"/>
          <w:sz w:val="24"/>
          <w:szCs w:val="24"/>
        </w:rPr>
        <w:t xml:space="preserve">4.4 截至9月13日未检索到三季度业绩预告</w:t>
      </w:r>
    </w:p>
    <w:p>
      <w:pPr>
        <w:spacing w:after="160" w:line="300"/>
      </w:pPr>
      <w:r>
        <w:rPr>
          <w:sz w:val="22"/>
          <w:szCs w:val="22"/>
        </w:rPr>
        <w:t xml:space="preserve">截至2026年9月13日，未检索到公司针对2026年三季度业绩作出的正式业绩预告、业绩预增公告或业绩预减公告。该结论仅表示在已检索公开来源中未发现相关公告，不代表公司明确不会发布业绩预告。</w:t>
      </w:r>
    </w:p>
    <w:p>
      <w:pPr>
        <w:pStyle w:val="Heading2"/>
        <w:spacing w:after="120" w:before="240"/>
      </w:pPr>
      <w:r>
        <w:rPr>
          <w:b/>
          <w:bCs/>
          <w:color w:val="2E74B5"/>
          <w:sz w:val="24"/>
          <w:szCs w:val="24"/>
        </w:rPr>
        <w:t xml:space="preserve">4.5 A股回购已完成，暂未见新一轮回购安排</w:t>
      </w:r>
    </w:p>
    <w:p>
      <w:pPr>
        <w:spacing w:after="160" w:line="300"/>
      </w:pPr>
      <w:r>
        <w:rPr>
          <w:sz w:val="22"/>
          <w:szCs w:val="22"/>
        </w:rPr>
        <w:t xml:space="preserve">公司此前启动的A股回购事项已于2026年7月完成。截至2026年7月20日，公司累计回购A股约2865.94万股，约占公司总股本的0.60%，累计支付总金额约10亿元，回购股份拟用于员工持股计划或股权激励。截至2026年9月13日，未检索到重新启动股份回购、追加回购额度或注销已回购股份的公告。回购实施结果公告披露范围内，回购期间公司控股股东、董事、高级管理人员及其他相关主体未发生买卖公司股票的情况。</w:t>
      </w:r>
    </w:p>
    <w:p>
      <w:pPr>
        <w:pStyle w:val="Heading2"/>
        <w:spacing w:after="120" w:before="240"/>
      </w:pPr>
      <w:r>
        <w:rPr>
          <w:b/>
          <w:bCs/>
          <w:color w:val="2E74B5"/>
          <w:sz w:val="24"/>
          <w:szCs w:val="24"/>
        </w:rPr>
        <w:t xml:space="preserve">4.6 股东及持股变化：A股股东户数小幅增加，港股权益发生变动</w:t>
      </w:r>
    </w:p>
    <w:p>
      <w:pPr>
        <w:spacing w:after="160" w:line="300"/>
      </w:pPr>
      <w:r>
        <w:rPr>
          <w:sz w:val="22"/>
          <w:szCs w:val="22"/>
        </w:rPr>
        <w:t xml:space="preserve">截至2026年8月31日，公司股东户数约为638,969户，较截至2026年7月31日的637,909户增加约1,060户，环比增幅约0.17%；该数据来自行情及股东户数整理页面，统计口径应以公司后续公告或定期报告为准。2026年9月初，港股权益披露信息显示，JPMorgan Chase &amp; Co.于2026年9月2日减持中兴通讯H股约133.58万股，相关事件后持有好仓约4417.75万股。该事项属于H股股东权益变动，不等同于公司控股股东或实际控制人减持。截至2026年9月13日，未检索到控股股东中兴新通讯有限公司、董事或高级管理人员发布新的A股增持、减持计划或完成增减持的重大公告。</w:t>
      </w:r>
    </w:p>
    <w:p>
      <w:pPr>
        <w:pStyle w:val="Heading2"/>
        <w:spacing w:after="120" w:before="240"/>
      </w:pPr>
      <w:r>
        <w:rPr>
          <w:b/>
          <w:bCs/>
          <w:color w:val="2E74B5"/>
          <w:sz w:val="24"/>
          <w:szCs w:val="24"/>
        </w:rPr>
        <w:t xml:space="preserve">4.7 为海外业务提供5000万美元履约担保</w:t>
      </w:r>
    </w:p>
    <w:p>
      <w:pPr>
        <w:spacing w:after="160" w:line="300"/>
      </w:pPr>
      <w:r>
        <w:rPr>
          <w:sz w:val="22"/>
          <w:szCs w:val="22"/>
        </w:rPr>
        <w:t xml:space="preserve">2026年8月1日，公司披露《关于为子公司提供担保的公告》。公司为全资子公司中兴通讯（香港）有限公司在与阿联酋移动运营商e&amp;集团相关框架协议项下的履约义务提供连带责任保证，担保金额不超过5000万美元，担保期限原则上为相关义务履行完毕；如相关义务未按期履行，担保期限可能顺延。该担保属于此前已审议通过的6亿美元销售业务担保额度范围内，不构成新增超额担保额度，不能直接等同于新增收入或新增利润。</w:t>
      </w:r>
    </w:p>
    <w:p>
      <w:pPr>
        <w:pStyle w:val="Heading2"/>
        <w:spacing w:after="120" w:before="240"/>
      </w:pPr>
      <w:r>
        <w:rPr>
          <w:b/>
          <w:bCs/>
          <w:color w:val="2E74B5"/>
          <w:sz w:val="24"/>
          <w:szCs w:val="24"/>
        </w:rPr>
        <w:t xml:space="preserve">4.8 2026年度拟提供担保额度不超过19.3亿美元</w:t>
      </w:r>
    </w:p>
    <w:p>
      <w:pPr>
        <w:spacing w:after="160" w:line="300"/>
      </w:pPr>
      <w:r>
        <w:rPr>
          <w:sz w:val="22"/>
          <w:szCs w:val="22"/>
        </w:rPr>
        <w:t xml:space="preserve">公司2026年度拟为子公司提供的担保额度合计不超过19.3亿美元，占公司2025年12月31日经审计归母净资产的17.89%，包括销售业务、采购业务及债务融资等不同类别担保。上述额度属于年度授权上限，不等同于实际已经发生的担保余额。</w:t>
      </w:r>
    </w:p>
    <w:p>
      <w:pPr>
        <w:pStyle w:val="Heading2"/>
        <w:spacing w:after="120" w:before="240"/>
      </w:pPr>
      <w:r>
        <w:rPr>
          <w:b/>
          <w:bCs/>
          <w:color w:val="2E74B5"/>
          <w:sz w:val="24"/>
          <w:szCs w:val="24"/>
        </w:rPr>
        <w:t xml:space="preserve">4.9 暂未检索到重大并购、重组或重大监管处罚公告</w:t>
      </w:r>
    </w:p>
    <w:p>
      <w:pPr>
        <w:spacing w:after="160" w:line="300"/>
      </w:pPr>
      <w:r>
        <w:rPr>
          <w:sz w:val="22"/>
          <w:szCs w:val="22"/>
        </w:rPr>
        <w:t xml:space="preserve">截至2026年9月13日，未检索到公司发布重大资产重组、重大并购、出售核心资产或控制权变更公告；也未检索到公司因重大违法违规、证券监管处罚或被采取重大监管措施而发布的A股专项公告。该结论基于已检索的公司官网、深交所、巨潮资讯及主要公告汇总页面，不能排除较小金额、非重大或尚未被搜索引擎收录的监管事项。</w:t>
      </w:r>
    </w:p>
    <w:p>
      <w:pPr>
        <w:pStyle w:val="Heading2"/>
        <w:spacing w:after="120" w:before="240"/>
      </w:pPr>
      <w:r>
        <w:rPr>
          <w:b/>
          <w:bCs/>
          <w:color w:val="2E74B5"/>
          <w:sz w:val="24"/>
          <w:szCs w:val="24"/>
        </w:rPr>
        <w:t xml:space="preserve">4.10 公司发布面向AI时代的“四V”战略框架</w:t>
      </w:r>
    </w:p>
    <w:p>
      <w:pPr>
        <w:spacing w:after="160" w:line="300"/>
      </w:pPr>
      <w:r>
        <w:rPr>
          <w:sz w:val="22"/>
          <w:szCs w:val="22"/>
        </w:rPr>
        <w:t xml:space="preserve">2026年9月8日，中兴通讯在马来西亚吉隆坡举行全球峰会暨用户大会，并发布面向AI时代的“四V”战略框架，包括VISION、VOLUME、VALUE、VENTURE，继续强调“连接+算力”双引擎战略。相关内容主要来自公司官网新闻，不属于深交所强制披露的订单公告或业绩公告，公司未披露具体合同金额、订单规模或对2026年利润的量化影响。</w:t>
      </w:r>
    </w:p>
    <w:p>
      <w:pPr>
        <w:pStyle w:val="Heading2"/>
        <w:spacing w:after="120" w:before="240"/>
      </w:pPr>
      <w:r>
        <w:rPr>
          <w:b/>
          <w:bCs/>
          <w:color w:val="2E74B5"/>
          <w:sz w:val="24"/>
          <w:szCs w:val="24"/>
        </w:rPr>
        <w:t xml:space="preserve">4.11 参加中国联通合作伙伴大会，展示算网融合相关方案</w:t>
      </w:r>
    </w:p>
    <w:p>
      <w:pPr>
        <w:spacing w:after="160" w:line="300"/>
      </w:pPr>
      <w:r>
        <w:rPr>
          <w:sz w:val="22"/>
          <w:szCs w:val="22"/>
        </w:rPr>
        <w:t xml:space="preserve">2026年9月9日至10日，公司参加2026中国联通合作伙伴大会，围绕算力网络、全光互联、空天地一体、智能运维及面向6G的网络能力展示解决方案，并强调与中国联通推进算网融合。公司未披露相关具体合同金额、订单规模或对2026年利润的量化影响，相关信息更偏向战略及业务展示。</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32.17元，较前一交易日下跌0.28元，跌幅0.86%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开盘32.06元，最高32.22元，最低31.81元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成交量与成交额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成交量约55.11万手，成交额约17.65亿元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换手率与振幅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换手率1.37%，振幅1.26%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总市值约1538.86亿元，流通市值约1295.69亿元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动态市盈率约27.40倍，市盈率TTM约46.42倍，市净率约2.04倍；不同平台动态PE约27.40至27.72倍，存在口径差异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最高价55.44元，最低价31.39元；以富途行情口径为主，可能存在复权方式、盘中极值及数据更新时间差异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近期走势</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2026年8月19日以来股价明显回落；9月10日至11日跌破33元附近平台，近五个交易日收盘价由33.28元降至32.17元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约32.84元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收盘价低于MA5约2.0%；MA5、MA10、MA20呈MA5低于MA10、MA10低于MA20的空头排列雏形</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约33.25元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位于当前收盘价上方，构成短期反弹压力；若不能重新站上约32.8至33.3元区间，均线压力可能延续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约33.63元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收盘价低于MA20约4.4%，显示最近一至四周平均持仓成本逐步下移</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Investing显示MACD(12,26)约为-0.260；另一页面显示DIF约-0.57、DEA约-0.53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MACD位于零轴下方，DIF与DEA偏弱，尚未出现明确趋势性金叉；不同页面数值存在差异，仅作第三方技术指标参考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第三方页面约20.85；基于近15个公开收盘价自行估算约40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两组结果差异较大，稳妥结论为RSI整体处于弱势区间，部分平台显示接近超卖，但尚不能据此确认底背离或反转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中轨约33.63元，上轨约35.28元，下轨约31.98元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收盘价32.17元位于布林带下半区并接近下轨；若32元附近获得支撑，可能出现技术性反弹，若有效跌破31.9至32.0元区域，则下轨可能由支撑转为压力</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2026年9月11日主力资金净流出约2.77亿元，占成交额约15.70%；游资净流入约3663.49万元，散户资金净流入约2.41亿元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9月4日至11日期间多数交易日主力资金净流出，反映短线大资金承接偏弱；证券之星主力资金为逐笔成交主动买卖方向推算，不等同于真实机构账户持仓变化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近期换手率与成交额</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9月7日至11日换手率分别为1.38%、1.13%、1.09%、1.41%、1.37%；成交额分别为18.44亿元、15.18亿元、14.56亿元、18.44亿元、17.65亿元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近五日平均换手率约1.28%，平均成交额约16.85亿元；近期下跌尚未伴随达到8月底、9月初高峰水平的极端放量</w:t>
            </w:r>
          </w:p>
        </w:tc>
      </w:tr>
    </w:tbl>
    <w:p>
      <w:pPr>
        <w:spacing w:before="200"/>
      </w:pPr>
    </w:p>
    <w:p>
      <w:pPr>
        <w:spacing w:after="160" w:line="300"/>
      </w:pPr>
      <w:r>
        <w:rPr>
          <w:sz w:val="22"/>
          <w:szCs w:val="22"/>
        </w:rPr>
        <w:t xml:space="preserve">截至2026年9月11日，中兴通讯股价呈现高位回落、连续收盘走低及均线下移特征，收盘价低于MA5、MA10和MA20，并接近布林下轨。MACD位于零轴下方，主力资金近期多数交易日净流出，短线技术面和资金面偏弱。RSI部分口径已接近超卖，但不同计算结果差异较大，不能单独作为反转确认依据。当前价格靠近31.8至32.2元支撑区域，后续需要结合支撑有效性、成交额变化及主力资金流向观察技术性反弹或进一步回探风险。</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风险提示：以下内容仅为基于截至2026年9月11日收盘数据的主观情景推演，不构成投资建议，也不构成买卖指令。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33.30~33.70元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对应MA10约33.25元、MA20约33.63元及近期成交密集区；若反弹至该区间但成交量不足，可能面临抛压；若有效站稳33.7元，短线弱势结构有机会改善</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31.80~32.20元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对应9月11日最低价31.81元、收盘价32.17元及布林下轨约31.98元；若该区域缩量止跌并重新收回32.5元上方，可能形成短线震荡反弹</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31.40~31.80元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对应52周低点约31.39元及9月11日盘中低点31.81元；若有效跌破该区域，可能打开向52周低点下方进一步探底的空间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上方扩展压力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34.00~34.90元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对应9月初反弹高点附近及近期成交密集区上沿；需要成交量明显放大、主力资金流向改善后，突破可信度才可能增强</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为基于当前技术面和资金流向的主观启发式权重，不是统计概率）：价格运行区间观察为31.80~33.50元。触发条件包括守住31.80~32.00元区域，成交额维持约14~20亿元的近期常态，主力净流出幅度收窄，并在32.50~33.30元之间反复震荡。布林下轨附近若形成支撑，反弹空间仍可能受到MA10和MA20压制。</w:t>
      </w:r>
    </w:p>
    <w:p>
      <w:pPr>
        <w:pStyle w:val="ListParagraph"/>
        <w:numPr>
          <w:ilvl w:val="0"/>
          <w:numId w:val="2"/>
        </w:numPr>
        <w:spacing w:after="80" w:line="280"/>
      </w:pPr>
      <w:r>
        <w:rPr>
          <w:sz w:val="22"/>
          <w:szCs w:val="22"/>
        </w:rPr>
        <w:t xml:space="preserve">偏弱下行（权重中等，约三成；为基于当前技术面和资金流向的主观启发式权重，不是统计概率）：价格观察区间为31.40~31.80元。触发条件包括收盘价有效跌破31.80元、主力资金继续连续净流出、成交额放大但收盘接近日内低位，或通信设备、算力、科技成长板块同步走弱。若31.40~31.80元区域也被放量跌破，可能进一步测试52周低点31.39元下方。</w:t>
      </w:r>
    </w:p>
    <w:p>
      <w:pPr>
        <w:pStyle w:val="ListParagraph"/>
        <w:numPr>
          <w:ilvl w:val="0"/>
          <w:numId w:val="2"/>
        </w:numPr>
        <w:spacing w:after="80" w:line="280"/>
      </w:pPr>
      <w:r>
        <w:rPr>
          <w:sz w:val="22"/>
          <w:szCs w:val="22"/>
        </w:rPr>
        <w:t xml:space="preserve">反弹走强（权重偏低，约两成；为基于当前技术面和资金流向的主观启发式权重，不是统计概率）：价格观察区间为33.60~34.00元，进一步可观察34.00~34.90元。触发条件包括重新站上32.80~33.30元均线密集区、突破33.60~33.70元，单日成交额放大至22亿元以上且连续至少两个交易日维持较高水平，主力资金由净流出转为明显净流入，以及通信设备、算力、AI或大盘科技板块同步回暖。仅凭RSI接近超卖不足以确认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近期换手率约1.1%~1.4%，近五日平均成交额约16.85亿元，整体属于大盘股中等流动性水平。股东结构数据截至2026年6月30日：股东总数635,458户，前十大流通股东合计持股约19.78亿股，占流通股约41.34%；机构合计持股约3.91亿股，占流通盘约9.70%，其中基金约2.02亿股、保险公司约5672.66万股，说明公募基金、保险等主流机构确实存在，但整体机构控盘比例并不特别高，二级市场筹码仍较分散。上述股东数据较2026年9月11日行情滞后约两个半月，基金、保险及深股通持仓可能已经变化，不能视为即时持仓结构。结合总市值超过1500亿元，正常交易情况下买卖盘深度通常较好；但近期主力资金连续净流出，短线筹码承接偏弱，价格仍可能受指数资金、板块资金及市场情绪切换影响。</w:t>
      </w:r>
    </w:p>
    <w:p>
      <w:pPr>
        <w:spacing w:after="160" w:line="300"/>
      </w:pPr>
      <w:r>
        <w:rPr>
          <w:sz w:val="22"/>
          <w:szCs w:val="22"/>
        </w:rPr>
        <w:t xml:space="preserve">可检查的成交量确认信号是：若股价在31.80~32.20元附近止跌后，单日成交额连续放大至22亿元以上、换手率达到约1.8%或更高，并且收盘价重新站上33.30~33.60元，可视为资金承接改善的观察信号；若放量但收盘继续跌破31.80元，则更应理解为卖压释放，而非简单的资金介入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观察32.00元附近能否获得支撑，以及31.40~31.80元强支撑区是否被有效跌破；以上为观察思路，非操作指令。</w:t>
      </w:r>
    </w:p>
    <w:p>
      <w:pPr>
        <w:pStyle w:val="ListParagraph"/>
        <w:numPr>
          <w:ilvl w:val="0"/>
          <w:numId w:val="2"/>
        </w:numPr>
        <w:spacing w:after="80" w:line="280"/>
      </w:pPr>
      <w:r>
        <w:rPr>
          <w:sz w:val="22"/>
          <w:szCs w:val="22"/>
        </w:rPr>
        <w:t xml:space="preserve">观察股价能否重新站上MA5、MA10和MA20对应的约32.80~33.60元区域；以上为观察思路，非操作指令。</w:t>
      </w:r>
    </w:p>
    <w:p>
      <w:pPr>
        <w:pStyle w:val="ListParagraph"/>
        <w:numPr>
          <w:ilvl w:val="0"/>
          <w:numId w:val="2"/>
        </w:numPr>
        <w:spacing w:after="80" w:line="280"/>
      </w:pPr>
      <w:r>
        <w:rPr>
          <w:sz w:val="22"/>
          <w:szCs w:val="22"/>
        </w:rPr>
        <w:t xml:space="preserve">观察主力资金净流出是否收窄，尤其是单日净流出是否仍超过2亿元；以上为观察思路，非操作指令。</w:t>
      </w:r>
    </w:p>
    <w:p>
      <w:pPr>
        <w:pStyle w:val="ListParagraph"/>
        <w:numPr>
          <w:ilvl w:val="0"/>
          <w:numId w:val="2"/>
        </w:numPr>
        <w:spacing w:after="80" w:line="280"/>
      </w:pPr>
      <w:r>
        <w:rPr>
          <w:sz w:val="22"/>
          <w:szCs w:val="22"/>
        </w:rPr>
        <w:t xml:space="preserve">观察成交额是否连续达到22亿元以上，并配合股价收复33.30~33.60元；以上为观察思路，非操作指令。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通信设备行业具有高集中度和强技术壁垒特征，竞争核心包括无线接入网和核心网技术积累、5G/5G-A及未来6G标准和专利、光传输和光接入、数据中心网络、芯片与操作系统及数据库协同、AI软硬件能力、全球运营商认证与交付服务，以及供应链稳定性和合规能力。2024年全球电信设备市场主要由华为、诺基亚、爱立信、中兴通讯、思科、Ciena和三星等厂商构成，华为、诺基亚、爱立信和中兴通讯处于第一梯队，全球电信设备行业前几大厂商合计份额约七成。由于不同机构对市场范围及是否纳入企业网络、服务器和终端产品的统计口径不同，具体市场份额存在差异，不能将单一机构数据视为统一行业标准。</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中国运营商网络市场中，华为和中兴通讯形成相对稳定的双寡头格局；爱立信、上海诺基亚贝尔和中信科移动参与细分市场竞争。</w:t>
      </w:r>
    </w:p>
    <w:p>
      <w:pPr>
        <w:pStyle w:val="ListParagraph"/>
        <w:numPr>
          <w:ilvl w:val="0"/>
          <w:numId w:val="2"/>
        </w:numPr>
        <w:spacing w:after="80" w:line="280"/>
      </w:pPr>
      <w:r>
        <w:rPr>
          <w:sz w:val="22"/>
          <w:szCs w:val="22"/>
        </w:rPr>
        <w:t xml:space="preserve">全球综合通信设备市场的主要竞争者包括华为、中兴通讯、爱立信和诺基亚；思科、Ciena和三星在数据通信、光网络或特定区域市场具有竞争力。</w:t>
      </w:r>
    </w:p>
    <w:p>
      <w:pPr>
        <w:pStyle w:val="ListParagraph"/>
        <w:numPr>
          <w:ilvl w:val="0"/>
          <w:numId w:val="2"/>
        </w:numPr>
        <w:spacing w:after="80" w:line="280"/>
      </w:pPr>
      <w:r>
        <w:rPr>
          <w:sz w:val="22"/>
          <w:szCs w:val="22"/>
        </w:rPr>
        <w:t xml:space="preserve">行业进入壁垒来自通信标准和专利、芯片及软硬件协同、全球运营商认证、长期交付与售后服务能力，以及供应链和合规体系。</w:t>
      </w:r>
    </w:p>
    <w:p>
      <w:pPr>
        <w:pStyle w:val="ListParagraph"/>
        <w:numPr>
          <w:ilvl w:val="0"/>
          <w:numId w:val="2"/>
        </w:numPr>
        <w:spacing w:after="80" w:line="280"/>
      </w:pPr>
      <w:r>
        <w:rPr>
          <w:sz w:val="22"/>
          <w:szCs w:val="22"/>
        </w:rPr>
        <w:t xml:space="preserve">中兴通讯2025年5G基站、5G核心网、固网产品市场竞争力保持全球第二，核心路由器在中国移动、中国电信、中国联通集采项目中的份额均排名第二；公司服务器及存储产品中标中国移动相关国产算力服务器集采项目，份额排名第一。上述排名为公司年报披露或引用的行业排名，未对全部第三方统计口径独立复核。</w:t>
      </w:r>
    </w:p>
    <w:p>
      <w:pPr>
        <w:pStyle w:val="ListParagraph"/>
        <w:numPr>
          <w:ilvl w:val="0"/>
          <w:numId w:val="2"/>
        </w:numPr>
        <w:spacing w:after="80" w:line="280"/>
      </w:pPr>
      <w:r>
        <w:rPr>
          <w:sz w:val="22"/>
          <w:szCs w:val="22"/>
        </w:rPr>
        <w:t xml:space="preserve">消费者及家庭终端市场的竞争重点包括品牌、渠道、价格、库存周转和产品迭代；公司披露5G FWA&amp;MBB市场份额继续保持全球第一，但该统计口径和第三方机构原始报告未在本次检索中完全取得，应标注为公司披露口径。</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综合通信设备、企业网络、服务器、云、终端、芯片和操作系统竞争对手</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最直接的综合竞争对手，优势在研发投入、全产业链、品牌、全球客户基础和软硬件协同；华为为非上市公司，缺少可直接对比的公开完整财务数据。</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爱立信</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全球无线接入设备和运营商网络核心厂商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在北美、欧洲及部分国际运营商市场较强，优势集中于无线网络技术、全球运营商客户关系和高端网络交付。</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诺基亚</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无线网络、核心网、光网络、IP网络和运营商解决方案厂商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在欧洲、北美及部分国际市场具有较强客户基础，优势在网络设备、光网络和国际运营商关系。</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思科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企业网络、数据中心交换机、路由器、安全及部分算力基础设施竞争者</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在企业客户、网络软件生态、北美市场和高端企业网络领域更强，与中兴通讯在运营商网络和家庭终端领域的重叠相对较少。</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中信科移动/烽火通信</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中国通信设备产业链重要竞争者</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中信科移动重点参与无线接入、5G和行业专网；烽火通信在光通信、传输、接入和运营商网络设备方面具有积累，二者与中兴通讯在国内运营商集采、光网络、无线接入及政企网络项目中存在竞争。</w:t>
            </w:r>
          </w:p>
        </w:tc>
      </w:tr>
    </w:tbl>
    <w:p>
      <w:pPr>
        <w:spacing w:before="200"/>
      </w:pPr>
    </w:p>
    <w:p>
      <w:pPr>
        <w:spacing w:after="160" w:line="300"/>
      </w:pPr>
      <w:r>
        <w:rPr>
          <w:sz w:val="22"/>
          <w:szCs w:val="22"/>
        </w:rPr>
        <w:t xml:space="preserve">中兴通讯相较华为的优势更多体现在国内运营商市场、成本效率、运营商网络交付、全球部分新兴市场和通信设备产品组合；相较爱立信和诺基亚，其中国市场、固网接入、家庭终端、终端及部分新兴市场竞争力更突出；相较思科，其优势更偏向运营商网络、国内政企市场、通信设备成本效率和家庭终端。中信科移动和烽火通信在部分无线、光通信及运营商网络细分领域构成竞争，但综合业务规模和全球化程度低于中兴通讯。行业市场份额和“全球第一/第二”等排名受统计范围、区域和时间影响，部分为公司披露或引用的第三方机构口径，具体数值需以相应原始报告和最新年报为准。</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算力业务快速增长但盈利能力不足的风险：2026年上半年算力业务收入同比增长超过55%，占总营收比重升至35.1%，但公司综合毛利率降至25.48%，政企业务毛利率为15.84%；若服务器、存储和数据中心产品继续以较低毛利放量，收入增长可能持续弱于利润增长。</w:t>
      </w:r>
    </w:p>
    <w:p>
      <w:pPr>
        <w:pStyle w:val="ListParagraph"/>
        <w:numPr>
          <w:ilvl w:val="0"/>
          <w:numId w:val="2"/>
        </w:numPr>
        <w:spacing w:after="80" w:line="280"/>
      </w:pPr>
      <w:r>
        <w:rPr>
          <w:sz w:val="22"/>
          <w:szCs w:val="22"/>
        </w:rPr>
        <w:t xml:space="preserve">运营商网络业务持续下滑的风险：2026年上半年运营商网络业务收入同比下降9.41%，2025年全年该业务收入同比下降10.62%。该业务毛利率较高，若大型运营商资本开支、集采节奏或公司项目份额未能改善，可能继续拖累综合毛利率和净利润。</w:t>
      </w:r>
    </w:p>
    <w:p>
      <w:pPr>
        <w:pStyle w:val="ListParagraph"/>
        <w:numPr>
          <w:ilvl w:val="0"/>
          <w:numId w:val="2"/>
        </w:numPr>
        <w:spacing w:after="80" w:line="280"/>
      </w:pPr>
      <w:r>
        <w:rPr>
          <w:sz w:val="22"/>
          <w:szCs w:val="22"/>
        </w:rPr>
        <w:t xml:space="preserve">库存和营运资金占用扩大的风险：2025年末存货约412.58亿元，2026年6月末升至约546.5亿元，较年初增长约16.2%；算力业务扩张带来的备货若未能及时转化为销售和回款，可能增加减值、现金流和资产负债率压力。</w:t>
      </w:r>
    </w:p>
    <w:p>
      <w:pPr>
        <w:pStyle w:val="ListParagraph"/>
        <w:numPr>
          <w:ilvl w:val="0"/>
          <w:numId w:val="2"/>
        </w:numPr>
        <w:spacing w:after="80" w:line="280"/>
      </w:pPr>
      <w:r>
        <w:rPr>
          <w:sz w:val="22"/>
          <w:szCs w:val="22"/>
        </w:rPr>
        <w:t xml:space="preserve">应收账款账龄和回款风险：截至2025年末应收账款账面价值216.70亿元，3年以上账龄金额约49.96亿元，占应收账款账面余额约17.85%，且大型运营商和政企客户具有较强议价能力。若项目验收、结算或客户回款延迟，可能加大坏账准备和经营现金流压力。</w:t>
      </w:r>
    </w:p>
    <w:p>
      <w:pPr>
        <w:pStyle w:val="ListParagraph"/>
        <w:numPr>
          <w:ilvl w:val="0"/>
          <w:numId w:val="2"/>
        </w:numPr>
        <w:spacing w:after="80" w:line="280"/>
      </w:pPr>
      <w:r>
        <w:rPr>
          <w:sz w:val="22"/>
          <w:szCs w:val="22"/>
        </w:rPr>
        <w:t xml:space="preserve">供应链和关键器件替代风险：公司营业成本中原材料成本占比82.39%，高端芯片、处理器、GPU、光器件及服务器核心部件可能存在技术认证和替代周期较长的问题；若全球芯片供应、技术授权或关键器件价格发生不利变化，可能影响交付、成本和毛利率。</w:t>
      </w:r>
    </w:p>
    <w:p>
      <w:pPr>
        <w:pStyle w:val="ListParagraph"/>
        <w:numPr>
          <w:ilvl w:val="0"/>
          <w:numId w:val="2"/>
        </w:numPr>
        <w:spacing w:after="80" w:line="280"/>
      </w:pPr>
      <w:r>
        <w:rPr>
          <w:sz w:val="22"/>
          <w:szCs w:val="22"/>
        </w:rPr>
        <w:t xml:space="preserve">客户集中和大型项目依赖风险：2025年前五大客户销售占比44.87%，最大客户占比20.46%，运营商网络仍依赖大型运营商集采和大型政企项目。虽然整体客户集中度较2022—2024年下降，但单一大客户采购节奏或项目交付变化仍可能对收入确认和回款产生较大影响。</w:t>
      </w:r>
    </w:p>
    <w:p>
      <w:pPr>
        <w:pStyle w:val="ListParagraph"/>
        <w:numPr>
          <w:ilvl w:val="0"/>
          <w:numId w:val="2"/>
        </w:numPr>
        <w:spacing w:after="80" w:line="280"/>
      </w:pPr>
      <w:r>
        <w:rPr>
          <w:sz w:val="22"/>
          <w:szCs w:val="22"/>
        </w:rPr>
        <w:t xml:space="preserve">海外业务履约及担保风险：公司2026年度拟为子公司提供不超过19.3亿美元担保额度，并已为中兴通讯（香港）有限公司在阿联酋移动运营商e&amp;集团相关框架协议项下提供不超过5000万美元连带责任保证。上述额度不等同于实际担保余额，但若海外项目履约或回款出现问题，可能形成额外财务风险。</w:t>
      </w:r>
    </w:p>
    <w:p>
      <w:pPr>
        <w:pStyle w:val="ListParagraph"/>
        <w:numPr>
          <w:ilvl w:val="0"/>
          <w:numId w:val="2"/>
        </w:numPr>
        <w:spacing w:after="80" w:line="280"/>
      </w:pPr>
      <w:r>
        <w:rPr>
          <w:sz w:val="22"/>
          <w:szCs w:val="22"/>
        </w:rPr>
        <w:t xml:space="preserve">盈利预测和估值修复不及预期的风险：截至2026年9月11日，公司TTM市盈率约46.42倍，显著高于按机构预测计算的2026—2028年前瞻市盈率，当前估值包含未来利润恢复预期。若算力业务毛利率、运营商网络收入或经营现金流未按预期改善，盈利预测可能下修，估值压力可能加大。</w:t>
      </w:r>
    </w:p>
    <w:p>
      <w:pPr>
        <w:pStyle w:val="ListParagraph"/>
        <w:numPr>
          <w:ilvl w:val="0"/>
          <w:numId w:val="2"/>
        </w:numPr>
        <w:spacing w:after="80" w:line="280"/>
      </w:pPr>
      <w:r>
        <w:rPr>
          <w:sz w:val="22"/>
          <w:szCs w:val="22"/>
        </w:rPr>
        <w:t xml:space="preserve">股价技术面进一步走弱的风险：截至2026年9月11日股价低于MA5、MA10和MA20，主力资金近期多数交易日净流出，31.80—32.20元为重要观察区间；若有效跌破31.40—31.80元区域，可能进一步测试52周低点约31.39元。</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中兴通讯的中期增长逻辑主要来自算力基础设施、服务器及存储、数据中心、政企业务和海外市场扩张，并由公司“连接+算力”战略、算网融合方案及AI时代“四V”框架进一步强化。机构预测均值预计2026—2028年营业收入约为1497.03亿元、1691.42亿元和1916.22亿元，归母净利润约为61.86亿元、71.34亿元和76.22亿元，隐含的核心前提是算力业务规模效应逐步显现、运营商网络业务企稳以及产品结构和盈利能力改善。</w:t>
      </w:r>
    </w:p>
    <w:p>
      <w:pPr>
        <w:spacing w:after="160" w:line="300"/>
      </w:pPr>
      <w:r>
        <w:rPr>
          <w:sz w:val="22"/>
          <w:szCs w:val="22"/>
        </w:rPr>
        <w:t xml:space="preserve">但当前业绩尚处于转型期，2026年上半年收入增速与利润增速明显背离，运营商网络业务下滑、算力硬件毛利率相对较低、汇率波动和备货增加均对盈利形成压力。后续应重点观察算力业务毛利率和政企业务利润率能否提升、运营商网络收入是否企稳、海外项目能否持续拓展，以及存货、应收账款和经营现金流是否改善。</w:t>
      </w:r>
    </w:p>
    <w:p>
      <w:pPr>
        <w:spacing w:after="160" w:line="300"/>
      </w:pPr>
      <w:r>
        <w:rPr>
          <w:sz w:val="22"/>
          <w:szCs w:val="22"/>
        </w:rPr>
        <w:t xml:space="preserve">估值和市场表现对盈利修复具有较高敏感性。截至2026年9月11日，股价对应TTM市盈率约46.42倍，而按机构预测的2026—2028年前瞻市盈率约为24.9倍、21.6倍和20.2倍，较大差异反映市场对未来利润恢复已有一定预期。若利润修复兑现，估值压力可能逐步缓解；若算力业务持续低毛利或运营商业务继续承压，盈利预测和估值逻辑均可能面临调整。</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中兴通讯(000063)_公司公告_中兴通讯：2026年半年度报告摘要新浪财经_新浪网 — https://money.finance.sina.com.cn/corp/view/vCB_AllBulletinDetail.php?id=12517312&amp;stockid=000063</w:t>
      </w:r>
    </w:p>
    <w:p>
      <w:pPr>
        <w:spacing w:after="200"/>
      </w:pPr>
      <w:r>
        <w:rPr>
          <w:i/>
          <w:iCs/>
          <w:color w:val="595959"/>
          <w:sz w:val="18"/>
          <w:szCs w:val="18"/>
        </w:rPr>
        <w:t xml:space="preserve">中兴通讯(000063)_公司公告_中兴通讯：2026年半年度报告新浪财经_新浪网 — https://money.finance.sina.com.cn/corp/view/vCB_AllBulletinDetail.php?id=12517314&amp;stockid=000063&amp;utm_source=openai</w:t>
      </w:r>
    </w:p>
    <w:p>
      <w:pPr>
        <w:spacing w:after="200"/>
      </w:pPr>
      <w:r>
        <w:rPr>
          <w:i/>
          <w:iCs/>
          <w:color w:val="595959"/>
          <w:sz w:val="18"/>
          <w:szCs w:val="18"/>
        </w:rPr>
        <w:t xml:space="preserve">中兴通讯(000063)_公司公告_中兴通讯：2025年年度报告摘要新浪财经_新浪网 — https://money.finance.sina.com.cn/corp/view/vCB_AllBulletinDetail.php?id=11985605&amp;stockid=000063&amp;utm_source=openai</w:t>
      </w:r>
    </w:p>
    <w:p>
      <w:pPr>
        <w:spacing w:after="200"/>
      </w:pPr>
      <w:r>
        <w:rPr>
          <w:i/>
          <w:iCs/>
          <w:color w:val="595959"/>
          <w:sz w:val="18"/>
          <w:szCs w:val="18"/>
        </w:rPr>
        <w:t xml:space="preserve">中兴通讯(000063) 盈利预测_F10_同花顺金融服务网 — https://basic.10jqka.com.cn/000063/worth.html</w:t>
      </w:r>
    </w:p>
    <w:p>
      <w:pPr>
        <w:spacing w:after="200"/>
      </w:pPr>
      <w:r>
        <w:rPr>
          <w:i/>
          <w:iCs/>
          <w:color w:val="595959"/>
          <w:sz w:val="18"/>
          <w:szCs w:val="18"/>
        </w:rPr>
        <w:t xml:space="preserve">中兴通讯 (000063)股票预测和分析师评级 - 富途牛牛 — https://www.futunn.com/stock/000063-SZ/forecast?lang=zh-hk&amp;utm_source=openai</w:t>
      </w:r>
    </w:p>
    <w:p>
      <w:pPr>
        <w:spacing w:after="200"/>
      </w:pPr>
      <w:r>
        <w:rPr>
          <w:i/>
          <w:iCs/>
          <w:color w:val="595959"/>
          <w:sz w:val="18"/>
          <w:szCs w:val="18"/>
        </w:rPr>
        <w:t xml:space="preserve">中兴通讯(000063)市净率|估值|基本面 - 理杏仁 — https://www.lixinger.com/equity/company/detail/sz/000063/63/fundamental/valuation/pb?utm_source=openai</w:t>
      </w:r>
    </w:p>
    <w:p>
      <w:pPr>
        <w:spacing w:after="200"/>
      </w:pPr>
      <w:r>
        <w:rPr>
          <w:i/>
          <w:iCs/>
          <w:color w:val="595959"/>
          <w:sz w:val="18"/>
          <w:szCs w:val="18"/>
        </w:rPr>
        <w:t xml:space="preserve">证券代码（A/H）：000063/00763　　证券简称(A/H)：中兴通讯　　公告编号：202656 — https://static.cninfo.com.cn/finalpage/2026-08-22/1225490138.PDF?utm_source=openai</w:t>
      </w:r>
    </w:p>
    <w:p>
      <w:pPr>
        <w:spacing w:after="200"/>
      </w:pPr>
      <w:r>
        <w:rPr>
          <w:i/>
          <w:iCs/>
          <w:color w:val="595959"/>
          <w:sz w:val="18"/>
          <w:szCs w:val="18"/>
        </w:rPr>
        <w:t xml:space="preserve">中兴通讯(000063)公司公告_新浪财经_新浪网 — https://vip.stock.finance.sina.com.cn/corp/go.php/vCB_AllBulletin/stockid/000063.phtml?utm_source=openai</w:t>
      </w:r>
    </w:p>
    <w:p>
      <w:pPr>
        <w:spacing w:after="200"/>
      </w:pPr>
      <w:r>
        <w:rPr>
          <w:i/>
          <w:iCs/>
          <w:color w:val="595959"/>
          <w:sz w:val="18"/>
          <w:szCs w:val="18"/>
        </w:rPr>
        <w:t xml:space="preserve">中兴通讯更新2026年8月股份变动月报表，股本维持稳定 - 老虎证券 — https://www.itiger.com/hans/news/1181220073?utm_source=openai</w:t>
      </w:r>
    </w:p>
    <w:p>
      <w:pPr>
        <w:spacing w:after="200"/>
      </w:pPr>
      <w:r>
        <w:rPr>
          <w:i/>
          <w:iCs/>
          <w:color w:val="595959"/>
          <w:sz w:val="18"/>
          <w:szCs w:val="18"/>
        </w:rPr>
        <w:t xml:space="preserve">中兴通讯(000063)_公司公告_中兴通讯：关于回购A股股份实施结果暨股份变动的公告新浪财经_新浪网 — https://money.finance.sina.com.cn/corp/view/vCB_AllBulletinDetail.php?id=12454844&amp;stockid=000063&amp;utm_source=openai</w:t>
      </w:r>
    </w:p>
    <w:p>
      <w:pPr>
        <w:spacing w:after="200"/>
      </w:pPr>
      <w:r>
        <w:rPr>
          <w:i/>
          <w:iCs/>
          <w:color w:val="595959"/>
          <w:sz w:val="18"/>
          <w:szCs w:val="18"/>
        </w:rPr>
        <w:t xml:space="preserve">中兴通讯_ 个股日历 _ 东方财富网_ 数据频道 — https://data.eastmoney.com/stockcalendar/000063.html?utm_source=openai</w:t>
      </w:r>
    </w:p>
    <w:p>
      <w:pPr>
        <w:spacing w:after="200"/>
      </w:pPr>
      <w:r>
        <w:rPr>
          <w:i/>
          <w:iCs/>
          <w:color w:val="595959"/>
          <w:sz w:val="18"/>
          <w:szCs w:val="18"/>
        </w:rPr>
        <w:t xml:space="preserve">中兴通讯(HK0763) 最新动态_F10_同花顺金融服务网 — https://stockpage.10jqka.com.cn/basicweb/176/HK0763/?utm_source=openai</w:t>
      </w:r>
    </w:p>
    <w:p>
      <w:pPr>
        <w:spacing w:after="200"/>
      </w:pPr>
      <w:r>
        <w:rPr>
          <w:i/>
          <w:iCs/>
          <w:color w:val="595959"/>
          <w:sz w:val="18"/>
          <w:szCs w:val="18"/>
        </w:rPr>
        <w:t xml:space="preserve">中興通訊股份有限公司 海外監管公告 關於二零二六年度擬使用自有資金進行委託理財的公告；關於二零二六年度擬爲子公司提供擔保額度的公告；董事會關於二零二五年度證券投資情況的專項說明 — https://www.zte.com.cn/content/dam/zte-site/investorrelations/cn_announcement/2026030605.pdf?utm_source=openai</w:t>
      </w:r>
    </w:p>
    <w:p>
      <w:pPr>
        <w:spacing w:after="200"/>
      </w:pPr>
      <w:r>
        <w:rPr>
          <w:i/>
          <w:iCs/>
          <w:color w:val="595959"/>
          <w:sz w:val="18"/>
          <w:szCs w:val="18"/>
        </w:rPr>
        <w:t xml:space="preserve">中兴通讯深化“连接+算力”双引擎战略 以四V框架领航AI时代价值跃迁 — https://www.zte.com.cn/china/about/news/20260910C1.html?utm_source=openai</w:t>
      </w:r>
    </w:p>
    <w:p>
      <w:pPr>
        <w:spacing w:after="200"/>
      </w:pPr>
      <w:r>
        <w:rPr>
          <w:i/>
          <w:iCs/>
          <w:color w:val="595959"/>
          <w:sz w:val="18"/>
          <w:szCs w:val="18"/>
        </w:rPr>
        <w:t xml:space="preserve">中兴通讯总裁徐子阳：全栈全域深化算网融合，携手中国联通向智同行 — https://www.zte.com.cn/china/about/news/20260910C2.html?utm_source=openai</w:t>
      </w:r>
    </w:p>
    <w:p>
      <w:pPr>
        <w:spacing w:after="200"/>
      </w:pPr>
      <w:r>
        <w:rPr>
          <w:i/>
          <w:iCs/>
          <w:color w:val="595959"/>
          <w:sz w:val="18"/>
          <w:szCs w:val="18"/>
        </w:rPr>
        <w:t xml:space="preserve">中兴通讯 (000063) - 历史交易数据 | 打板客网 — https://dabanke.com/hangqing-000063.html</w:t>
      </w:r>
    </w:p>
    <w:p>
      <w:pPr>
        <w:spacing w:after="200"/>
      </w:pPr>
      <w:r>
        <w:rPr>
          <w:i/>
          <w:iCs/>
          <w:color w:val="595959"/>
          <w:sz w:val="18"/>
          <w:szCs w:val="18"/>
        </w:rPr>
        <w:t xml:space="preserve">中兴通讯(000063)股票行情走势技术分析_未来预测_买卖操作建议_英为财情Investing.com — https://cn.investing.com/equities/zte-a-technical?utm_source=openai</w:t>
      </w:r>
    </w:p>
    <w:p>
      <w:pPr>
        <w:spacing w:after="200"/>
      </w:pPr>
      <w:r>
        <w:rPr>
          <w:i/>
          <w:iCs/>
          <w:color w:val="595959"/>
          <w:sz w:val="18"/>
          <w:szCs w:val="18"/>
        </w:rPr>
        <w:t xml:space="preserve">中兴通讯(000063)_资金流向_证券之星 — https://stock.quote.stockstar.com/capital_000063.shtml?utm_source=openai</w:t>
      </w:r>
    </w:p>
    <w:p>
      <w:pPr>
        <w:spacing w:after="200"/>
      </w:pPr>
      <w:r>
        <w:rPr>
          <w:i/>
          <w:iCs/>
          <w:color w:val="595959"/>
          <w:sz w:val="18"/>
          <w:szCs w:val="18"/>
        </w:rPr>
        <w:t xml:space="preserve">中兴通讯(000063) 最新动态_F10_同花顺金融服务网 — https://basic.10jqka.com.cn/000063/?utm_source=openai</w:t>
      </w:r>
    </w:p>
    <w:p>
      <w:pPr>
        <w:spacing w:after="200"/>
      </w:pPr>
      <w:r>
        <w:rPr>
          <w:i/>
          <w:iCs/>
          <w:color w:val="595959"/>
          <w:sz w:val="18"/>
          <w:szCs w:val="18"/>
        </w:rPr>
        <w:t xml:space="preserve">本报告由AI基于公开渠道信息自动检索、整理并生成，信息截至 截至2026年9月11日收盘；技术指标、资金流向及行情数据以研究纪要所列口径为准，部分指标为第三方页面或基于历史收盘价估算。，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2026-09-13T13:43:24.875Z</dcterms:created>
  <dcterms:modified xsi:type="dcterms:W3CDTF">2026-09-13T13:43:24.875Z</dcterms:modified>
</cp:coreProperties>
</file>

<file path=docProps/custom.xml><?xml version="1.0" encoding="utf-8"?>
<Properties xmlns="http://schemas.openxmlformats.org/officeDocument/2006/custom-properties" xmlns:vt="http://schemas.openxmlformats.org/officeDocument/2006/docPropsVTypes"/>
</file>