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中联重科股份有限公司 (000157)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行业：工程机械及高端装备制造</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截至2026年9月11日收盘；技术指标同时引用2026年9月11日盘中快照及基于公开历史收盘价的重新测算。不同数据源在复权方式、计算时点和指标参数上可能存在差异。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联重科最新业绩呈现“收入增长、利润承压”特征：2026年上半年营业收入271.35亿元，同比增长9.17%，但归母净利润21.02亿元，同比下降23.97%，扣非归母净利润仅8.31亿元，同比下降56.82%。同期经营活动现金流净额为24.20亿元，同比增长38.12%，但财务费用由上年同期的负3.71亿元转为9.24亿元，显示海外扩张、融资及汇率等因素对盈利质量形成压力。</w:t>
      </w:r>
    </w:p>
    <w:p>
      <w:pPr>
        <w:spacing w:after="160" w:line="300"/>
      </w:pPr>
      <w:r>
        <w:rPr>
          <w:sz w:val="22"/>
          <w:szCs w:val="22"/>
        </w:rPr>
        <w:t xml:space="preserve">公司增长结构持续向海外和新兴业务倾斜。2026年上半年海外收入155.35亿元，占营业收入57.25%；新兴板块收入125.45亿元，占比46.23%。2025年全年收入521.07亿元，同比增长14.58%，归母净利润48.58亿元，同比增长38.01%，其中境外收入占比58.56%。公司拥有覆盖全球的17个智能工厂、8个国家的11个海外生产基地以及较完整的工程机械、农业机械产品型谱，海外本地化和产品多元化已成为对冲国内房地产及基建周期的重要抓手。</w:t>
      </w:r>
    </w:p>
    <w:p>
      <w:pPr>
        <w:spacing w:after="160" w:line="300"/>
      </w:pPr>
      <w:r>
        <w:rPr>
          <w:sz w:val="22"/>
          <w:szCs w:val="22"/>
        </w:rPr>
        <w:t xml:space="preserve">公司基本面仍具有综合型高端装备制造商的特征，工程机械2024年收入占比88.74%，农业机械占比10.22%；传统起重及混凝土机械收入占比已由2021年的约78.76%降至2024年的50.13%。2024年综合毛利率28.17%，境外销售毛利率32.05%，高于境内销售毛利率24.06%，表明海外市场和产品结构升级有助于改善盈利，但公司物料消耗占装备制造营业成本90.10%，盈利仍对材料、关键零部件采购效率及产品价格竞争较为敏感。</w:t>
      </w:r>
    </w:p>
    <w:p>
      <w:pPr>
        <w:spacing w:after="160" w:line="300"/>
      </w:pPr>
      <w:r>
        <w:rPr>
          <w:sz w:val="22"/>
          <w:szCs w:val="22"/>
        </w:rPr>
        <w:t xml:space="preserve">截至2026年9月11日，股价为6.52元，接近52周区间下沿6.49元，市盈率TTM约13.4倍、市净率约0.98倍；股价低于短期主要均线，MACD为负，RSI为27.846并处于技术性超卖区域，资金面则表现为大单和超大单合计净流出约4,117.59万元。当前估值相对较低，但市场对后续利润恢复、海外增长兑现及盈利质量改善已有较强依赖。</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中联重科</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2000年10月12日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公司创立时间</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1992年</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454.78亿元，同比下降3.39%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2024年归母净利润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35.20亿元，同比增长0.41%</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2024年收入结构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约99%的收入来源于产品销售；境外收入233.80亿元，占比51.41%，境内收入220.98亿元，占比48.59%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制造与产线资源</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截至2024年末，形成覆盖全球的17个智能工厂、360余条智能产线；在8个国家建成11个海外生产基地</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产品型谱</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公司官网披露主导产品涵盖15大类别、78个产品系列、713个型谱</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工程机械：2024年收入403.56亿元，占营业收入88.74%，毛利率29.20%，主要包括混凝土机械、工程起重机械、建筑起重机械、土方机械、高空作业机械、矿山机械等</w:t>
      </w:r>
    </w:p>
    <w:p>
      <w:pPr>
        <w:pStyle w:val="ListParagraph"/>
        <w:numPr>
          <w:ilvl w:val="0"/>
          <w:numId w:val="2"/>
        </w:numPr>
        <w:spacing w:after="80" w:line="280"/>
      </w:pPr>
      <w:r>
        <w:rPr>
          <w:sz w:val="22"/>
          <w:szCs w:val="22"/>
        </w:rPr>
        <w:t xml:space="preserve">农业机械：2024年收入46.50亿元，占营业收入10.22%，毛利率12.25%，产品包括拖拉机、联合收割机、烘干机、插秧机、玉米机、播种机、甘蔗机及相关智能农机零部件</w:t>
      </w:r>
    </w:p>
    <w:p>
      <w:pPr>
        <w:pStyle w:val="ListParagraph"/>
        <w:numPr>
          <w:ilvl w:val="0"/>
          <w:numId w:val="2"/>
        </w:numPr>
        <w:spacing w:after="80" w:line="280"/>
      </w:pPr>
      <w:r>
        <w:rPr>
          <w:sz w:val="22"/>
          <w:szCs w:val="22"/>
        </w:rPr>
        <w:t xml:space="preserve">金融服务：2024年收入4.72亿元，占营业收入1.04%，毛利率96.43%</w:t>
      </w:r>
    </w:p>
    <w:p>
      <w:pPr>
        <w:pStyle w:val="ListParagraph"/>
        <w:numPr>
          <w:ilvl w:val="0"/>
          <w:numId w:val="2"/>
        </w:numPr>
        <w:spacing w:after="80" w:line="280"/>
      </w:pPr>
      <w:r>
        <w:rPr>
          <w:sz w:val="22"/>
          <w:szCs w:val="22"/>
        </w:rPr>
        <w:t xml:space="preserve">按产品划分，起重机械收入147.86亿元，占32.51%；混凝土机械收入80.13亿元，占17.62%；高空机械收入68.33亿元，占15.03%；土方机械收入66.71亿元，占14.67%；其他机械和产品收入40.53亿元，占8.91%</w:t>
      </w:r>
    </w:p>
    <w:p>
      <w:pPr>
        <w:pStyle w:val="ListParagraph"/>
        <w:numPr>
          <w:ilvl w:val="0"/>
          <w:numId w:val="2"/>
        </w:numPr>
        <w:spacing w:after="80" w:line="280"/>
      </w:pPr>
      <w:r>
        <w:rPr>
          <w:sz w:val="22"/>
          <w:szCs w:val="22"/>
        </w:rPr>
        <w:t xml:space="preserve">新兴业务包括矿山机械、应急装备、中联新材料、新能源装备及相关零部件等</w:t>
      </w:r>
    </w:p>
    <w:p>
      <w:pPr>
        <w:pStyle w:val="ListParagraph"/>
        <w:numPr>
          <w:ilvl w:val="0"/>
          <w:numId w:val="2"/>
        </w:numPr>
        <w:spacing w:after="80" w:line="280"/>
      </w:pPr>
      <w:r>
        <w:rPr>
          <w:sz w:val="22"/>
          <w:szCs w:val="22"/>
        </w:rPr>
        <w:t xml:space="preserve">传统起重机械与混凝土机械收入占比由2021年的约78.76%下降至2024年的50.13%，土方、高空、农业、矿山及其他新兴板块占比提升</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联重科处于工程机械产业链中游的整机制造环节，上游连接钢材、发动机、液压件、底盘、电气控制系统及外协结构件供应商，下游连接建筑施工、房地产与基础设施建设、矿山、农业、租赁、经销商及海外工程客户。公司不是资源型企业，不存在矿产资源储量意义上的资源储备，核心资源主要体现为产品型谱、制造基地、研发能力、智能工厂、海外渠道及关键零部件体系。</w:t>
      </w:r>
    </w:p>
    <w:p>
      <w:pPr>
        <w:pStyle w:val="ListParagraph"/>
        <w:numPr>
          <w:ilvl w:val="0"/>
          <w:numId w:val="2"/>
        </w:numPr>
        <w:spacing w:after="80" w:line="280"/>
      </w:pPr>
      <w:r>
        <w:rPr>
          <w:sz w:val="22"/>
          <w:szCs w:val="22"/>
        </w:rPr>
        <w:t xml:space="preserve">主要采购和使用的投入品包括钢材及高强钢、发动机、液压件（液压泵、液压阀、油缸等）、底盘、电气件和控制系统、外协外包件及其他机械零部件。</w:t>
      </w:r>
    </w:p>
    <w:p>
      <w:pPr>
        <w:pStyle w:val="ListParagraph"/>
        <w:numPr>
          <w:ilvl w:val="0"/>
          <w:numId w:val="2"/>
        </w:numPr>
        <w:spacing w:after="80" w:line="280"/>
      </w:pPr>
      <w:r>
        <w:rPr>
          <w:sz w:val="22"/>
          <w:szCs w:val="22"/>
        </w:rPr>
        <w:t xml:space="preserve">2024年装备制造营业成本为326.68亿元，其中物料消耗294.33亿元，占装备制造营业成本90.10%；人工费用14.64亿元，占4.48%；折旧摊销4.70亿元，占1.44%。公司利润对材料价格、关键零部件价格及采购效率较为敏感。</w:t>
      </w:r>
    </w:p>
    <w:p>
      <w:pPr>
        <w:pStyle w:val="ListParagraph"/>
        <w:numPr>
          <w:ilvl w:val="0"/>
          <w:numId w:val="2"/>
        </w:numPr>
        <w:spacing w:after="80" w:line="280"/>
      </w:pPr>
      <w:r>
        <w:rPr>
          <w:sz w:val="22"/>
          <w:szCs w:val="22"/>
        </w:rPr>
        <w:t xml:space="preserve">联合资信根据公司资料整理的2024年采购金额包括：钢材17.99亿元、电气件17.99亿元、底盘22.47亿元、发动机36.36亿元、液压件26.70亿元、外协外包件68.22亿元、其他外购件27.70亿元、其他采购46.50亿元，合计263.92亿元。该分类为评级机构整理数据，并非公司年报逐项公开披露的审计口径，不能与年报营业成本直接等同。</w:t>
      </w:r>
    </w:p>
    <w:p>
      <w:pPr>
        <w:pStyle w:val="ListParagraph"/>
        <w:numPr>
          <w:ilvl w:val="0"/>
          <w:numId w:val="2"/>
        </w:numPr>
        <w:spacing w:after="80" w:line="280"/>
      </w:pPr>
      <w:r>
        <w:rPr>
          <w:sz w:val="22"/>
          <w:szCs w:val="22"/>
        </w:rPr>
        <w:t xml:space="preserve">采购采用供应链管理部集中采购、各经营单元具体执行的模式；液压件、发动机和底盘等战略物资实施跨事业部集中采购。2024年前五大供应商采购金额37.17亿元，占年度采购总额15.16%，前五大供应商中无关联方采购。该集中度数据为2024年度口径。</w:t>
      </w:r>
    </w:p>
    <w:p>
      <w:pPr>
        <w:pStyle w:val="ListParagraph"/>
        <w:numPr>
          <w:ilvl w:val="0"/>
          <w:numId w:val="2"/>
        </w:numPr>
        <w:spacing w:after="80" w:line="280"/>
      </w:pPr>
      <w:r>
        <w:rPr>
          <w:sz w:val="22"/>
          <w:szCs w:val="22"/>
        </w:rPr>
        <w:t xml:space="preserve">钢材、标准结构件和一般外协件供应商数量较多，公司凭借规模采购、招标采购及集中供应链管理具备一定议价能力；发动机、液压件、底盘及电气控制系统等关键零部件技术门槛较高，相关供应商议价能力高于普通钢材和一般零部件。</w:t>
      </w:r>
    </w:p>
    <w:p>
      <w:pPr>
        <w:pStyle w:val="ListParagraph"/>
        <w:numPr>
          <w:ilvl w:val="0"/>
          <w:numId w:val="2"/>
        </w:numPr>
        <w:spacing w:after="80" w:line="280"/>
      </w:pPr>
      <w:r>
        <w:rPr>
          <w:sz w:val="22"/>
          <w:szCs w:val="22"/>
        </w:rPr>
        <w:t xml:space="preserve">公司对钢材等大宗原材料总体属于相对价格接受者，无法完全及时将原材料上涨传导给客户，利润改善更多依赖采购降本、材料价格回落、产品结构升级及规模效应。</w:t>
      </w:r>
    </w:p>
    <w:p>
      <w:pPr>
        <w:pStyle w:val="ListParagraph"/>
        <w:numPr>
          <w:ilvl w:val="0"/>
          <w:numId w:val="2"/>
        </w:numPr>
        <w:spacing w:after="80" w:line="280"/>
      </w:pPr>
      <w:r>
        <w:rPr>
          <w:sz w:val="22"/>
          <w:szCs w:val="22"/>
        </w:rPr>
        <w:t xml:space="preserve">主要下游客户包括建筑施工企业、房地产和基础设施建设企业、工程机械租赁商、矿山及能源企业、港口、风电和大型工程项目客户、农业生产者及农机经销商，以及海外经销商、终端客户和工程承包商。</w:t>
      </w:r>
    </w:p>
    <w:p>
      <w:pPr>
        <w:pStyle w:val="ListParagraph"/>
        <w:numPr>
          <w:ilvl w:val="0"/>
          <w:numId w:val="2"/>
        </w:numPr>
        <w:spacing w:after="80" w:line="280"/>
      </w:pPr>
      <w:r>
        <w:rPr>
          <w:sz w:val="22"/>
          <w:szCs w:val="22"/>
        </w:rPr>
        <w:t xml:space="preserve">2024年前五大客户销售金额24.72亿元，占年度销售总额5.44%，无关联方销售。该数据为2024年度口径；研究纪要未提供其他年度可交叉核验的客户集中度数据，具体应以最新年报为准。</w:t>
      </w:r>
    </w:p>
    <w:p>
      <w:pPr>
        <w:pStyle w:val="ListParagraph"/>
        <w:numPr>
          <w:ilvl w:val="0"/>
          <w:numId w:val="2"/>
        </w:numPr>
        <w:spacing w:after="80" w:line="280"/>
      </w:pPr>
      <w:r>
        <w:rPr>
          <w:sz w:val="22"/>
          <w:szCs w:val="22"/>
        </w:rPr>
        <w:t xml:space="preserve">工程机械下游通常采用分期付款、融资租赁、按揭或经销商授信等销售方式，信用期限及回款条件对实际盈利影响较大。客户集中度虽然较低，但客户数量多、渠道及信用管理复杂。</w:t>
      </w:r>
    </w:p>
    <w:p>
      <w:pPr>
        <w:pStyle w:val="ListParagraph"/>
        <w:numPr>
          <w:ilvl w:val="0"/>
          <w:numId w:val="2"/>
        </w:numPr>
        <w:spacing w:after="80" w:line="280"/>
      </w:pPr>
      <w:r>
        <w:rPr>
          <w:sz w:val="22"/>
          <w:szCs w:val="22"/>
        </w:rPr>
        <w:t xml:space="preserve">起重机械、混凝土机械和塔式起重机械高度依赖房地产、基建及大型工程项目，国内需求具有周期性；海外市场的品牌、认证、售后服务、备件供应及本地化渠道会影响产品售价和毛利率。</w:t>
      </w:r>
    </w:p>
    <w:p>
      <w:pPr>
        <w:pStyle w:val="ListParagraph"/>
        <w:numPr>
          <w:ilvl w:val="0"/>
          <w:numId w:val="2"/>
        </w:numPr>
        <w:spacing w:after="80" w:line="280"/>
      </w:pPr>
      <w:r>
        <w:rPr>
          <w:sz w:val="22"/>
          <w:szCs w:val="22"/>
        </w:rPr>
        <w:t xml:space="preserve">农机及高空作业平台客户相对分散，产品结构升级和电动化有助于提高附加值；超大型起重机、塔机、高端高空作业平台及大型矿山装备可凭借技术、可靠性、认证和服务能力形成一定溢价，但行业整体不存在消费品意义上的强品牌溢价。</w:t>
      </w:r>
    </w:p>
    <w:p>
      <w:pPr>
        <w:pStyle w:val="ListParagraph"/>
        <w:numPr>
          <w:ilvl w:val="0"/>
          <w:numId w:val="2"/>
        </w:numPr>
        <w:spacing w:after="80" w:line="280"/>
      </w:pPr>
      <w:r>
        <w:rPr>
          <w:sz w:val="22"/>
          <w:szCs w:val="22"/>
        </w:rPr>
        <w:t xml:space="preserve">公司产品覆盖170多个国家和地区，拥有30余个海外一级业务航空港、390多个二三级网点和210多个服务备件仓库。2024年境外收入占比首次超过一半，是降低国内房地产和基建周期波动的重要方式。</w:t>
      </w:r>
    </w:p>
    <w:p>
      <w:pPr>
        <w:pStyle w:val="ListParagraph"/>
        <w:numPr>
          <w:ilvl w:val="0"/>
          <w:numId w:val="2"/>
        </w:numPr>
        <w:spacing w:after="80" w:line="280"/>
      </w:pPr>
      <w:r>
        <w:rPr>
          <w:sz w:val="22"/>
          <w:szCs w:val="22"/>
        </w:rPr>
        <w:t xml:space="preserve">截至2024年12月31日，合并口径应收账款账面余额245.08亿元，相当于2024年营业收入454.78亿元的约53.89%；应收账款原值288.74亿元、长期应收款原值146.14亿元，合计434.88亿元，相当于营业收入的约95.62%；应收账款坏账准备43.66亿元，长期应收款坏账准备7.13亿元。应收账款周转天数约194天，存货账面价值225.64亿元，约相当于2024年营业成本的253天；应付账款88.30亿元，约相当于营业成本的99天。上述数据表明，公司下游资金占用明显，经营模式具有重资产、长账期和较高信用风险特征，客户分散并不等同于现金流安全或下游议价能力弱。</w:t>
      </w:r>
    </w:p>
    <w:p>
      <w:pPr>
        <w:pStyle w:val="ListParagraph"/>
        <w:numPr>
          <w:ilvl w:val="0"/>
          <w:numId w:val="2"/>
        </w:numPr>
        <w:spacing w:after="80" w:line="280"/>
      </w:pPr>
      <w:r>
        <w:rPr>
          <w:sz w:val="22"/>
          <w:szCs w:val="22"/>
        </w:rPr>
        <w:t xml:space="preserve">供应端：2024年前五大供应商采购金额占年度采购总额15.16%，集中度不高，且无关联方采购；客户端：2024年前五大客户销售金额占年度销售总额5.44%，集中度较低、无关联方销售。上述供应商和客户集中度均为2024年度数据，研究纪要未提供其他年度可交叉核验数据，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28.59%</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11.30%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处于上一轮工程机械景气周期较高位置，起重机械、混凝土机械等传统优势产品占比较高，规模效应较明显；但国内收入占比超过90%，对国内周期依赖较强。</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23.61%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9.51%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钢材、发动机、液压件等材料成本压力上升，起重机械收入占比超过54%，行业竞争加剧，材料涨价尚未完全向下游传导；境外收入占比仅8.62%，海外市场支撑有限。</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21.83%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5.73%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国内工程机械行业进入下行调整期，房地产链条疲弱，传统起重和混凝土机械需求承压；价格竞争、产能利用率下降、信用减值及应收风险共同压低盈利。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约27.13%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外收入占比提升至38.04%，土方、高空及其他机械产品增长较快，产品结构改善；公司加强应收账款管理和成本控制，毛利率较2022年修复。2023年部分业务毛利率存在年报追溯调整，历史数据应以2024年年报可比口径为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28.17%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约8.81%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海外收入占比升至51.41%，境外销售毛利率32.05%，高于境内销售毛利率24.06%；高空、土方及农业机械等板块增长，采购成本和制造费用控制改善，综合毛利率继续提升。</w:t>
            </w:r>
          </w:p>
        </w:tc>
      </w:tr>
    </w:tbl>
    <w:p>
      <w:pPr>
        <w:spacing w:before="200"/>
      </w:pPr>
    </w:p>
    <w:p>
      <w:pPr>
        <w:spacing w:after="160" w:line="300"/>
      </w:pPr>
      <w:r>
        <w:rPr>
          <w:sz w:val="22"/>
          <w:szCs w:val="22"/>
        </w:rPr>
        <w:t xml:space="preserve">中联重科位于工程机械产业链中游的综合型高端装备整机制造环节，整体利润水平低于上游资源型企业及强品牌下游企业，传统业务具有中游制造和周期性特征；其利润改善主要依靠海外本土化及高毛利市场拓展、高空/土方/农机/矿山/新能源等产品结构升级、采购与智能制造降本、关键零部件自主化、技术认证和服务溢价，以及应收账款和信用风险控制，而非单纯依靠大宗原材料价格传导。</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271.35亿元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+9.17%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归属于上市公司股东的净利润21.02亿元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-23.97%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521.07亿元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+14.58%</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归属于上市公司股东的净利润48.58亿元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+38.01%</w:t>
            </w:r>
          </w:p>
        </w:tc>
      </w:tr>
    </w:tbl>
    <w:p>
      <w:pPr>
        <w:spacing w:after="200"/>
      </w:pPr>
      <w:r>
        <w:rPr>
          <w:i/>
          <w:iCs/>
          <w:color w:val="595959"/>
          <w:sz w:val="18"/>
          <w:szCs w:val="18"/>
        </w:rPr>
        <w:t xml:space="preserve">截至2026年9月13日，已披露的最新一期定期报告为2026年半年度报告，披露日期为2026年8月28日。2026年上半年基本每股收益为0.24元，同比下降25.00%；经营活动产生的现金流量净额为24.20亿元，同比增长38.12%；扣除非经常性损益后的归母净利润约8.31亿元，同比下降约56.82%。2025年基本每股收益为0.56元，同比增长36.59%；经营活动产生的现金流量净额为48.74亿元，同比增长127.53%；扣非归母净利润为33.70亿元，同比增长31.93%。</w:t>
      </w:r>
    </w:p>
    <w:p>
      <w:pPr>
        <w:spacing w:after="160" w:line="300"/>
      </w:pPr>
      <w:r>
        <w:rPr>
          <w:sz w:val="22"/>
          <w:szCs w:val="22"/>
        </w:rPr>
        <w:t xml:space="preserve">公司最新一期业绩呈现收入增长、利润下降的特征。2026年上半年工程机械收入252.16亿元，同比增长11.40%，农业机械收入16.85亿元，同比下降15.26%，金融服务收入2.34亿元，同比增长1.74%。财务费用由2025年同期的负3.71亿元转为2026年上半年的9.24亿元，销售费用同比增长18.79%，研发费用为14.33亿元。海外销售规模扩大是收入增长的主要推动因素，但扣非利润降幅明显高于归母净利润，盈利质量承压。2025年境外收入305.15亿元，同比增长30.52%，占营业收入58.56%；境内收入215.92亿元，同比下降2.29%。</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预测数据主要来自同花顺盈利预测页面及华西证券、财通证券研报摘录。中报前同花顺约27家机构平均预测为：2026—2028年归母净利润59.71亿元、72.18亿元、87.24亿元，EPS为0.69元、0.83元、1.01元；中报后同花顺截至2026年9月11日更新的多机构预测均值为：归母净利润54.98亿元、66.83亿元、80.47亿元，EPS为0.64元、0.77元、0.93元。预测数据并非公司正式指引，且不同机构在汇率、海外收入增速及利润率假设方面存在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机构近期预测均值约601.75亿元；中报后同花顺更新均值约未披露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中报后同花顺多机构预测均值54.98亿元；华西证券50.3亿元；财通证券51.55亿元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相较2025年实际净利润48.58亿元，近期预测均值对应增长约13.2%；机构预测区间对应增长约3.5%—6.1%，具体增速口径存在差异</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中报后同花顺多机构预测均值0.64元；华西证券0.58元；中报前平均预测0.69元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机构近期预测均值约696.91亿元；中报后修订后的统一收入均值未披露</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中报后同花顺多机构预测均值66.83亿元；华西证券60.2亿元；财通证券63.32亿元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相较2026年各机构预测值继续增长，但研究纪要未提供统一的同比增速数字</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中报后同花顺多机构预测均值0.77元；华西证券0.70元；中报前平均预测0.83元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机构近期预测均值约805.09亿元；中报后修订后的统一收入均值未披露</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中报后同花顺多机构预测均值80.47亿元；华西证券71.6亿元；财通证券76.98亿元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相较2027年各机构预测值继续增长，但研究纪要未提供统一的同比增速数字</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中报后同花顺多机构预测均值0.93元；华西证券0.83元；中报前平均预测1.01元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目标价9.00元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光大证券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未披露目标价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2026年8月3日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目标价10.00元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华西证券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未见明确目标价；预计2026—2028年归母净利润为50.3亿元、60.2亿元、71.6亿元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财通证券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未见明确目标价；预计2026—2028年归母净利润为51.55亿元、63.32亿元、76.98亿元</w:t>
            </w:r>
          </w:p>
        </w:tc>
      </w:tr>
    </w:tbl>
    <w:p>
      <w:pPr>
        <w:spacing w:before="200"/>
      </w:pPr>
    </w:p>
    <w:p>
      <w:pPr>
        <w:spacing w:after="160" w:line="300"/>
      </w:pPr>
      <w:r>
        <w:rPr>
          <w:sz w:val="22"/>
          <w:szCs w:val="22"/>
        </w:rPr>
        <w:t xml:space="preserve">截至2026年9月11日收盘，股价为6.52元，总市值约563.9亿元，市盈率TTM约13.4倍，市净率约0.98倍。不同行情平台显示PE约13.39—13.42倍，整体可按13.4倍PE、0.98倍PB理解。按中报后同花顺多机构平均EPS预测，2026—2028年远期PE约为10.2倍、8.5倍和7.0倍；按华西证券预测约为11.2倍、9.3倍和7.9倍；按中报前较乐观一致预测约为9.4倍、7.9倍和6.5倍。已披露目标价的机构区间约为9.00—12.00元，中位数约10.90元；另一统计口径下，近六个月2026年目标价区间为9.00—11.19元，平均约10.05元。机构评级整体偏积极，聚合数据中买入评级22次、增持评级5次、未评级1次。当前估值相对较低，但其合理性依赖于后续利润恢复增长；汇率波动、海外经营风险、工程机械周期及需求恢复不及预期，可能导致盈利预测继续下调。</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诚一盛香港增持中联重科H股，合计持股比例升至12.0049%</w:t>
      </w:r>
    </w:p>
    <w:p>
      <w:pPr>
        <w:spacing w:after="160" w:line="300"/>
      </w:pPr>
      <w:r>
        <w:rPr>
          <w:sz w:val="22"/>
          <w:szCs w:val="22"/>
        </w:rPr>
        <w:t xml:space="preserve">2026年9月11日，中联重科披露《关于持股5%以上股东及其一致行动人增持股份触及1%整数倍的公告》。诚一盛（香港）投资管理有限公司于2026年9月10日通过香港联合交易所公开市场买入中联重科H股120万股，占公司总股本的0.0139%。增持完成后，诚一盛香港及其一致行动人合计持有公司股份1,038,250,603股，持股比例由11.9911%升至12.0049%，触及12%的整数倍。本次增持不会导致公司控制权变化，中联重科仍无控股股东和实际控制人。该增持为H股增持，不属于A股二级市场回购或A股股东直接增持。</w:t>
      </w:r>
    </w:p>
    <w:p>
      <w:pPr>
        <w:pStyle w:val="Heading2"/>
        <w:spacing w:after="120" w:before="240"/>
      </w:pPr>
      <w:r>
        <w:rPr>
          <w:b/>
          <w:bCs/>
          <w:color w:val="2E74B5"/>
          <w:sz w:val="24"/>
          <w:szCs w:val="24"/>
        </w:rPr>
        <w:t xml:space="preserve">4.2 2026年上半年收入增长，但归母净利润和扣非净利润下降</w:t>
      </w:r>
    </w:p>
    <w:p>
      <w:pPr>
        <w:spacing w:after="160" w:line="300"/>
      </w:pPr>
      <w:r>
        <w:rPr>
          <w:sz w:val="22"/>
          <w:szCs w:val="22"/>
        </w:rPr>
        <w:t xml:space="preserve">2026年8月28日，中联重科披露2026年半年度报告及摘要。2026年上半年营业收入为271.35亿元，同比增长9.17%；归属于上市公司股东的净利润为21.02亿元，同比下降23.97%；归属于上市公司股东的扣除非经常性损益的净利润为8.31亿元，同比下降56.82%。公司2026年上半年未提出现金分红、送红股或资本公积金转增股本方案。当前公开资料中未检索到2026年9月针对全年业绩的正式业绩预告或修正公告。</w:t>
      </w:r>
    </w:p>
    <w:p>
      <w:pPr>
        <w:pStyle w:val="Heading2"/>
        <w:spacing w:after="120" w:before="240"/>
      </w:pPr>
      <w:r>
        <w:rPr>
          <w:b/>
          <w:bCs/>
          <w:color w:val="2E74B5"/>
          <w:sz w:val="24"/>
          <w:szCs w:val="24"/>
        </w:rPr>
        <w:t xml:space="preserve">4.3 “质量回报双提升”行动方案披露新兴业务、海外业务及研发进展</w:t>
      </w:r>
    </w:p>
    <w:p>
      <w:pPr>
        <w:spacing w:after="160" w:line="300"/>
      </w:pPr>
      <w:r>
        <w:rPr>
          <w:sz w:val="22"/>
          <w:szCs w:val="22"/>
        </w:rPr>
        <w:t xml:space="preserve">2026年8月28日，公司披露《关于“质量回报双提升”行动方案的进展公告》。2026年上半年新兴板块收入125.45亿元，占营业收入的46.23%；海外收入155.35亿元，占营业收入的57.25%；研发投入15.71亿元。截至2026年6月30日，公司累计申请专利20,296件，其中发明专利9,211件；累计有效发明专利数量为4,128件。公司继续推进工程机械优势板块高端化、智能化、绿色化升级，并发展土方机械、矿山机械、高空作业机械、农业机械等新兴业务。</w:t>
      </w:r>
    </w:p>
    <w:p>
      <w:pPr>
        <w:pStyle w:val="Heading2"/>
        <w:spacing w:after="120" w:before="240"/>
      </w:pPr>
      <w:r>
        <w:rPr>
          <w:b/>
          <w:bCs/>
          <w:color w:val="2E74B5"/>
          <w:sz w:val="24"/>
          <w:szCs w:val="24"/>
        </w:rPr>
        <w:t xml:space="preserve">4.4 公司回顾历史分红及回购情况，暂未发现新增回购方案</w:t>
      </w:r>
    </w:p>
    <w:p>
      <w:pPr>
        <w:spacing w:after="160" w:line="300"/>
      </w:pPr>
      <w:r>
        <w:rPr>
          <w:sz w:val="22"/>
          <w:szCs w:val="22"/>
        </w:rPr>
        <w:t xml:space="preserve">公司披露自上市以来累计分红29次、分红金额超过320亿元；近5年持续开展股份回购，合计回购金额约53亿元。上述约53亿元为公司对历史回购情况的总结，不代表公司在2026年9月正在实施新的回购计划。公司2026年半年度报告中对报告期股份回购实施进展的披露为“不适用”；截至2026年9月13日，未检索到新的A股或H股回购方案、回购进展或注销回购股份公告。</w:t>
      </w:r>
    </w:p>
    <w:p>
      <w:pPr>
        <w:pStyle w:val="Heading2"/>
        <w:spacing w:after="120" w:before="240"/>
      </w:pPr>
      <w:r>
        <w:rPr>
          <w:b/>
          <w:bCs/>
          <w:color w:val="2E74B5"/>
          <w:sz w:val="24"/>
          <w:szCs w:val="24"/>
        </w:rPr>
        <w:t xml:space="preserve">4.5 第一期核心经营管理层持股计划延期至2032年4月27日</w:t>
      </w:r>
    </w:p>
    <w:p>
      <w:pPr>
        <w:spacing w:after="160" w:line="300"/>
      </w:pPr>
      <w:r>
        <w:rPr>
          <w:sz w:val="22"/>
          <w:szCs w:val="22"/>
        </w:rPr>
        <w:t xml:space="preserve">2026年8月28日，公司披露《关于核心经营管理层持股计划延期的公告》。公司第一期核心经营管理层持股计划原存续期延长至2027年4月27日，董事会同意将该持股计划存续期再延长60个月，即延长至2032年4月27日。2026年半年度报告显示，第一期员工持股计划期末持股约2.562亿股，占公司总股本约2.96%，持有人数量为472人；第二期核心经营管理层持股计划持股约4.240亿股，占总股本约4.90%，持有人数量为1,237人。持股计划延期不等同于新增增持，也不直接产生即时股本变化。</w:t>
      </w:r>
    </w:p>
    <w:p>
      <w:pPr>
        <w:pStyle w:val="Heading2"/>
        <w:spacing w:after="120" w:before="240"/>
      </w:pPr>
      <w:r>
        <w:rPr>
          <w:b/>
          <w:bCs/>
          <w:color w:val="2E74B5"/>
          <w:sz w:val="24"/>
          <w:szCs w:val="24"/>
        </w:rPr>
        <w:t xml:space="preserve">4.6 和一盛投资新增质押1.56亿股，累计质押比例约65.01%</w:t>
      </w:r>
    </w:p>
    <w:p>
      <w:pPr>
        <w:spacing w:after="160" w:line="300"/>
      </w:pPr>
      <w:r>
        <w:rPr>
          <w:sz w:val="22"/>
          <w:szCs w:val="22"/>
        </w:rPr>
        <w:t xml:space="preserve">2026年7月17日披露的《关于持股5%以上股东股份质押的公告》显示，长沙中联和一盛投资合伙企业（有限合伙）新增质押1.56亿股，质押起始日为2026年7月15日，质押用途为融资。本次质押数量占其持有公司股份的22.87%，占公司总股本的1.80%。公告披露时，和一盛投资持有公司约6.822亿股，累计质押约4.435亿股，占其持股比例约65.01%，占公司总股本约5.13%。上述数据以2026年7月17日公告时点为准，不能直接替代2026年9月13日的实时质押数据。</w:t>
      </w:r>
    </w:p>
    <w:p>
      <w:pPr>
        <w:pStyle w:val="Heading2"/>
        <w:spacing w:after="120" w:before="240"/>
      </w:pPr>
      <w:r>
        <w:rPr>
          <w:b/>
          <w:bCs/>
          <w:color w:val="2E74B5"/>
          <w:sz w:val="24"/>
          <w:szCs w:val="24"/>
        </w:rPr>
        <w:t xml:space="preserve">4.7 投资者关系活动关注海外业务、应收账款、汇率及机器人业务</w:t>
      </w:r>
    </w:p>
    <w:p>
      <w:pPr>
        <w:spacing w:after="160" w:line="300"/>
      </w:pPr>
      <w:r>
        <w:rPr>
          <w:sz w:val="22"/>
          <w:szCs w:val="22"/>
        </w:rPr>
        <w:t xml:space="preserve">公司于2026年9月1日和9月4日披露投资者关系活动记录，相关活动涉及2026年半年度业绩说明会及2026年9月2日投资者关系活动。投资者重点关注海外业务增长、农业机械业务潜力、机器人和智能化业务发展、海外应收账款及资产负债表质量、汇率波动对利润的影响。公司表示，将结合境内外经营、收付款、融资及资产负债的币种和期限，优化自然对冲安排，加强外汇敞口识别和管理，并通过合同定价、人民币或美元计价、金融套期保值等方式降低汇率风险。该类信息属于投资者关系活动记录，不属于经审计财务数据或具有法律约束力的业绩承诺。</w:t>
      </w:r>
    </w:p>
    <w:p>
      <w:pPr>
        <w:pStyle w:val="Heading2"/>
        <w:spacing w:after="120" w:before="240"/>
      </w:pPr>
      <w:r>
        <w:rPr>
          <w:b/>
          <w:bCs/>
          <w:color w:val="2E74B5"/>
          <w:sz w:val="24"/>
          <w:szCs w:val="24"/>
        </w:rPr>
        <w:t xml:space="preserve">4.8 截至2026年9月13日未检索到新增业绩预告、减持、监管或并购事项</w:t>
      </w:r>
    </w:p>
    <w:p>
      <w:pPr>
        <w:spacing w:after="160" w:line="300"/>
      </w:pPr>
      <w:r>
        <w:rPr>
          <w:sz w:val="22"/>
          <w:szCs w:val="22"/>
        </w:rPr>
        <w:t xml:space="preserve">截至2026年9月13日，按2026年9月及2026年8月末公告进行检索，未检索到2026年9月新增全年业绩预告、业绩预增或业绩预减修正公告；未发现主要股东发布新的减持计划或减持实施公告；未发现公司收到监管处罚、立案调查、纪律处分或重大问询回复类公告；未发现新增重大并购、资产出售、重大股权收购或重组方案公告。公司半年度报告中提及投资并购相关风险，但属于风险披露，不代表近期发生新的并购交易。上述“未发现”仅表示在已检索的公开公告及相关页面中未检索到对应事项，不等同于绝对不存在尚未披露或尚未达到披露标准的事项。</w:t>
      </w:r>
    </w:p>
    <w:p>
      <w:pPr>
        <w:pStyle w:val="Heading2"/>
        <w:spacing w:after="120" w:before="240"/>
      </w:pPr>
      <w:r>
        <w:rPr>
          <w:b/>
          <w:bCs/>
          <w:color w:val="2E74B5"/>
          <w:sz w:val="24"/>
          <w:szCs w:val="24"/>
        </w:rPr>
        <w:t xml:space="preserve">4.9 公司身份及上市信息</w:t>
      </w:r>
    </w:p>
    <w:p>
      <w:pPr>
        <w:spacing w:after="160" w:line="300"/>
      </w:pPr>
      <w:r>
        <w:rPr>
          <w:sz w:val="22"/>
          <w:szCs w:val="22"/>
        </w:rPr>
        <w:t xml:space="preserve">A股股票代码000157对应中联重科股份有限公司，A股上市地为深圳证券交易所；公司同时发行H股，港股代码为01157。上述股票代码、公司名称及上市交易所信息已通过公司2026年半年度报告核实。</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中联重科（000157）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下跌0.09元，跌幅-1.36%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开盘价/最高价/最低价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6.59元/6.60元/6.49元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约3,166万股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约2.0636亿元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0.45%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约6.49~10.16元；当前收盘价接近区间下沿，较52周高点约低35.8%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近期价格表现</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8月20日收盘价7.02元至9月11日收盘价6.52元，区间跌幅约7.1%；按8月24日盘中高点7.16元计算，回撤约8.9%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约563.9亿元/约461.0亿元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市盈率TTM约13.4倍；不同数据源显示约13.39~13.42倍；动态市盈率最新参考约13.412倍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近期走势特征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冲高回落、短期均线下压、低位寻找支撑的弱势结构</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MA5/MA10/MA20（按截至9月11日前20个交易日收盘价重新测算）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约6.62元/6.66元/6.83元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收盘价6.52元低于MA5、MA10和MA20，且MA5低于MA10、MA10低于MA20，短期均线结构偏空。</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MA5/MA10/MA20/MA50/MA100/MA200（Investing.com，2026年9月11日盘中快照）</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6.56元/6.60元/6.63元/6.64元/6.81元/7.07元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页面将MA5至MA200全部标记为“卖出”；该快照为北京时间9月11日上午盘中数据，数值与收盘后重新测算结果存在差异。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-0.030；信号判断为“卖出”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MACD为负，短期快线仍位于慢线下方，下跌动能尚未完全消除；目前不能确认底背离已经成立。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27.846；信号判断为“卖出”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RSI低于30，进入技术性超卖区域；超卖不等同于趋势反转，弱势行情中可能持续低位运行。</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随机RSI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处于超卖状态。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布林带（20个交易日收盘价重新测算）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中轨约6.83元，上轨约7.19元，下轨约6.46元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收盘价6.52元位于中轨下方并接近下轨；该数据为估算值，不同复权方式和样本区间可能造成小幅差异。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主力资金流向（2026年9月11日）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超大单净流入-636.23万元；大单净流入-3,481.36万元；中单净流入+203.25万元；小单净流入+3,914.34万元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超大单和大单合计净流出约4,117.59万元，主要由中小单承接，短线资金面偏弱；该数据属于第三方主动买卖单分类统计，不等同于交易所披露的机构持仓变化。</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9月8日超大单、大单分别净流入831.34万元、1,180.26万元；9月9日至11日资金流向重新转弱；9月2日超大单净流出约1.13亿元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近期尚未形成连续、稳定的超大单和大单净流入趋势。</w:t>
            </w:r>
          </w:p>
        </w:tc>
      </w:tr>
    </w:tbl>
    <w:p>
      <w:pPr>
        <w:spacing w:before="200"/>
      </w:pPr>
    </w:p>
    <w:p>
      <w:pPr>
        <w:spacing w:after="160" w:line="300"/>
      </w:pPr>
      <w:r>
        <w:rPr>
          <w:sz w:val="22"/>
          <w:szCs w:val="22"/>
        </w:rPr>
        <w:t xml:space="preserve">截至2026年9月11日，中联重科收盘价为6.52元，接近52周价格区间下沿及布林下轨。股价低于MA5、MA10和MA20，且短期均线呈空头排列；MACD为负，技术趋势尚未出现明确反转信号。RSI(14)为27.846、随机RSI为0，显示短线处于超卖区域，但超卖本身不构成趋势反转确认。近期股价自8月下旬阶段高位回落，9月9日至11日连续下跌；同时9月11日大单及超大单合计净流出约4,117.59万元，成交活跃度处于近期偏低水平，整体表现为低位弱势回落。</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风险提示：以下内容仅为基于截至2026年9月11日收盘数据的主观情景推演，不构成投资建议，也不构成对未来实际走势的确定性预测。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6.60~6.66元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对应9月10日收盘价6.61元、9月9日收盘价6.66元及MA5/MA10附近区域。若放量站稳6.66元，短线观察区可上移至6.80~6.85元附近的MA20及前期平台压力。</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6.47~6.52元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接近9月11日收盘价6.52元、盘中低点6.49元及技术页面给出的6.47~6.49元支撑区域。若在该区间缩量企稳，可能出现技术性反抽。</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6.45~6.49元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接近自行测算的布林下轨约6.46元及A股52周低点6.49元。若放量跌破6.45元，可能打开向6.30~6.40元区间进一步寻找支撑的空间；该下方区间尚未被数据确认是有效支撑。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面和资金流向的主观判断，不是统计意义上的概率）：股价在6.47~6.66元区间反复震荡。触发条件包括6.47~6.49元附近不出现放量破位，成交额维持在约1.5~3.0亿元的近期常态区间内，并在6.60~6.66元附近遇阻。该情景基于股价接近布林下轨、RSI进入超卖区域，但MACD仍为负且主力资金偏流出。</w:t>
      </w:r>
    </w:p>
    <w:p>
      <w:pPr>
        <w:pStyle w:val="ListParagraph"/>
        <w:numPr>
          <w:ilvl w:val="0"/>
          <w:numId w:val="2"/>
        </w:numPr>
        <w:spacing w:after="80" w:line="280"/>
      </w:pPr>
      <w:r>
        <w:rPr>
          <w:sz w:val="22"/>
          <w:szCs w:val="22"/>
        </w:rPr>
        <w:t xml:space="preserve">偏弱下行（权重中等；该权重为基于当前技术面和资金流向的主观判断，不是统计意义上的概率）：股价跌破6.45~6.49元支撑区，短线观察区可能下移至6.30~6.40元。触发条件包括大单资金继续净流出、单日成交额明显放大且收盘跌破6.45元，或工程机械板块及大盘同步走弱。6.30~6.40元仅为根据前期价格结构推导出的观察区，不是已确认的支撑位。</w:t>
      </w:r>
    </w:p>
    <w:p>
      <w:pPr>
        <w:pStyle w:val="ListParagraph"/>
        <w:numPr>
          <w:ilvl w:val="0"/>
          <w:numId w:val="2"/>
        </w:numPr>
        <w:spacing w:after="80" w:line="280"/>
      </w:pPr>
      <w:r>
        <w:rPr>
          <w:sz w:val="22"/>
          <w:szCs w:val="22"/>
        </w:rPr>
        <w:t xml:space="preserve">反弹走强（权重偏低；该权重为基于当前技术面和资金流向的主观判断，不是统计意义上的概率）：股价重新站上6.60~6.66元，并观察向6.80~6.85元、再向7.00~7.10元区域修复的可能性。至少需要同时满足以下条件中的两个：收盘重新站上6.66元；单日成交额放大至3.5亿元以上；超大单和大单资金连续净流入；MACD绿柱缩短且RSI从低位回升。以上为情景区间，不构成单点价格预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0.45%，成交额约2.06亿元，成交量约3,166万股。最近10个交易日公开历史行情显示，成交额约在1.54~6.62亿元之间，换手率约在0.33%~1.37%之间，近10日成交额简单平均约2.53亿元、换手率简单平均约0.54%。9月11日成交额低于8月28日大跌日的6.62亿元及9月2日的3.41亿元，换手率处于近期正常偏低水平，当前并非高换手恐慌性杀跌。股东结构数据截至2026年6月30日，存在行情时点滞后，不能直接代表2026年9月11日的实时持仓结构：前十大流通股东合计持股约50.46亿股，占流通盘约58.53%；前十大股东累计持股占总股本约58.33%。截至该日期，股东总户数为216,120户，高于2026年3月31日的190,575户；同花顺统计显示，641家主力机构持仓约38.02亿股，占流通A股约53.78%，其中基金632家、持仓约3.06亿股，占流通盘约3.93%；保险公司1家，占流通盘约2.08%；阳光私募1家，占流通盘约0.98%。前十大股东主要包括香港中央结算代理持股、国有股东、员工及管理层持股计划，公募基金并非主要集中持仓来源，且与2025年12月31日相比主力机构持仓量减少约3.36亿股、基金净减仓173家。上述结构意味着股权集中度较高，但季度数据显示股东户数增加、基金持仓占比有限，短期筹码稳定性仍需观察；仅凭现有数据无法进一步判断实时盘口深度或滑点水平。若成交额放大但股价仍跌破6.45元，更可能体现为下跌放量而非有效承接。</w:t>
      </w:r>
    </w:p>
    <w:p>
      <w:pPr>
        <w:spacing w:after="160" w:line="300"/>
      </w:pPr>
      <w:r>
        <w:rPr>
          <w:sz w:val="22"/>
          <w:szCs w:val="22"/>
        </w:rPr>
        <w:t xml:space="preserve">若未来一周连续两日成交额达到或超过3.5亿元，同时收盘价站上6.66元，可视为短线资金参与度改善的观察信号；该阈值根据本股近10日成交额均值约2.53亿元及近期成交特征设定，不是统计意义上的买卖信号。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观察6.47~6.52元区域能否缩量止跌；跌破6.45元后，关注下方价格结构是否继续恶化。以上为观察思路，非操作指令。</w:t>
      </w:r>
    </w:p>
    <w:p>
      <w:pPr>
        <w:pStyle w:val="ListParagraph"/>
        <w:numPr>
          <w:ilvl w:val="0"/>
          <w:numId w:val="2"/>
        </w:numPr>
        <w:spacing w:after="80" w:line="280"/>
      </w:pPr>
      <w:r>
        <w:rPr>
          <w:sz w:val="22"/>
          <w:szCs w:val="22"/>
        </w:rPr>
        <w:t xml:space="preserve">观察6.60~6.66元能否在成交额放大配合下收复，该区域是短期反弹情景能否成立的关键阻力。以上为观察思路，非操作指令。</w:t>
      </w:r>
    </w:p>
    <w:p>
      <w:pPr>
        <w:pStyle w:val="ListParagraph"/>
        <w:numPr>
          <w:ilvl w:val="0"/>
          <w:numId w:val="2"/>
        </w:numPr>
        <w:spacing w:after="80" w:line="280"/>
      </w:pPr>
      <w:r>
        <w:rPr>
          <w:sz w:val="22"/>
          <w:szCs w:val="22"/>
        </w:rPr>
        <w:t xml:space="preserve">观察主力资金是否由近期偏流出转为连续净流入，并结合MACD绿柱及RSI变化进行交叉验证。以上为观察思路，非操作指令。</w:t>
      </w:r>
    </w:p>
    <w:p>
      <w:pPr>
        <w:pStyle w:val="ListParagraph"/>
        <w:numPr>
          <w:ilvl w:val="0"/>
          <w:numId w:val="2"/>
        </w:numPr>
        <w:spacing w:after="80" w:line="280"/>
      </w:pPr>
      <w:r>
        <w:rPr>
          <w:sz w:val="22"/>
          <w:szCs w:val="22"/>
        </w:rPr>
        <w:t xml:space="preserve">观察成交额能否连续两日达到或超过3.5亿元并与收盘站上6.66元同步出现。以上为观察思路，非操作指令。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工程机械行业集中度较高，已形成徐工机械、三一重工、中联重科为第一梯队，柳工、山推股份、山河智能等企业参与竞争的格局。行业正从国内增量市场转向存量更新，海外市场、电动化、智能化及核心零部件自主化成为主要发展方向。</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2024年工程机械上市公司口径下，徐工机械、三一重工和中联重科收入规模位居前列，行业CR3约60.53%、CR5约73%。该数据来自第三方行业研究机构整理，并非中国工程机械工业协会统一发布的市场份额统计，属于估算口径。</w:t>
      </w:r>
    </w:p>
    <w:p>
      <w:pPr>
        <w:pStyle w:val="ListParagraph"/>
        <w:numPr>
          <w:ilvl w:val="0"/>
          <w:numId w:val="2"/>
        </w:numPr>
        <w:spacing w:after="80" w:line="280"/>
      </w:pPr>
      <w:r>
        <w:rPr>
          <w:sz w:val="22"/>
          <w:szCs w:val="22"/>
        </w:rPr>
        <w:t xml:space="preserve">国内市场仍处于筑底阶段，房地产相关塔机、混凝土机械和部分起重机械承压；挖掘机、装载机出现一定恢复，设备更新政策和存量替换需求成为行业支撑。</w:t>
      </w:r>
    </w:p>
    <w:p>
      <w:pPr>
        <w:pStyle w:val="ListParagraph"/>
        <w:numPr>
          <w:ilvl w:val="0"/>
          <w:numId w:val="2"/>
        </w:numPr>
        <w:spacing w:after="80" w:line="280"/>
      </w:pPr>
      <w:r>
        <w:rPr>
          <w:sz w:val="22"/>
          <w:szCs w:val="22"/>
        </w:rPr>
        <w:t xml:space="preserve">海外市场是行业主要增长来源。2024年中国工程机械出口额约435.1亿美元，同比增长6.3%，行业由产品出口逐步转向研发、制造、供应链、销售、服务和融资一体化出海。</w:t>
      </w:r>
    </w:p>
    <w:p>
      <w:pPr>
        <w:pStyle w:val="ListParagraph"/>
        <w:numPr>
          <w:ilvl w:val="0"/>
          <w:numId w:val="2"/>
        </w:numPr>
        <w:spacing w:after="80" w:line="280"/>
      </w:pPr>
      <w:r>
        <w:rPr>
          <w:sz w:val="22"/>
          <w:szCs w:val="22"/>
        </w:rPr>
        <w:t xml:space="preserve">电动化和智能化提高行业进入门槛。2024年电动装载机销量同比增长约240%，高空作业机械电动化渗透率达到90%以上，竞争范围由传统机械性能和价格扩展至电池、电驱、电控、软件、远程运维和智能制造。</w:t>
      </w:r>
    </w:p>
    <w:p>
      <w:pPr>
        <w:pStyle w:val="ListParagraph"/>
        <w:numPr>
          <w:ilvl w:val="0"/>
          <w:numId w:val="2"/>
        </w:numPr>
        <w:spacing w:after="80" w:line="280"/>
      </w:pPr>
      <w:r>
        <w:rPr>
          <w:sz w:val="22"/>
          <w:szCs w:val="22"/>
        </w:rPr>
        <w:t xml:space="preserve">产业链竞争由整机扩展至发动机、液压件、底盘、电控系统和电池等核心零部件。中联重科通过关键零部件中心、智能工厂和新能源零部件研发提升产业链控制力，但仍属于整机厂主导、部分关键零部件外部采购的模式。</w:t>
      </w:r>
    </w:p>
    <w:p>
      <w:pPr>
        <w:pStyle w:val="ListParagraph"/>
        <w:numPr>
          <w:ilvl w:val="0"/>
          <w:numId w:val="2"/>
        </w:numPr>
        <w:spacing w:after="80" w:line="280"/>
      </w:pPr>
      <w:r>
        <w:rPr>
          <w:sz w:val="22"/>
          <w:szCs w:val="22"/>
        </w:rPr>
        <w:t xml:space="preserve">KHL发布的2024年Yellow Table以2023年完整年度销售额为基础，徐工机械、三一重工、中联重科、柳工和山推股份分别排名全球第4、第6、第12、第19和第31；该排名属于历史行业地位指标，不能直接理解为2024年即时市场份额。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徐工机械（000425，深圳证券交易所）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综合型工程机械龙头，覆盖起重、土方、道路、混凝土、桩工、矿山和高空作业等领域。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产品线完整，起重机械和大型工程装备实力强，整体规模和产品广度高于中联重科；与中联重科在工程起重、混凝土、土方、矿山及高空机械等领域重叠。KHL 2024年Yellow Table排名全球第4，该排名基于2023年销售额。</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三一重工（600031，上海证券交易所）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民营综合工程机械龙头，主要产品包括混凝土机械、挖掘机械、起重机械、桩工机械和路面机械。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挖掘机、混凝土机械、旋挖钻机和大吨位起重机竞争力较强，海外收入占比高；与中联重科在混凝土、起重、挖掘及海外市场重叠，中联重科在塔机、建筑起重、超大型起重及农机多元化方面更突出。KHL 2024年Yellow Table排名全球第6，该排名基于2023年销售额。</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柳工（000528，深圳证券交易所）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综合工程机械企业，传统优势在装载机、挖掘机、推土机、平地机、矿山机械和工业车辆等。</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土方、装载机和海外市场布局较强；与中联重科在土方、矿山、高空、起重及海外市场部分重叠，柳工更偏土方、装载和矿山设备，中联重科更偏起重、塔机、混凝土及大型施工装备。KHL 2024年Yellow Table排名全球第19，该排名基于2023年销售额。</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山推股份（000680，深圳证券交易所）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以推土机、压路机、装载机、挖掘机和道路机械为主的工程机械企业。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推土机及土方施工机械具有较强品牌和制造基础；与中联重科在土方、矿山、道路机械及海外市场部分重叠，中联重科产品线更广。KHL 2024年Yellow Table排名全球第31，该排名基于2023年销售额。</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浙江鼎力（603338，上海证券交易所）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高空作业平台专业制造商，重点产品包括剪叉式、臂式和桅柱式高空作业平台。</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高空作业机械专业化、标准化和国际化能力较强；与中联重科在高空作业机械、电动高空平台及海外租赁市场直接竞争。中联重科为综合型工程机械公司，但近年来高空机械增长较快。</w:t>
            </w:r>
          </w:p>
        </w:tc>
      </w:tr>
    </w:tbl>
    <w:p>
      <w:pPr>
        <w:spacing w:before="200"/>
      </w:pPr>
    </w:p>
    <w:p>
      <w:pPr>
        <w:spacing w:after="160" w:line="300"/>
      </w:pPr>
      <w:r>
        <w:rPr>
          <w:sz w:val="22"/>
          <w:szCs w:val="22"/>
        </w:rPr>
        <w:t xml:space="preserve">中联重科与徐工机械、三一重工同属中国工程机械第一梯队，竞争领域覆盖起重、混凝土、土方及海外市场。相较徐工机械的综合规模和产品广度、三一重工在挖掘机和混凝土机械全球化方面的优势，中联重科在塔式起重机、建筑起重机械、超大型起重装备及农机多元化方面更具差异化；在高空作业平台领域则与浙江鼎力形成直接竞争。公司未来竞争力取决于海外制造和渠道本地化、产品结构升级、智能电动化、关键零部件能力及应收账款风险控制。</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海外业务占比持续提升后，公司面临汇率波动、海外应收账款回收、当地认证及售后服务、备件供应、渠道建设和本地化制造等经营风险。2026年上半年海外收入已占营业收入57.25%，而公司已明确关注汇率及海外资产负债表质量，若相关风险加剧，可能影响收入兑现、毛利率和现金流。</w:t>
      </w:r>
    </w:p>
    <w:p>
      <w:pPr>
        <w:pStyle w:val="ListParagraph"/>
        <w:numPr>
          <w:ilvl w:val="0"/>
          <w:numId w:val="2"/>
        </w:numPr>
        <w:spacing w:after="80" w:line="280"/>
      </w:pPr>
      <w:r>
        <w:rPr>
          <w:sz w:val="22"/>
          <w:szCs w:val="22"/>
        </w:rPr>
        <w:t xml:space="preserve">公司下游资金占用较高，信用减值风险不可忽视。截至2024年末，应收账款账面余额245.08亿元、长期应收款原值146.14亿元，两者合计约为2024年营业收入的95.62%；应收账款周转天数约194天，存货账面价值225.64亿元。客户集中度较低并不等同于回款安全，建筑施工、房地产、基建、租赁及海外客户的回款变化可能对利润和现金流造成影响。</w:t>
      </w:r>
    </w:p>
    <w:p>
      <w:pPr>
        <w:pStyle w:val="ListParagraph"/>
        <w:numPr>
          <w:ilvl w:val="0"/>
          <w:numId w:val="2"/>
        </w:numPr>
        <w:spacing w:after="80" w:line="280"/>
      </w:pPr>
      <w:r>
        <w:rPr>
          <w:sz w:val="22"/>
          <w:szCs w:val="22"/>
        </w:rPr>
        <w:t xml:space="preserve">2026年上半年收入增长未同步转化为利润增长，归母净利润同比下降23.97%，扣非归母净利润同比下降56.82%；财务费用由上年同期负3.71亿元转为9.24亿元，销售费用同比增长18.79%。若海外扩张投入、融资成本或汇率影响持续，未来利润率和盈利预测可能继续承压。</w:t>
      </w:r>
    </w:p>
    <w:p>
      <w:pPr>
        <w:pStyle w:val="ListParagraph"/>
        <w:numPr>
          <w:ilvl w:val="0"/>
          <w:numId w:val="2"/>
        </w:numPr>
        <w:spacing w:after="80" w:line="280"/>
      </w:pPr>
      <w:r>
        <w:rPr>
          <w:sz w:val="22"/>
          <w:szCs w:val="22"/>
        </w:rPr>
        <w:t xml:space="preserve">公司工程机械收入仍占主体，2024年工程机械收入占比88.74%，起重、混凝土及塔式起重等产品对房地产、基建和大型工程项目具有周期敏感性。国内市场仍处于筑底阶段，若房地产链条、基础设施建设或设备更新需求恢复不及预期，传统优势产品可能面临销量、价格和产能利用率压力。</w:t>
      </w:r>
    </w:p>
    <w:p>
      <w:pPr>
        <w:pStyle w:val="ListParagraph"/>
        <w:numPr>
          <w:ilvl w:val="0"/>
          <w:numId w:val="2"/>
        </w:numPr>
        <w:spacing w:after="80" w:line="280"/>
      </w:pPr>
      <w:r>
        <w:rPr>
          <w:sz w:val="22"/>
          <w:szCs w:val="22"/>
        </w:rPr>
        <w:t xml:space="preserve">公司物料消耗占2024年装备制造营业成本90.10%，发动机、液压件、底盘、电气控制系统等关键零部件部分依赖外部采购。钢材、关键零部件价格上涨或供应商议价能力增强，而公司无法及时向客户传导成本时，可能压缩工程机械及农业机械毛利率。</w:t>
      </w:r>
    </w:p>
    <w:p>
      <w:pPr>
        <w:pStyle w:val="ListParagraph"/>
        <w:numPr>
          <w:ilvl w:val="0"/>
          <w:numId w:val="2"/>
        </w:numPr>
        <w:spacing w:after="80" w:line="280"/>
      </w:pPr>
      <w:r>
        <w:rPr>
          <w:sz w:val="22"/>
          <w:szCs w:val="22"/>
        </w:rPr>
        <w:t xml:space="preserve">农业机械业务存在波动风险。2026年上半年农业机械收入16.85亿元，同比下降15.26%，而2024年农业机械毛利率仅12.25%，明显低于金融服务及工程机械板块；若农机需求、渠道销售或产品结构改善不及预期，多元化业务对整体盈利的支撑可能弱于预期。</w:t>
      </w:r>
    </w:p>
    <w:p>
      <w:pPr>
        <w:pStyle w:val="ListParagraph"/>
        <w:numPr>
          <w:ilvl w:val="0"/>
          <w:numId w:val="2"/>
        </w:numPr>
        <w:spacing w:after="80" w:line="280"/>
      </w:pPr>
      <w:r>
        <w:rPr>
          <w:sz w:val="22"/>
          <w:szCs w:val="22"/>
        </w:rPr>
        <w:t xml:space="preserve">股价技术面仍处于弱势结构。截至2026年9月11日收盘价6.52元低于MA5、MA10和MA20，MACD为负，且9月11日大单及超大单资金合计净流出约4,117.59万元。RSI和随机RSI虽显示超卖，但并不构成趋势反转确认，若6.45元附近支撑失效，短期价格波动可能进一步加大。</w:t>
      </w:r>
    </w:p>
    <w:p>
      <w:pPr>
        <w:pStyle w:val="ListParagraph"/>
        <w:numPr>
          <w:ilvl w:val="0"/>
          <w:numId w:val="2"/>
        </w:numPr>
        <w:spacing w:after="80" w:line="280"/>
      </w:pPr>
      <w:r>
        <w:rPr>
          <w:sz w:val="22"/>
          <w:szCs w:val="22"/>
        </w:rPr>
        <w:t xml:space="preserve">公司无控股股东和实际控制人，且和一盛投资截至2026年7月公告时累计质押其持有股份约65.01%，新增质押1.56亿股用于融资。上述质押数据并非2026年9月13日实时数据，但若股价波动或融资条件变化，仍需关注相关股东质押及股权稳定性风险。</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联重科的中长期增长逻辑主要来自海外收入扩张、新兴业务放量及制造和产品结构升级。公司2026年上半年海外收入占比进一步升至57.25%，工程机械收入同比增长11.40%，同时持续推进土方、矿山、高空、农业机械及新能源、智能化等业务。机构预测中，2026—2028年归母净利润均值分别为54.98亿元、66.83亿元和80.47亿元，反映市场仍预期海外业务、规模效应和结构改善能够推动利润逐步恢复增长，但这些预测并非公司正式指引。</w:t>
      </w:r>
    </w:p>
    <w:p>
      <w:pPr>
        <w:spacing w:after="160" w:line="300"/>
      </w:pPr>
      <w:r>
        <w:rPr>
          <w:sz w:val="22"/>
          <w:szCs w:val="22"/>
        </w:rPr>
        <w:t xml:space="preserve">短期基本面仍需重点观察收入增长能否转化为扣非利润增长，以及财务费用、销售费用、汇率和海外应收账款对利润及现金流的影响。公司截至2024年末应收账款账面余额245.08亿元，存货账面价值225.64亿元，经营模式具有长账期、重资产和较高信用风险特征；2026年上半年虽经营现金流改善，但扣非利润降幅明显。技术面处于低位弱势结构，后续表现取决于业绩兑现、海外经营质量、应收风险控制和市场资金面变化的共同作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中联重科(000157)_公司公告_中联重科：2024年年度报告摘要新浪财经_新浪网 — https://money.finance.sina.com.cn/corp/view/vCB_AllBulletinDetail.php?id=10804772&amp;stockid=000157</w:t>
      </w:r>
    </w:p>
    <w:p>
      <w:pPr>
        <w:spacing w:after="200"/>
      </w:pPr>
      <w:r>
        <w:rPr>
          <w:i/>
          <w:iCs/>
          <w:color w:val="595959"/>
          <w:sz w:val="18"/>
          <w:szCs w:val="18"/>
        </w:rPr>
        <w:t xml:space="preserve">中联简介_关于中联_中联重科股份有限公司 — https://www.zoomlion.com/about/introduct.html</w:t>
      </w:r>
    </w:p>
    <w:p>
      <w:pPr>
        <w:spacing w:after="200"/>
      </w:pPr>
      <w:r>
        <w:rPr>
          <w:i/>
          <w:iCs/>
          <w:color w:val="595959"/>
          <w:sz w:val="18"/>
          <w:szCs w:val="18"/>
        </w:rPr>
        <w:t xml:space="preserve">中联重科(000157)_公司公告_中联重科：2024年年度报告新浪财经_新浪网 — https://money.finance.sina.com.cn/corp/view/vCB_AllBulletinDetail.php?id=10804804&amp;stockid=000157&amp;utm_source=openai</w:t>
      </w:r>
    </w:p>
    <w:p>
      <w:pPr>
        <w:spacing w:after="200"/>
      </w:pPr>
      <w:r>
        <w:rPr>
          <w:i/>
          <w:iCs/>
          <w:color w:val="595959"/>
          <w:sz w:val="18"/>
          <w:szCs w:val="18"/>
        </w:rPr>
        <w:t xml:space="preserve">中联重科(000157)_公司公告_中联重科：2024年年度报告摘要新浪财经_新浪网 — https://money.finance.sina.com.cn/corp/view/vCB_AllBulletinDetail.php?id=10804772&amp;stockid=000157&amp;utm_source=openai</w:t>
      </w:r>
    </w:p>
    <w:p>
      <w:pPr>
        <w:spacing w:after="200"/>
      </w:pPr>
      <w:r>
        <w:rPr>
          <w:i/>
          <w:iCs/>
          <w:color w:val="595959"/>
          <w:sz w:val="18"/>
          <w:szCs w:val="18"/>
        </w:rPr>
        <w:t xml:space="preserve">中联重科(000157)_公司公告_中联重科：2024年年度报告新浪财经_新浪网 — https://vip.stock.finance.sina.com.cn/corp/view/vCB_AllBulletinDetail.php?id=10804804&amp;stockid=000157&amp;utm_source=openai</w:t>
      </w:r>
    </w:p>
    <w:p>
      <w:pPr>
        <w:spacing w:after="200"/>
      </w:pPr>
      <w:r>
        <w:rPr>
          <w:i/>
          <w:iCs/>
          <w:color w:val="595959"/>
          <w:sz w:val="18"/>
          <w:szCs w:val="18"/>
        </w:rPr>
        <w:t xml:space="preserve">中联重科股份有限公司2024 年度 — https://www.lhratings.com/reports/B1442-P76544-2024-GZ2025.pdf?utm_source=openai</w:t>
      </w:r>
    </w:p>
    <w:p>
      <w:pPr>
        <w:spacing w:after="200"/>
      </w:pPr>
      <w:r>
        <w:rPr>
          <w:i/>
          <w:iCs/>
          <w:color w:val="595959"/>
          <w:sz w:val="18"/>
          <w:szCs w:val="18"/>
        </w:rPr>
        <w:t xml:space="preserve">中联重科(000157)_公司公告_中联重科：2021年年度报告新浪财经_新浪网 — https://money.finance.sina.com.cn/corp/view/vCB_AllBulletinDetail.php?id=7940843&amp;stockid=000157&amp;utm_source=openai</w:t>
      </w:r>
    </w:p>
    <w:p>
      <w:pPr>
        <w:spacing w:after="200"/>
      </w:pPr>
      <w:r>
        <w:rPr>
          <w:i/>
          <w:iCs/>
          <w:color w:val="595959"/>
          <w:sz w:val="18"/>
          <w:szCs w:val="18"/>
        </w:rPr>
        <w:t xml:space="preserve">我国工程机械行业市场集中度高 徐工机械和三一重工领跑_观研报告网 — https://www.chinabaogao.com/detail/773587.html?utm_source=openai</w:t>
      </w:r>
    </w:p>
    <w:p>
      <w:pPr>
        <w:spacing w:after="200"/>
      </w:pPr>
      <w:r>
        <w:rPr>
          <w:i/>
          <w:iCs/>
          <w:color w:val="595959"/>
          <w:sz w:val="18"/>
          <w:szCs w:val="18"/>
        </w:rPr>
        <w:t xml:space="preserve">Updated: How the positions of the world’s top OEMs have changed in 2024 - KHL Group — https://www.khl.com/specialized-transport/news/updated-how-the-positions-of-the-worlds-top-oems-have-changed-in-2024/8038172.article?utm_source=openai</w:t>
      </w:r>
    </w:p>
    <w:p>
      <w:pPr>
        <w:spacing w:after="200"/>
      </w:pPr>
      <w:r>
        <w:rPr>
          <w:i/>
          <w:iCs/>
          <w:color w:val="595959"/>
          <w:sz w:val="18"/>
          <w:szCs w:val="18"/>
        </w:rPr>
        <w:t xml:space="preserve">2024 年机械工业经济运行报告 — https://filedownload-ytb.stats.gov.cn/attachment/15-2024%E5%B9%B4%E6%9C%BA%E6%A2%B0%E5%B7%A5%E4%B8%9A%E7%BB%8F%E6%B5%8E%E8%BF%90%E8%A1%8C%E6%8A%A5%E5%91%8A.pdf?utm_source=openai</w:t>
      </w:r>
    </w:p>
    <w:p>
      <w:pPr>
        <w:spacing w:after="200"/>
      </w:pPr>
      <w:r>
        <w:rPr>
          <w:i/>
          <w:iCs/>
          <w:color w:val="595959"/>
          <w:sz w:val="18"/>
          <w:szCs w:val="18"/>
        </w:rPr>
        <w:t xml:space="preserve">中联重科: 2026年半年度报告_股票频道_证券之星 — https://stock.stockstar.com/notice/SN2026082700039867.shtml</w:t>
      </w:r>
    </w:p>
    <w:p>
      <w:pPr>
        <w:spacing w:after="200"/>
      </w:pPr>
      <w:r>
        <w:rPr>
          <w:i/>
          <w:iCs/>
          <w:color w:val="595959"/>
          <w:sz w:val="18"/>
          <w:szCs w:val="18"/>
        </w:rPr>
        <w:t xml:space="preserve">中联重科: 2026年半年度报告摘要简述_公告简述_数据解析_股票_证券之星 — https://4g.stockstar.com/detail/AN2026082700040997?utm_source=openai</w:t>
      </w:r>
    </w:p>
    <w:p>
      <w:pPr>
        <w:spacing w:after="200"/>
      </w:pPr>
      <w:r>
        <w:rPr>
          <w:i/>
          <w:iCs/>
          <w:color w:val="595959"/>
          <w:sz w:val="18"/>
          <w:szCs w:val="18"/>
        </w:rPr>
        <w:t xml:space="preserve">中联重科(000157)_公司公告_中联重科：2025年年度报告新浪财经_新浪网 — https://money.finance.sina.com.cn/corp/view/vCB_AllBulletinDetail.php?id=12041134&amp;stockid=000157&amp;utm_source=openai</w:t>
      </w:r>
    </w:p>
    <w:p>
      <w:pPr>
        <w:spacing w:after="200"/>
      </w:pPr>
      <w:r>
        <w:rPr>
          <w:i/>
          <w:iCs/>
          <w:color w:val="595959"/>
          <w:sz w:val="18"/>
          <w:szCs w:val="18"/>
        </w:rPr>
        <w:t xml:space="preserve">中联重科(000157) 盈利预测_F10_同花顺金融服务网 — https://basic.10jqka.com.cn/144/000157/worth.html</w:t>
      </w:r>
    </w:p>
    <w:p>
      <w:pPr>
        <w:spacing w:after="200"/>
      </w:pPr>
      <w:r>
        <w:rPr>
          <w:i/>
          <w:iCs/>
          <w:color w:val="595959"/>
          <w:sz w:val="18"/>
          <w:szCs w:val="18"/>
        </w:rPr>
        <w:t xml:space="preserve">中联重科(000157) 盈利预测_F10_同花顺金融服务网 — https://basic.10jqka.com.cn/144/000157/worth.html?utm_source=openai</w:t>
      </w:r>
    </w:p>
    <w:p>
      <w:pPr>
        <w:spacing w:after="200"/>
      </w:pPr>
      <w:r>
        <w:rPr>
          <w:i/>
          <w:iCs/>
          <w:color w:val="595959"/>
          <w:sz w:val="18"/>
          <w:szCs w:val="18"/>
        </w:rPr>
        <w:t xml:space="preserve">中联重科(000157.SZ) 股票行情_历史数据_主力资金 - 大波浪数据 — https://www.yyqyx.com/s/000157.SZ</w:t>
      </w:r>
    </w:p>
    <w:p>
      <w:pPr>
        <w:spacing w:after="200"/>
      </w:pPr>
      <w:r>
        <w:rPr>
          <w:i/>
          <w:iCs/>
          <w:color w:val="595959"/>
          <w:sz w:val="18"/>
          <w:szCs w:val="18"/>
        </w:rPr>
        <w:t xml:space="preserve">中联重科(000157)股票信息 - 数据平台 — https://data.agoer.com/cms/Index/detail?id=000157&amp;utm_source=openai</w:t>
      </w:r>
    </w:p>
    <w:p>
      <w:pPr>
        <w:spacing w:after="200"/>
      </w:pPr>
      <w:r>
        <w:rPr>
          <w:i/>
          <w:iCs/>
          <w:color w:val="595959"/>
          <w:sz w:val="18"/>
          <w:szCs w:val="18"/>
        </w:rPr>
        <w:t xml:space="preserve">单股调研 — https://www.ashare-dashboard.com/stocks?details=1&amp;ts_code=000157.SZ&amp;utm_source=openai</w:t>
      </w:r>
    </w:p>
    <w:p>
      <w:pPr>
        <w:spacing w:after="200"/>
      </w:pPr>
      <w:r>
        <w:rPr>
          <w:i/>
          <w:iCs/>
          <w:color w:val="595959"/>
          <w:sz w:val="18"/>
          <w:szCs w:val="18"/>
        </w:rPr>
        <w:t xml:space="preserve">中联重科股份有限公司 2026 年半年度报告摘要 — https://static.cninfo.com.cn/finalpage/2026-08-28/1225516511.PDF?utm_source=openai</w:t>
      </w:r>
    </w:p>
    <w:p>
      <w:pPr>
        <w:spacing w:after="200"/>
      </w:pPr>
      <w:r>
        <w:rPr>
          <w:i/>
          <w:iCs/>
          <w:color w:val="595959"/>
          <w:sz w:val="18"/>
          <w:szCs w:val="18"/>
        </w:rPr>
        <w:t xml:space="preserve">中联重科(000157)_公司公告_中联重科：关于持股5%以上股东及其一致行动人增持股份触及1%整数倍的公告新浪财经_新浪网 — https://money.finance.sina.com.cn/corp/view/vCB_AllBulletinDetail.php?id=12595696&amp;stockid=000157&amp;utm_source=openai</w:t>
      </w:r>
    </w:p>
    <w:p>
      <w:pPr>
        <w:spacing w:after="200"/>
      </w:pPr>
      <w:r>
        <w:rPr>
          <w:i/>
          <w:iCs/>
          <w:color w:val="595959"/>
          <w:sz w:val="18"/>
          <w:szCs w:val="18"/>
        </w:rPr>
        <w:t xml:space="preserve">中联重科(000157)_公司公告_中联重科：关于“质量回报双提升”行动方案的进展公告新浪财经_新浪网 — https://money.finance.sina.com.cn/corp/view/vCB_AllBulletinDetail.php?id=12556791&amp;stockid=000157&amp;utm_source=openai</w:t>
      </w:r>
    </w:p>
    <w:p>
      <w:pPr>
        <w:spacing w:after="200"/>
      </w:pPr>
      <w:r>
        <w:rPr>
          <w:i/>
          <w:iCs/>
          <w:color w:val="595959"/>
          <w:sz w:val="18"/>
          <w:szCs w:val="18"/>
        </w:rPr>
        <w:t xml:space="preserve">中联重科股份有限公司2026年半年度报告摘要|上海证券报 — https://paper.cnstock.com/html/2026-08/28/content_2261931.htm?utm_source=openai</w:t>
      </w:r>
    </w:p>
    <w:p>
      <w:pPr>
        <w:spacing w:after="200"/>
      </w:pPr>
      <w:r>
        <w:rPr>
          <w:i/>
          <w:iCs/>
          <w:color w:val="595959"/>
          <w:sz w:val="18"/>
          <w:szCs w:val="18"/>
        </w:rPr>
        <w:t xml:space="preserve">证券代码：000157　　证券简称：中联重科　　公告编号：2026-024号 — https://static.cninfo.com.cn/finalpage/2026-07-17/1225428228.PDF?utm_source=openai</w:t>
      </w:r>
    </w:p>
    <w:p>
      <w:pPr>
        <w:spacing w:after="200"/>
      </w:pPr>
      <w:r>
        <w:rPr>
          <w:i/>
          <w:iCs/>
          <w:color w:val="595959"/>
          <w:sz w:val="18"/>
          <w:szCs w:val="18"/>
        </w:rPr>
        <w:t xml:space="preserve">中联重科(000157)_公司公告_中联重科：投资者关系管理信息20260901新浪财经_新浪网 — https://money.finance.sina.com.cn/corp/view/vCB_AllBulletinDetail.php?id=12577931&amp;stockid=000157&amp;utm_source=openai</w:t>
      </w:r>
    </w:p>
    <w:p>
      <w:pPr>
        <w:spacing w:after="200"/>
      </w:pPr>
      <w:r>
        <w:rPr>
          <w:i/>
          <w:iCs/>
          <w:color w:val="595959"/>
          <w:sz w:val="18"/>
          <w:szCs w:val="18"/>
        </w:rPr>
        <w:t xml:space="preserve">中联重科(000157)公司公告_新浪财经_新浪网 — https://vip.stock.finance.sina.com.cn/corp/go.php/vCB_AllBulletin/stockid/000157.phtml?utm_source=openai</w:t>
      </w:r>
    </w:p>
    <w:p>
      <w:pPr>
        <w:spacing w:after="200"/>
      </w:pPr>
      <w:r>
        <w:rPr>
          <w:i/>
          <w:iCs/>
          <w:color w:val="595959"/>
          <w:sz w:val="18"/>
          <w:szCs w:val="18"/>
        </w:rPr>
        <w:t xml:space="preserve">中联重科(000157)_公司公告_中联重科：2026年半年度报告新浪财经_新浪网 — https://money.finance.sina.com.cn/corp/view/vCB_AllBulletinDetail.php?id=12556793&amp;stockid=000157&amp;utm_source=openai</w:t>
      </w:r>
    </w:p>
    <w:p>
      <w:pPr>
        <w:spacing w:after="200"/>
      </w:pPr>
      <w:r>
        <w:rPr>
          <w:i/>
          <w:iCs/>
          <w:color w:val="595959"/>
          <w:sz w:val="18"/>
          <w:szCs w:val="18"/>
        </w:rPr>
        <w:t xml:space="preserve">中联重科 (000157) - 历史交易数据 | 打板客网 — https://dabanke.com/hangqing-000157.html</w:t>
      </w:r>
    </w:p>
    <w:p>
      <w:pPr>
        <w:spacing w:after="200"/>
      </w:pPr>
      <w:r>
        <w:rPr>
          <w:i/>
          <w:iCs/>
          <w:color w:val="595959"/>
          <w:sz w:val="18"/>
          <w:szCs w:val="18"/>
        </w:rPr>
        <w:t xml:space="preserve">中联重科(000157)股票行情走势技术分析_未来预测_买卖操作建议_英为财情Investing.com — https://cn.investing.com/equities/cs-zoomlion-a-technical</w:t>
      </w:r>
    </w:p>
    <w:p>
      <w:pPr>
        <w:spacing w:after="200"/>
      </w:pPr>
      <w:r>
        <w:rPr>
          <w:i/>
          <w:iCs/>
          <w:color w:val="595959"/>
          <w:sz w:val="18"/>
          <w:szCs w:val="18"/>
        </w:rPr>
        <w:t xml:space="preserve">中联重科(000157)_资金流向_证券之星 — https://stock.quote.stockstar.com/capital_000157.shtml?utm_source=openai</w:t>
      </w:r>
    </w:p>
    <w:p>
      <w:pPr>
        <w:spacing w:after="200"/>
      </w:pPr>
      <w:r>
        <w:rPr>
          <w:i/>
          <w:iCs/>
          <w:color w:val="595959"/>
          <w:sz w:val="18"/>
          <w:szCs w:val="18"/>
        </w:rPr>
        <w:t xml:space="preserve">中联重科(000157) 最新动态_F10_同花顺金融服务网 — https://basic.10jqka.com.cn/000157/?utm_source=openai</w:t>
      </w:r>
    </w:p>
    <w:p>
      <w:pPr>
        <w:spacing w:after="200"/>
      </w:pPr>
      <w:r>
        <w:rPr>
          <w:i/>
          <w:iCs/>
          <w:color w:val="595959"/>
          <w:sz w:val="18"/>
          <w:szCs w:val="18"/>
        </w:rPr>
        <w:t xml:space="preserve">本报告由AI基于公开渠道信息自动检索、整理并生成，信息截至 截至2026年9月11日收盘；技术指标同时引用2026年9月11日盘中快照及基于公开历史收盘价的重新测算。不同数据源在复权方式、计算时点和指标参数上可能存在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2026-09-13T11:40:03.013Z</dcterms:created>
  <dcterms:modified xsi:type="dcterms:W3CDTF">2026-09-13T11:40:03.013Z</dcterms:modified>
</cp:coreProperties>
</file>

<file path=docProps/custom.xml><?xml version="1.0" encoding="utf-8"?>
<Properties xmlns="http://schemas.openxmlformats.org/officeDocument/2006/custom-properties" xmlns:vt="http://schemas.openxmlformats.org/officeDocument/2006/docPropsVTypes"/>
</file>