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江苏东方盛虹股份有限公司 (000301)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行业：石化、化工新材料与聚酯化纤</w:t>
      </w:r>
    </w:p>
    <w:p>
      <w:pPr>
        <w:jc w:val="center"/>
      </w:pPr>
      <w:r>
        <w:rPr>
          <w:color w:val="595959"/>
          <w:sz w:val="22"/>
          <w:szCs w:val="22"/>
        </w:rPr>
        <w:t xml:space="preserve">报告日期：2026年9月14日</w:t>
      </w:r>
    </w:p>
    <w:p>
      <w:pPr>
        <w:jc w:val="center"/>
      </w:pPr>
      <w:r>
        <w:rPr>
          <w:color w:val="595959"/>
          <w:sz w:val="20"/>
          <w:szCs w:val="20"/>
        </w:rPr>
        <w:t xml:space="preserve">截至2026年9月11日收盘；技术指标主要采用截至2026年9月10日的日线数据，部分股东及机构持仓数据分别截至2026年3月31日和2026年6月30日，存在披露滞后。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东方盛虹2026年上半年实现营业收入699.24亿元，同比增长14.79%；归母净利润45.00亿元，同比增长1065.10%，扣非归母净利润43.16亿元，同比增长1488.19%，经营活动现金流净额181.35亿元，盈利和现金流较2025年明显修复。业绩改善主要来自炼油及石化化工新材料业务，炼油产品收入同比增长34.60%、毛利率达到31.48%，其他石化及化工新材料业务毛利率为17.93%。但2025年归母净利润仅1.34亿元，2026年上半年高增幅存在低基数效应，不能简单外推全年。</w:t>
      </w:r>
    </w:p>
    <w:p>
      <w:pPr>
        <w:spacing w:after="160" w:line="300"/>
      </w:pPr>
      <w:r>
        <w:rPr>
          <w:sz w:val="22"/>
          <w:szCs w:val="22"/>
        </w:rPr>
        <w:t xml:space="preserve">公司拥有1600万吨/年原油加工、240万吨/年MTO、70万吨/年PDH及较大规模EVA、丙烯腈、MMA和涤纶长丝产能，形成“炼化—化工新材料—聚酯化纤”纵向一体化体系。多元原料路线、园区协同和产品延伸构成成本及经营弹性来源，EVA产能已提升至90万吨/年，10万吨/年POE工业化装置于2025年第三季度投产，后续增长取决于新材料装置稳定运行、客户验证和产品放量。</w:t>
      </w:r>
    </w:p>
    <w:p>
      <w:pPr>
        <w:spacing w:after="160" w:line="300"/>
      </w:pPr>
      <w:r>
        <w:rPr>
          <w:sz w:val="22"/>
          <w:szCs w:val="22"/>
        </w:rPr>
        <w:t xml:space="preserve">公司盈利仍具有较强周期性，2024年营业收入1376.75亿元但归母净利润亏损22.97亿元，石化及化工新材料板块毛利率降至8.60%，财务费用达到48.74亿元。2026年上半年业绩虽明显改善，但期间计提存货跌价准备及固定资产报废合计减少利润总额约3.98亿元，原油价格、炼化及化工产品价差、装置检修和库存变动仍会显著影响利润。</w:t>
      </w:r>
    </w:p>
    <w:p>
      <w:pPr>
        <w:spacing w:after="160" w:line="300"/>
      </w:pPr>
      <w:r>
        <w:rPr>
          <w:sz w:val="22"/>
          <w:szCs w:val="22"/>
        </w:rPr>
        <w:t xml:space="preserve">截至技术数据口径的2026年9月11日，股价为13.38元，近期由14.62元回落至13.38元，已跌破短期MA5和MA10，MACD柱值为负，短线动能偏弱，但仍接近MA20及布林带中轨，RSI处于中性区间。估值数据中另有以13.76元为基准的口径，显示动态PE约9.8至10.1倍、前瞻PE约12.8至15倍；同时PB处于历史较高分位，市场对盈利修复已有一定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000301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东方盛虹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江苏省苏州市吴江区盛泽镇登州路289号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化学原料和化学制品制造业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主营方向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以石油炼化为基础，向化工新材料和聚酯化纤延伸，形成“炼化—化工新材料—PTA/聚酯—涤纶长丝”产业体系</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1376.75亿元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亏损22.97亿元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江苏连云港徐圩新区石化产业基地，以及苏州、宿迁化纤生产基地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数据口径说明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本纪要以公司2025年、2024年年度报告为主；详细业务收入、成本结构及客户供应商数据主要采用截至2024年12月31日的年报数据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石化及化工新材料：包括成品油、乙烯、丙烯、苯、PX、乙二醇、丙烯腈、EVA、MMA、环氧乙烷及其衍生物、POSM、多元醇、PETG、EC/DMC、超高分子量聚乙烯等产品；以盛虹炼化1600万吨/年炼化一体化项目为原料平台，以斯尔邦石化的MTO、PDH及精细化工装置为化工新材料平台</w:t>
      </w:r>
    </w:p>
    <w:p>
      <w:pPr>
        <w:pStyle w:val="ListParagraph"/>
        <w:numPr>
          <w:ilvl w:val="0"/>
          <w:numId w:val="2"/>
        </w:numPr>
        <w:spacing w:after="80" w:line="280"/>
      </w:pPr>
      <w:r>
        <w:rPr>
          <w:sz w:val="22"/>
          <w:szCs w:val="22"/>
        </w:rPr>
        <w:t xml:space="preserve">聚酯化纤：主要产品为POY、DTY、FDY等民用涤纶长丝，以差别化DTY和功能性纤维为主，并布局再生聚酯纤维、生物基PDO/PTT纤维和碳捕集纤维</w:t>
      </w:r>
    </w:p>
    <w:p>
      <w:pPr>
        <w:pStyle w:val="ListParagraph"/>
        <w:numPr>
          <w:ilvl w:val="0"/>
          <w:numId w:val="2"/>
        </w:numPr>
        <w:spacing w:after="80" w:line="280"/>
      </w:pPr>
      <w:r>
        <w:rPr>
          <w:sz w:val="22"/>
          <w:szCs w:val="22"/>
        </w:rPr>
        <w:t xml:space="preserve">2024年石化及化工新材料业务收入1082.77亿元，占营业收入78.65%；化纤业务收入271.51亿元，占比19.72%；其他业务收入22.47亿元，占比1.63%</w:t>
      </w:r>
    </w:p>
    <w:p>
      <w:pPr>
        <w:pStyle w:val="ListParagraph"/>
        <w:numPr>
          <w:ilvl w:val="0"/>
          <w:numId w:val="2"/>
        </w:numPr>
        <w:spacing w:after="80" w:line="280"/>
      </w:pPr>
      <w:r>
        <w:rPr>
          <w:sz w:val="22"/>
          <w:szCs w:val="22"/>
        </w:rPr>
        <w:t xml:space="preserve">2024年按产品划分，炼油产品收入278.57亿元，占比20.23%；其他石化及化工新材料收入804.20亿元，占比58.42%；涤纶丝收入260.52亿元，占比18.92%；其他化纤产品收入10.99亿元，占比0.80%</w:t>
      </w:r>
    </w:p>
    <w:p>
      <w:pPr>
        <w:pStyle w:val="ListParagraph"/>
        <w:numPr>
          <w:ilvl w:val="0"/>
          <w:numId w:val="2"/>
        </w:numPr>
        <w:spacing w:after="80" w:line="280"/>
      </w:pPr>
      <w:r>
        <w:rPr>
          <w:sz w:val="22"/>
          <w:szCs w:val="22"/>
        </w:rPr>
        <w:t xml:space="preserve">截至2024年底，主要产能包括1600万吨/年原油加工、240万吨/年MTO、70万吨/年PDH、104万吨/年丙烯腈、50万吨/年EVA、34万吨/年MMA、约30万吨/年EO及其衍生物、约360万吨/年涤纶长丝和约60万吨/年再生聚酯纤维</w:t>
      </w:r>
    </w:p>
    <w:p>
      <w:pPr>
        <w:pStyle w:val="ListParagraph"/>
        <w:numPr>
          <w:ilvl w:val="0"/>
          <w:numId w:val="2"/>
        </w:numPr>
        <w:spacing w:after="80" w:line="280"/>
      </w:pPr>
      <w:r>
        <w:rPr>
          <w:sz w:val="22"/>
          <w:szCs w:val="22"/>
        </w:rPr>
        <w:t xml:space="preserve">2025年年报披露EVA总产能提升至90万吨/年，10万吨/年POE工业化装置于2025年第三季度投产；年报网页文本部分产能数字存在OCR缺失，具体装置产能仍建议以正式PDF及后续公告核对</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东方盛虹位于石油化工产业链中上游与中游交界位置，是以大型炼化为基础、向化工新材料和差别化聚酯纤维延伸的综合型中游材料企业。公司不属于拥有原油、煤炭或矿产开采权的上游资源公司，也不是依靠终端消费品牌溢价的下游品牌企业。其产业链大致为原油、煤炭、甲醇、丙烷等原料，经炼化、MTO、PDH形成乙烯、丙烯、PX、乙二醇、苯等基础化工原料，再延伸至PTA、EVA、POE、丙烯腈、MMA、EO、聚酯、涤纶长丝和再生纤维等材料。</w:t>
      </w:r>
    </w:p>
    <w:p>
      <w:pPr>
        <w:pStyle w:val="ListParagraph"/>
        <w:numPr>
          <w:ilvl w:val="0"/>
          <w:numId w:val="2"/>
        </w:numPr>
        <w:spacing w:after="80" w:line="280"/>
      </w:pPr>
      <w:r>
        <w:rPr>
          <w:sz w:val="22"/>
          <w:szCs w:val="22"/>
        </w:rPr>
        <w:t xml:space="preserve">石化及化工新材料板块实际采购原料包括原油、煤炭、甲醇、丙烷以及其他基础化工原料和能源动力；公司采用年度、月度采购计划，结合长约和现货采购。</w:t>
      </w:r>
    </w:p>
    <w:p>
      <w:pPr>
        <w:pStyle w:val="ListParagraph"/>
        <w:numPr>
          <w:ilvl w:val="0"/>
          <w:numId w:val="2"/>
        </w:numPr>
        <w:spacing w:after="80" w:line="280"/>
      </w:pPr>
      <w:r>
        <w:rPr>
          <w:sz w:val="22"/>
          <w:szCs w:val="22"/>
        </w:rPr>
        <w:t xml:space="preserve">聚酯化纤板块主要采购PTA、乙二醇（MEG）和废旧塑料瓶片，通常通过长期框架协议和月度定价采购；再生聚酯纤维主要以废旧塑料瓶片为原料。</w:t>
      </w:r>
    </w:p>
    <w:p>
      <w:pPr>
        <w:pStyle w:val="ListParagraph"/>
        <w:numPr>
          <w:ilvl w:val="0"/>
          <w:numId w:val="2"/>
        </w:numPr>
        <w:spacing w:after="80" w:line="280"/>
      </w:pPr>
      <w:r>
        <w:rPr>
          <w:sz w:val="22"/>
          <w:szCs w:val="22"/>
        </w:rPr>
        <w:t xml:space="preserve">2024年石化及化工新材料营业成本中，原料成本807.02亿元，占该板块营业成本64.02%；能源成本93.03亿元，占比7.38%。化纤营业成本中，原料成本197.67亿元，占营业成本15.68%；能源成本25.00亿元，占比1.98%。</w:t>
      </w:r>
    </w:p>
    <w:p>
      <w:pPr>
        <w:pStyle w:val="ListParagraph"/>
        <w:numPr>
          <w:ilvl w:val="0"/>
          <w:numId w:val="2"/>
        </w:numPr>
        <w:spacing w:after="80" w:line="280"/>
      </w:pPr>
      <w:r>
        <w:rPr>
          <w:sz w:val="22"/>
          <w:szCs w:val="22"/>
        </w:rPr>
        <w:t xml:space="preserve">公司拥有炼化、MTO、PDH和聚酯化纤之间的内部原料协同，并形成原油、甲醇和丙烷多元化原料路线；港口及石化园区配套有利于降低物流成本，大型装置有利于摊薄单位固定成本。</w:t>
      </w:r>
    </w:p>
    <w:p>
      <w:pPr>
        <w:pStyle w:val="ListParagraph"/>
        <w:numPr>
          <w:ilvl w:val="0"/>
          <w:numId w:val="2"/>
        </w:numPr>
        <w:spacing w:after="80" w:line="280"/>
      </w:pPr>
      <w:r>
        <w:rPr>
          <w:sz w:val="22"/>
          <w:szCs w:val="22"/>
        </w:rPr>
        <w:t xml:space="preserve">公司不是典型资源垄断型企业，对原油、煤炭、甲醇、丙烷等上游价格缺乏实质控制权，整体仍是大宗商品价格的市场接受者，主要通过长协、现货采购、原料路线切换和套期保值降低波动影响。</w:t>
      </w:r>
    </w:p>
    <w:p>
      <w:pPr>
        <w:pStyle w:val="ListParagraph"/>
        <w:numPr>
          <w:ilvl w:val="0"/>
          <w:numId w:val="2"/>
        </w:numPr>
        <w:spacing w:after="80" w:line="280"/>
      </w:pPr>
      <w:r>
        <w:rPr>
          <w:sz w:val="22"/>
          <w:szCs w:val="22"/>
        </w:rPr>
        <w:t xml:space="preserve">石化及化工新材料产品下游涉及燃油和交通运输、聚酯、塑料、橡胶、纤维、光伏胶膜、ABS、碳纤维、尼龙66、电解液溶剂、工程塑料和高端膜材料等领域。</w:t>
      </w:r>
    </w:p>
    <w:p>
      <w:pPr>
        <w:pStyle w:val="ListParagraph"/>
        <w:numPr>
          <w:ilvl w:val="0"/>
          <w:numId w:val="2"/>
        </w:numPr>
        <w:spacing w:after="80" w:line="280"/>
      </w:pPr>
      <w:r>
        <w:rPr>
          <w:sz w:val="22"/>
          <w:szCs w:val="22"/>
        </w:rPr>
        <w:t xml:space="preserve">涤纶长丝主要面向服装、家纺和产业用纺织品，并应用于汽车内饰、箱包、建筑及防护等领域；再生聚酯纤维已覆盖迪卡侬、耐克、优衣库、阿迪达斯、李宁等品牌客户，但年报未披露这些客户分别对应的销售金额和占比。</w:t>
      </w:r>
    </w:p>
    <w:p>
      <w:pPr>
        <w:pStyle w:val="ListParagraph"/>
        <w:numPr>
          <w:ilvl w:val="0"/>
          <w:numId w:val="2"/>
        </w:numPr>
        <w:spacing w:after="80" w:line="280"/>
      </w:pPr>
      <w:r>
        <w:rPr>
          <w:sz w:val="22"/>
          <w:szCs w:val="22"/>
        </w:rPr>
        <w:t xml:space="preserve">截至2024年12月31日，前五大客户合计销售金额277.26亿元，占年度销售总额20.13%；第一大客户占比9.16%，第二大客户占比5.05%，第三至第五大客户占比约2.00%至2.07%。客户名称仅以“客户1至客户5”匿名列示。该数据来自单一年度年报，未能进一步交叉核实具体客户属性，具体客户结构仍应以最新年报为准。</w:t>
      </w:r>
    </w:p>
    <w:p>
      <w:pPr>
        <w:pStyle w:val="ListParagraph"/>
        <w:numPr>
          <w:ilvl w:val="0"/>
          <w:numId w:val="2"/>
        </w:numPr>
        <w:spacing w:after="80" w:line="280"/>
      </w:pPr>
      <w:r>
        <w:rPr>
          <w:sz w:val="22"/>
          <w:szCs w:val="22"/>
        </w:rPr>
        <w:t xml:space="preserve">公司石化产品主要采取直销、现货、中短期订单和贸易商等方式销售，多数产品价格随行就市，结算方式以款到发货为主；聚酯化纤产品也主要根据市场行情报价，少量大客户可以获得一定信用周期。</w:t>
      </w:r>
    </w:p>
    <w:p>
      <w:pPr>
        <w:pStyle w:val="ListParagraph"/>
        <w:numPr>
          <w:ilvl w:val="0"/>
          <w:numId w:val="2"/>
        </w:numPr>
        <w:spacing w:after="80" w:line="280"/>
      </w:pPr>
      <w:r>
        <w:rPr>
          <w:sz w:val="22"/>
          <w:szCs w:val="22"/>
        </w:rPr>
        <w:t xml:space="preserve">成品油、PX、PTA、乙二醇等大宗产品市场化程度高，销售端议价能力有限；EVA、丙烯腈、MMA以及高端差别化、再生和功能性纤维具有技术、质量、客户认证或产品规格壁垒，议价能力相对高于普通大宗化工品，但仍处于竞争激烈的产业链中。</w:t>
      </w:r>
    </w:p>
    <w:p>
      <w:pPr>
        <w:pStyle w:val="ListParagraph"/>
        <w:numPr>
          <w:ilvl w:val="0"/>
          <w:numId w:val="2"/>
        </w:numPr>
        <w:spacing w:after="80" w:line="280"/>
      </w:pPr>
      <w:r>
        <w:rPr>
          <w:sz w:val="22"/>
          <w:szCs w:val="22"/>
        </w:rPr>
        <w:t xml:space="preserve">截至2024年12月31日，应收账款账面价值23.28亿元，占总资产1.14%，约占2024年营业收入1.69%；存货168.73亿元，占总资产8.26%；预付款项5.25亿元；应付账款142.51亿元，约占2024年营业收入10.35%；合同负债24.85亿元。公司销售端多数采取款到发货，应收账款占收入比例较低，而应付账款高于应收账款，反映出客户信用周期控制较严格，并可能获得一定供应商账期，但不能据此简单认定公司对供应商具有强议价权。2024年末应收账款由年初14.79亿元升至23.28亿元，2025年末进一步升至29.92亿元，占总资产1.46%，公司解释2024年增长主要系应收客户款项增加。上述数据为资产负债表时点数据，供应商集中度方面，2024年前五大供应商采购金额335.14亿元，占年度采购总额30.09%；供应商名称采用匿名方式披露。</w:t>
      </w:r>
    </w:p>
    <w:p>
      <w:pPr>
        <w:pStyle w:val="ListParagraph"/>
        <w:numPr>
          <w:ilvl w:val="0"/>
          <w:numId w:val="2"/>
        </w:numPr>
        <w:spacing w:after="80" w:line="280"/>
      </w:pPr>
      <w:r>
        <w:rPr>
          <w:sz w:val="22"/>
          <w:szCs w:val="22"/>
        </w:rPr>
        <w:t xml:space="preserve">客户集中度：截至2024年12月31日，前五大客户销售额占年度销售总额20.13%，第一大客户占9.16%；供应商集中度：2024年前五大供应商采购额占年度采购总额30.09%。客户和供应商名称均匿名披露，相关集中度数据主要来自单一年度年报，未能交叉核实具体交易对手及其行业属性，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约7.67%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约0.96%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按营业收入638.22亿元和营业成本589.30亿元计算；炼化一体化项目逐步投产，但炼化和化纤产品仍处于周期波动中，折旧、财务费用和原料价格波动对利润形成压力。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约11.27%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炼化项目全面释放、收入规模大幅提升，规模效应推动毛利率上升；但投产初期折旧、财务费用及产品价差压制净利率，收入增长未完全转化为归母净利润增长。</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约8.43%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整体毛利率数据来自第三方财务数据整理，建议以公司年报财务报表复核。石化产品价差收窄，石化及化工新材料毛利率降至8.60%；化纤业务受销量增长和产品结构改善影响，毛利率升至6.44%，但财务费用48.74亿元及石化板块盈利承压导致归母净利润亏损22.97亿元。</w:t>
            </w:r>
          </w:p>
        </w:tc>
      </w:tr>
    </w:tbl>
    <w:p>
      <w:pPr>
        <w:spacing w:before="200"/>
      </w:pPr>
    </w:p>
    <w:p>
      <w:pPr>
        <w:spacing w:after="160" w:line="300"/>
      </w:pPr>
      <w:r>
        <w:rPr>
          <w:sz w:val="22"/>
          <w:szCs w:val="22"/>
        </w:rPr>
        <w:t xml:space="preserve">公司处于石化产业链中上游与中游交界，更接近资本密集型、周期性的中游加工和材料制造环节，而非拥有资源开采权的高毛利上游或拥有终端品牌溢价的下游。利润主要受原油、煤炭、甲醇、丙烷等大宗原料价格和产品价差影响；后续改善取决于炼化装置优化运行、提高乙烯和芳烃及高附加值化工品收率、提升EVA、POE、丙烯腈、MMA等新材料占比、发展差别化和再生纤维、降低单位能耗及财务费用。</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699.24亿元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同比增长14.79%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45.00亿元（归属于上市公司股东）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同比增长1065.10%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379.02亿元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同比增长约23.83%，环比增长18.36%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30.68亿元（归属于上市公司股东）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同比增长约6705.16%，环比增长114.16%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1255.87亿元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同比下降8.78%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1.34亿元（归属于上市公司股东）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同比扭亏为盈，同比增长105.82%</w:t>
            </w:r>
          </w:p>
        </w:tc>
      </w:tr>
    </w:tbl>
    <w:p>
      <w:pPr>
        <w:spacing w:after="200"/>
      </w:pPr>
      <w:r>
        <w:rPr>
          <w:i/>
          <w:iCs/>
          <w:color w:val="595959"/>
          <w:sz w:val="18"/>
          <w:szCs w:val="18"/>
        </w:rPr>
        <w:t xml:space="preserve">2026年半年度报告于2026年8月28日披露，财务数据截至2026年6月30日。2026年上半年扣除非经常性损益后的归母净利润为43.16亿元，同比增长1488.19%；经营活动产生的现金流量净额为181.35亿元，同比增长545.11%；基本每股收益为0.68元，上年同期为0.06元；加权平均净资产收益率为12.39%，较上年同期提升11.26个百分点。2026年第二季度扣非归母净利润为29.99亿元，上年同期约亏损0.21亿元，实现扭亏为盈；单季度销售毛利率约21.47%，同比提升11.08个百分点。2025年扣非归母净利润亏损5.43亿元，基本每股收益为0.02元。</w:t>
      </w:r>
    </w:p>
    <w:p>
      <w:pPr>
        <w:spacing w:after="160" w:line="300"/>
      </w:pPr>
      <w:r>
        <w:rPr>
          <w:sz w:val="22"/>
          <w:szCs w:val="22"/>
        </w:rPr>
        <w:t xml:space="preserve">2026年上半年业绩明显改善，利润增长主要来自炼油及石化化工新材料业务。上半年炼油产品收入154.28亿元，同比增长34.60%，毛利率31.48%；其他石化及化工新材料收入418.31亿元，同比增长12.50%，毛利率17.93%；涤纶丝及其他化纤业务收入114.92亿元，同比增长2.37%，毛利率12.86%。2026年上半年归母净利润同比高增存在2025年低基数效应，不能将1065.10%的同比增速直接外推全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数据显示，截至2026年9月12日，近6个月内共有10家机构对2026年业绩进行预测，2028年预测机构数量为8家。汇总数据包含较早发布的机构报告，平均值低于2026年9月初发布的部分最新研报。近期机构预测数据来自长城证券2026年9月8日、东吴证券2026年9月3日、华安证券2026年9月1日及申万宏源2026年9月1日的报告。</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同花顺机构汇总平均约1439.61亿元，区间约1329.69亿至1565.50亿元；近期机构预测：长城证券1449.17亿元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同花顺机构汇总平均54.72亿元，区间31.01亿至76.02亿元；近期机构预测主要为65亿至71亿元，长城证券70.85亿元、东吴证券71亿元、华安证券68.81亿元、申万宏源65亿元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同花顺汇总口径未提供统一净利润同比增速；2025年归母净利润为1.34亿元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同花顺机构汇总平均0.83元，区间0.47元至1.15元；长城证券1.07元、东吴证券约1.08元、华安证券约1.04元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同花顺机构汇总平均约1580.73亿元；长城证券1574.10亿元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同花顺机构汇总平均58.44亿元，区间39.81亿至82.57亿元；近期机构预测主要为69亿至74亿元，长城证券73.53亿元、东吴证券72亿元、华安证券73.86亿元、申万宏源69亿元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同花顺汇总口径未提供统一净利润同比增速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同花顺机构汇总平均0.89元，区间0.60元至1.25元；长城证券1.11元、东吴证券约1.09元、华安证券约1.12元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同花顺机构汇总平均约1711.09亿元；长城证券1638.27亿元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同花顺机构汇总平均72.96亿元，区间46.60亿至98.39亿元；近期机构预测主要为80亿至92亿元，长城证券87.85亿元、东吴证券84亿元、华安证券92.09亿元、申万宏源80亿元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同花顺汇总口径未提供统一净利润同比增速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同花顺机构汇总平均1.10元，区间0.70元至1.49元；长城证券1.33元、东吴证券约1.27元、华安证券约1.39元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同花顺机构汇总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买入7家；增持3家；中性、减持、卖出0家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统计近6个月内机构评级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2026—2028年归母净利润预测为70.85亿元、73.53亿元、87.85亿元；EPS为1.07元、1.11元、1.33元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2026—2028年归母净利润预测为71亿元、72亿元、84亿元；对应EPS约1.08元、1.09元、1.27元；按2026年9月2日收盘价计算，对应PE约12.8倍、12.7倍和10.9倍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2026—2028年归母净利润预测为68.81亿元、73.86亿元、92.09亿元；对应EPS约1.04元、1.12元、1.39元；对应PE约13倍、12倍和10倍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2026—2028年归母净利润预测为65亿元、69亿元、80亿元；对应PE约15倍、14倍和12倍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目标价14.80元不变；按报告发布时股价计算，对应2026年和2027年PB约2.3倍和2.2倍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目标价14.80元；给出2026年/2027年预测PE约17倍/24.4倍</w:t>
            </w:r>
          </w:p>
        </w:tc>
      </w:tr>
    </w:tbl>
    <w:p>
      <w:pPr>
        <w:spacing w:before="200"/>
      </w:pPr>
    </w:p>
    <w:p>
      <w:pPr>
        <w:spacing w:after="160" w:line="300"/>
      </w:pPr>
      <w:r>
        <w:rPr>
          <w:sz w:val="22"/>
          <w:szCs w:val="22"/>
        </w:rPr>
        <w:t xml:space="preserve">截至2026年9月11日收盘，公司股价13.76元，总市值约909.7亿元，总股本约66.11亿股，PB约2.40倍，PE（TTM）约21.42倍，动态PE约9.8至10.1倍；52周最高价约15.08元，最低价约9.00元。按2026年机构盈利预测计算，前瞻PE大致为12.8至15倍；按2027年预测约为12至14倍；按2028年预测约为10至12倍。中金公司目标价14.80元较2026年9月11日收盘价13.76元对应潜在上涨空间约7.6%，但该目标价并非所有机构的共同目标价，不能视为市场一致目标价。PB估值方面，理杏仁数据显示截至2026年9月4日PB约2.55倍，历史分位点约96.97%，处于历史较高分位。TTM PE因2025年盈利基数较低而相对偏高，动态PE和机构前瞻PE则反映了2026年盈利修复预期。公司属于周期性石化企业，盈利对原油价格、炼化价差、化工产品价格、装置检修及库存收益较为敏感；机构2026年净利润预测区间为31亿至76.02亿元，分歧较大。若后续产品价差回落，或新材料项目投产、放量不及预期，估值可能面临压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控股股东出售部分“盛虹转债”，不属于减持公司股票</w:t>
      </w:r>
    </w:p>
    <w:p>
      <w:pPr>
        <w:spacing w:after="160" w:line="300"/>
      </w:pPr>
      <w:r>
        <w:rPr>
          <w:sz w:val="22"/>
          <w:szCs w:val="22"/>
        </w:rPr>
        <w:t xml:space="preserve">2026年9月1日，公司披露《关于债券持有人持有可转换公司债券比例变动达10%的公告》。控股股东江苏盛虹科技股份有限公司于2026年1月29日至8月28日期间，通过深圳证券交易所集中竞价方式出售“盛虹转债”5,947,559张，占可转债发行总量的11.90%。盛虹科技持有可转债数量由19,547,284张降至13,599,725张，持有比例由39.09%降至27.20%；盛虹科技及一致行动人盛虹（苏州）集团有限公司合计持有数量由21,347,284张降至15,399,725张，合计持有比例由42.69%降至30.80%。该事项属于控股股东可转债持仓变化，不是直接减持东方盛虹A股股票。公告未披露具体出售原因。</w:t>
      </w:r>
    </w:p>
    <w:p>
      <w:pPr>
        <w:pStyle w:val="Heading2"/>
        <w:spacing w:after="120" w:before="240"/>
      </w:pPr>
      <w:r>
        <w:rPr>
          <w:b/>
          <w:bCs/>
          <w:color w:val="2E74B5"/>
          <w:sz w:val="24"/>
          <w:szCs w:val="24"/>
        </w:rPr>
        <w:t xml:space="preserve">4.2 2026年半年度业绩大幅预增，实际业绩落在预告区间中部</w:t>
      </w:r>
    </w:p>
    <w:p>
      <w:pPr>
        <w:spacing w:after="160" w:line="300"/>
      </w:pPr>
      <w:r>
        <w:rPr>
          <w:sz w:val="22"/>
          <w:szCs w:val="22"/>
        </w:rPr>
        <w:t xml:space="preserve">2026年7月6日，公司披露半年度业绩预告，预计2026年1月1日至6月30日归属于上市公司股东的净利润为42亿元至50亿元，同比上升987.39%至1194.51%；扣除非经常性损益后的净利润为40.16亿元至48.16亿元，同比上升1377.97%至1672.39%；预计基本每股收益为0.64元至0.76元。公司将业绩增长归因于石化化工行业供需格局改善、国际原油价格中枢上移带动石化产品价格及价差改善、1600万吨/年盛虹炼化一体化项目及其他产业板块运行较稳定，以及产品结构调整和降本增效措施。2026年8月29日披露的半年度报告显示，上半年归属于上市公司股东的净利润为45.0015亿元，同比增长1065.10%；扣除非经常性损益后的净利润为43.1550亿元，同比增长1488.19%。正式业绩处于此前预告区间中部。高增长基数较低，盈利持续性仍受炼化产品价差、原油价格、行业景气及装置运行状态影响。</w:t>
      </w:r>
    </w:p>
    <w:p>
      <w:pPr>
        <w:pStyle w:val="Heading2"/>
        <w:spacing w:after="120" w:before="240"/>
      </w:pPr>
      <w:r>
        <w:rPr>
          <w:b/>
          <w:bCs/>
          <w:color w:val="2E74B5"/>
          <w:sz w:val="24"/>
          <w:szCs w:val="24"/>
        </w:rPr>
        <w:t xml:space="preserve">4.3 半年度计提减值及固定资产报废，减少利润总额约3.98亿元</w:t>
      </w:r>
    </w:p>
    <w:p>
      <w:pPr>
        <w:spacing w:after="160" w:line="300"/>
      </w:pPr>
      <w:r>
        <w:rPr>
          <w:sz w:val="22"/>
          <w:szCs w:val="22"/>
        </w:rPr>
        <w:t xml:space="preserve">2026年8月29日，公司披露《关于2026年半年度计提资产减值准备及部分固定资产报废的公告》。截至2026年6月30日，公司2026年半年度计提各项资产减值准备合计2.719405亿元，其中应收款项坏账准备冲回3819.69万元，计提存货跌价准备3.101374亿元。同时，公司报废固定资产账面净值1.378312亿元，形成报废损失1.264128亿元。上述资产减值及固定资产报废事项合计减少公司2026年半年度合并报表利润总额3.983533亿元。相关数据未经会计师事务所审计，最终影响以年度审计认定结果为准。</w:t>
      </w:r>
    </w:p>
    <w:p>
      <w:pPr>
        <w:pStyle w:val="Heading2"/>
        <w:spacing w:after="120" w:before="240"/>
      </w:pPr>
      <w:r>
        <w:rPr>
          <w:b/>
          <w:bCs/>
          <w:color w:val="2E74B5"/>
          <w:sz w:val="24"/>
          <w:szCs w:val="24"/>
        </w:rPr>
        <w:t xml:space="preserve">4.4 1600万吨/年炼化一体化项目完成检修并恢复生产</w:t>
      </w:r>
    </w:p>
    <w:p>
      <w:pPr>
        <w:spacing w:after="160" w:line="300"/>
      </w:pPr>
      <w:r>
        <w:rPr>
          <w:sz w:val="22"/>
          <w:szCs w:val="22"/>
        </w:rPr>
        <w:t xml:space="preserve">2026年8月17日至18日期间，公司披露《关于检修装置复产的公告》。公司此前自2026年6月底起对1600万吨/年盛虹炼化一体化项目装置进行例行停产检修，净检修期预计约45天，部分配套装置根据检修需要同步停产。公告显示，各类设备检修、提质增效技改项目及特种设备法定检验工作已全部顺利完成，公司后续按经营计划组织装置恢复生产运行。复产有利于主要产能重新进入运行状态，但实际负荷、产品价差及装置运行稳定性仍需关注。</w:t>
      </w:r>
    </w:p>
    <w:p>
      <w:pPr>
        <w:pStyle w:val="Heading2"/>
        <w:spacing w:after="120" w:before="240"/>
      </w:pPr>
      <w:r>
        <w:rPr>
          <w:b/>
          <w:bCs/>
          <w:color w:val="2E74B5"/>
          <w:sz w:val="24"/>
          <w:szCs w:val="24"/>
        </w:rPr>
        <w:t xml:space="preserve">4.5 控股股东及一致行动人完成增持计划，累计增持约11.67亿元</w:t>
      </w:r>
    </w:p>
    <w:p>
      <w:pPr>
        <w:spacing w:after="160" w:line="300"/>
      </w:pPr>
      <w:r>
        <w:rPr>
          <w:sz w:val="22"/>
          <w:szCs w:val="22"/>
        </w:rPr>
        <w:t xml:space="preserve">2026年7月11日，公司披露《关于控股股东及其一致行动人增持公司股份计划实施完成的公告》。2026年4月17日至7月10日期间，控股股东盛虹科技及一致行动人盛虹苏州通过集中竞价方式合计增持公司股份94,307,982股，占公司总股本的1.43%，累计增持金额11.672227亿元，不含交易费用。其中，盛虹科技增持65,446,582股，占总股本0.99%，增持金额8.117522亿元；盛虹苏州增持28,861,400股，占总股本0.44%，增持金额3.554705亿元。本次增持计划原定增持金额为9.80亿元至19.60亿元，实际增持金额约11.67亿元，达到计划下限以上。增持计划已于2026年7月10日完成，不代表后续仍会持续增持。</w:t>
      </w:r>
    </w:p>
    <w:p>
      <w:pPr>
        <w:pStyle w:val="Heading2"/>
        <w:spacing w:after="120" w:before="240"/>
      </w:pPr>
      <w:r>
        <w:rPr>
          <w:b/>
          <w:bCs/>
          <w:color w:val="2E74B5"/>
          <w:sz w:val="24"/>
          <w:szCs w:val="24"/>
        </w:rPr>
        <w:t xml:space="preserve">4.6 第四期员工持股计划存续期临近届满，持有约8111万股</w:t>
      </w:r>
    </w:p>
    <w:p>
      <w:pPr>
        <w:spacing w:after="160" w:line="300"/>
      </w:pPr>
      <w:r>
        <w:rPr>
          <w:sz w:val="22"/>
          <w:szCs w:val="22"/>
        </w:rPr>
        <w:t xml:space="preserve">2026年7月29日，公司披露《关于公司第四期员工持股计划存续期即将届满的提示性公告》。第四期员工持股计划于2024年2月1日完成股票购买，通过二级市场累计买入公司股票81,113,123股，占公告时公司总股本约1.23%。截至2026年7月28日，该员工持股计划尚未出售股票，持股数量仍为81,113,123股。计划存续期将于2027年1月31日届满。届满前，持有人会议及公司董事会可根据市场情况决定延长存续期、出售股份或作其他处置安排。目前尚未形成明确的减持计划，不能直接认定为即将发生集中减持。</w:t>
      </w:r>
    </w:p>
    <w:p>
      <w:pPr>
        <w:pStyle w:val="Heading2"/>
        <w:spacing w:after="120" w:before="240"/>
      </w:pPr>
      <w:r>
        <w:rPr>
          <w:b/>
          <w:bCs/>
          <w:color w:val="2E74B5"/>
          <w:sz w:val="24"/>
          <w:szCs w:val="24"/>
        </w:rPr>
        <w:t xml:space="preserve">4.7 拟注册不超过30亿元债务融资工具</w:t>
      </w:r>
    </w:p>
    <w:p>
      <w:pPr>
        <w:spacing w:after="160" w:line="300"/>
      </w:pPr>
      <w:r>
        <w:rPr>
          <w:sz w:val="22"/>
          <w:szCs w:val="22"/>
        </w:rPr>
        <w:t xml:space="preserve">2026年7月11日，公司披露《关于申请统一注册债务融资工具的公告》。公司拟向中国银行间市场交易商协会申请统一注册债务融资工具，注册规模不超过30亿元人民币，目的包括拓宽融资渠道、优化融资结构及降低融资成本。该事项尚需股东会审议，并需取得中国银行间市场交易商协会批准，最终能否发行、发行规模、期限和利率等尚未确定。目前属于融资计划，不等同于已经新增30亿元有息负债。</w:t>
      </w:r>
    </w:p>
    <w:p>
      <w:pPr>
        <w:pStyle w:val="Heading2"/>
        <w:spacing w:after="120" w:before="240"/>
      </w:pPr>
      <w:r>
        <w:rPr>
          <w:b/>
          <w:bCs/>
          <w:color w:val="2E74B5"/>
          <w:sz w:val="24"/>
          <w:szCs w:val="24"/>
        </w:rPr>
        <w:t xml:space="preserve">4.8 2026年7月至9月期间未检索到新的股份回购公告</w:t>
      </w:r>
    </w:p>
    <w:p>
      <w:pPr>
        <w:spacing w:after="160" w:line="300"/>
      </w:pPr>
      <w:r>
        <w:rPr>
          <w:sz w:val="22"/>
          <w:szCs w:val="22"/>
        </w:rPr>
        <w:t xml:space="preserve">截至2026年9月14日，未检索到东方盛虹在2026年7月至9月期间披露新的股份回购计划、回购实施进展或回购注销公告。公司控股股东2026年完成的是增持A股股份，2026年9月披露的是出售部分“盛虹转债”，两者均不属于上市公司股份回购。</w:t>
      </w:r>
    </w:p>
    <w:p>
      <w:pPr>
        <w:pStyle w:val="Heading2"/>
        <w:spacing w:after="120" w:before="240"/>
      </w:pPr>
      <w:r>
        <w:rPr>
          <w:b/>
          <w:bCs/>
          <w:color w:val="2E74B5"/>
          <w:sz w:val="24"/>
          <w:szCs w:val="24"/>
        </w:rPr>
        <w:t xml:space="preserve">4.9 2026年7月至9月期间未检索到新的并购及重大资产重组公告</w:t>
      </w:r>
    </w:p>
    <w:p>
      <w:pPr>
        <w:spacing w:after="160" w:line="300"/>
      </w:pPr>
      <w:r>
        <w:rPr>
          <w:sz w:val="22"/>
          <w:szCs w:val="22"/>
        </w:rPr>
        <w:t xml:space="preserve">截至2026年9月14日，未检索到公司在2026年7月至9月期间发布新的重大资产收购、出售、资产重组或并购交易公告。近期披露重点集中在半年度业绩、炼化装置检修复产、股东增持、可转债持仓变动及融资安排。</w:t>
      </w:r>
    </w:p>
    <w:p>
      <w:pPr>
        <w:pStyle w:val="Heading2"/>
        <w:spacing w:after="120" w:before="240"/>
      </w:pPr>
      <w:r>
        <w:rPr>
          <w:b/>
          <w:bCs/>
          <w:color w:val="2E74B5"/>
          <w:sz w:val="24"/>
          <w:szCs w:val="24"/>
        </w:rPr>
        <w:t xml:space="preserve">4.10 2026年7月至9月期间未检索到重大监管处罚及问询公告</w:t>
      </w:r>
    </w:p>
    <w:p>
      <w:pPr>
        <w:spacing w:after="160" w:line="300"/>
      </w:pPr>
      <w:r>
        <w:rPr>
          <w:sz w:val="22"/>
          <w:szCs w:val="22"/>
        </w:rPr>
        <w:t xml:space="preserve">截至2026年9月14日，未检索到东方盛虹在上述期间受到中国证监会行政处罚、深圳证券交易所纪律处分或重大监管问询的公告。该结论基于公司公告列表、深交所相关披露及公开检索结果，不能排除后续新公告或非公告渠道信息。</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000301 / 东方盛虹</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13.38元（2026年9月11日）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前一交易日收盘价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13.76元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下跌约2.76%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13.78元 / 13.87元 / 13.05元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345,698手，约3,456.98万股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4.6408亿元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约884.6亿元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约20.83倍，具体估值口径需注意</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15.08元 / 9.00元（截至2026年9月10日，前复权口径）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最新收盘价较52周高低点位置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较52周高点低约11.3%，较52周低点高约48.7%</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MA5：14.14元；MA10：14.24元；MA20：13.71元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9月10日收盘价13.76元跌破MA5和MA10，但略高于MA20；MA5低于MA10、MA20低于MA10，暂非标准短期多头排列。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DIF：0.41；DEA：0.45；MACD柱：-0.08；另一口径柱值约-0.0422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DIF低于DEA，柱值位于零轴下方，短线下行动能占优，尚未显示明确重新金叉信号。不同网站对MACD柱值定义可能存在差异，但方向判断基本一致。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RSI6：43.3；RSI12：51.4；RSI24：53.9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均处于传统30—70中性区间，未进入超卖或超买区域；RSI6低于RSI12和RSI24，显示短线强弱弱于中短期平均水平，但尚未出现极端恐慌信号。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上轨：14.96元；中轨：13.71元；下轨：12.46元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9月10日收盘价位于中轨上方、上轨下方，距离中轨约0.05元，短线正在测试中轨支撑；若跌破中轨，下一观察区域为12.46元附近。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9月4日至9月11日，收盘价由14.62元回落至13.38元，累计跌幅约8.5%；日成交额约4.06亿—6.11亿元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9月7日出现较明显放量下跌；9月11日成交额回升至4.64亿元，但仍低于9月4日至9月8日期间的较高水平。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9月10日主力资金净流出约4,624万元，占当日成交额约11.4%；游资净流入约785万元，散户资金净流入约3,839万元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9月10日股价下跌过程中，大单及超大单方向偏卖出，中小单资金出现承接。资金流向数据为按成交单大小推算的分类结果，不等同于真实机构账户身份。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近10个交易日资金流向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累计主力净额约3,280万元；10个交易日中6天净流入、4天净流出；最大单日流入约4,482万元，最大单日流出约4,608万元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前期8月下旬资金流入对近10日累计值形成支撑，但最近几个交易日出现资金撤出。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股东集中度（截至2026年3月31日）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前十大流通股东合计持有流通股约78.82%；前三大控股股东及一致行动人合计约67.16%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筹码集中度较高，前十大股东主体仍以控股股东及关联方为主；该数据存在季度披露滞后，不能完全代表2026年9月11日实时持仓结构。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机构持仓背景（截至2026年6月30日）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503家主力机构持仓，持仓总量约551,827.23万股，占流通A股约83.50%；包括493家基金、6家一般法人、1家银行和3家阳光私募</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机构覆盖度较高，但该统计与前十大流通股东数据口径不同，不能直接相加；相比2025年末，基金减仓家数多于增仓家数，且数据存在季度披露滞后。</w:t>
            </w:r>
          </w:p>
        </w:tc>
      </w:tr>
    </w:tbl>
    <w:p>
      <w:pPr>
        <w:spacing w:before="200"/>
      </w:pPr>
    </w:p>
    <w:p>
      <w:pPr>
        <w:spacing w:after="160" w:line="300"/>
      </w:pPr>
      <w:r>
        <w:rPr>
          <w:sz w:val="22"/>
          <w:szCs w:val="22"/>
        </w:rPr>
        <w:t xml:space="preserve">截至2026年9月11日，东方盛虹收于13.38元，较前一交易日下跌约2.76%。股价近期由9月4日的14.62元回落至13.38元，均线方面已跌破MA5和MA10，但技术指标主要截至9月10日显示股价仍略高于MA20及布林带中轨。MACD中DIF低于DEA、柱值为负，短线动能偏弱；RSI仍处于中性区间，暂未形成超卖信号。资金面上，9月10日主力资金明显净流出，但近10个交易日累计主力净额仍为正。公司前十大流通股东集中度较高，机构持仓覆盖度较高，但相关股东和机构数据均存在季度披露滞后。综合来看，短线处于中轨及20日均线附近的支撑观察阶段，后续走势需要结合13.45—13.75元支撑区、14.14—14.24元均线压力区及成交额变化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风险提示：以下内容仅为基于截至2026年9月11日收盘数据及历史技术指标的主观情景推演，不构成投资建议，也不构成对未来价格的确定性预测。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14.14—14.24元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对应MA5和MA10区域。若重新站上14.24元并伴随成交额放大，短线弱势结构可能得到修复；进一步压力观察14.60—14.96元，其中14.96元接近布林带上轨。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13.45—13.75元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对应布林带中轨13.71元、9月11日最低价13.05元上方的短线承接区域及纪要所列13.47元支撑位。若支撑失守，可能向更低位置运行；若重新站稳13.70元附近，可能维持区间震荡。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12.40—12.60元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对应布林带下轨约12.46元。若13.45元附近支撑失守且成交量放大，下一观察区域可能下移至12.46元附近。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属于基于当前技术指标、成交额和资金流向的启发式判断，不是统计概率）：参考价格区间为13.40—14.20元。触发条件包括股价在13.45元附近获得承接、未有效跌破13.40元，成交额维持约4亿—6亿元，且行业及大盘没有明显单边下跌。当前价格接近布林中轨，RSI处于中性区间，若卖压减弱，可能在该区间反复震荡。</w:t>
      </w:r>
    </w:p>
    <w:p>
      <w:pPr>
        <w:pStyle w:val="ListParagraph"/>
        <w:numPr>
          <w:ilvl w:val="0"/>
          <w:numId w:val="2"/>
        </w:numPr>
        <w:spacing w:after="80" w:line="280"/>
      </w:pPr>
      <w:r>
        <w:rPr>
          <w:sz w:val="22"/>
          <w:szCs w:val="22"/>
        </w:rPr>
        <w:t xml:space="preserve">偏弱下行（主观权重中等；属于基于当前技术指标、成交额和资金流向的启发式判断，不是统计概率）：参考价格区间为12.40—13.45元。触发条件包括有效跌破13.40—13.45元，单日成交额明显高于近期4亿—6亿元常态，且主力资金继续净流出。若支撑失守，下一重要观察位为布林带下轨12.46元；MACD死叉若继续发展，可能强化短期调整压力。</w:t>
      </w:r>
    </w:p>
    <w:p>
      <w:pPr>
        <w:pStyle w:val="ListParagraph"/>
        <w:numPr>
          <w:ilvl w:val="0"/>
          <w:numId w:val="2"/>
        </w:numPr>
        <w:spacing w:after="80" w:line="280"/>
      </w:pPr>
      <w:r>
        <w:rPr>
          <w:sz w:val="22"/>
          <w:szCs w:val="22"/>
        </w:rPr>
        <w:t xml:space="preserve">反弹走强（主观权重偏低至中等；属于基于当前技术指标、成交额和资金流向的启发式判断，不是统计概率）：参考价格区间为14.20—14.95元。触发条件包括重新站上14.14—14.24元均线压力区，单日成交额持续放大至约6.5亿—7亿元以上，且主力资金由净流出转为连续净流入。若放量收复MA5和MA10，可能向14.60元附近及布林带上轨14.96元区域反弹，但仍需成交量和资金流向配合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约0.44%—0.65%，日成交额约4亿—6亿元；9月11日成交额4.64亿元，低于9月4日、9月7日和9月8日约5.46亿—6.11亿元的较高水平。股东数据方面，截至2026年3月31日，前十大流通股东合计持股78.82%，前三大控股股东及一致行动人合计约67.16%，但存在季度披露滞后；截至2026年6月30日，机构持仓统计显示主力机构持有流通股约83.50%，同样存在季度滞后。前十大股东主体仍以控股股东及关联方为主，同时包含外资托管账户、香港中央结算、员工持股信托和私募基金；机构持仓统计中包括493家基金等机构。实际含义是，流通盘中相当比例股份由控股股东、关联方及机构持有，市场可交易筹码相对集中；在换手率不高的情况下，资金集中流入或流出可能带来较快价格波动，而价格突破需要成交额确认。</w:t>
      </w:r>
    </w:p>
    <w:p>
      <w:pPr>
        <w:spacing w:after="160" w:line="300"/>
      </w:pPr>
      <w:r>
        <w:rPr>
          <w:sz w:val="22"/>
          <w:szCs w:val="22"/>
        </w:rPr>
        <w:t xml:space="preserve">若股价向上突破14.20—14.24元，同时单日成交额达到约6.5亿—7亿元以上，并连续至少两个交易日维持较高水平，可作为短线资金参与度明显增强的观察信号；若跌破13.45元时成交额同步放大，则需关注向12.40—12.60元区域回撤的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观察13.45—13.75元区域能否形成有效承接，以上为观察思路，非操作指令。</w:t>
      </w:r>
    </w:p>
    <w:p>
      <w:pPr>
        <w:pStyle w:val="ListParagraph"/>
        <w:numPr>
          <w:ilvl w:val="0"/>
          <w:numId w:val="2"/>
        </w:numPr>
        <w:spacing w:after="80" w:line="280"/>
      </w:pPr>
      <w:r>
        <w:rPr>
          <w:sz w:val="22"/>
          <w:szCs w:val="22"/>
        </w:rPr>
        <w:t xml:space="preserve">观察14.14—14.24元均线压力区能否被放量收复，以上为观察思路，非操作指令。</w:t>
      </w:r>
    </w:p>
    <w:p>
      <w:pPr>
        <w:pStyle w:val="ListParagraph"/>
        <w:numPr>
          <w:ilvl w:val="0"/>
          <w:numId w:val="2"/>
        </w:numPr>
        <w:spacing w:after="80" w:line="280"/>
      </w:pPr>
      <w:r>
        <w:rPr>
          <w:sz w:val="22"/>
          <w:szCs w:val="22"/>
        </w:rPr>
        <w:t xml:space="preserve">观察MACD死叉是否修复、DIF与DEA是否重新形成金叉，以上为观察思路，非操作指令。</w:t>
      </w:r>
    </w:p>
    <w:p>
      <w:pPr>
        <w:pStyle w:val="ListParagraph"/>
        <w:numPr>
          <w:ilvl w:val="0"/>
          <w:numId w:val="2"/>
        </w:numPr>
        <w:spacing w:after="80" w:line="280"/>
      </w:pPr>
      <w:r>
        <w:rPr>
          <w:sz w:val="22"/>
          <w:szCs w:val="22"/>
        </w:rPr>
        <w:t xml:space="preserve">观察主力资金是否由单日净流出转为连续净流入，以及成交额能否放大至6.5亿—7亿元以上以确认突破有效性，以上为观察思路，非操作指令。</w:t>
      </w:r>
    </w:p>
    <w:p>
      <w:pPr>
        <w:spacing w:after="200"/>
      </w:pPr>
      <w:r>
        <w:rPr>
          <w:i/>
          <w:iCs/>
          <w:color w:val="595959"/>
          <w:sz w:val="18"/>
          <w:szCs w:val="18"/>
        </w:rPr>
        <w:t xml:space="preserve">以上情景推演基于2026年9月11日收盘数据及截至2026年9月10日披露的历史价格、技术指标测算，短期股价还会受消息面、资金面、大盘环境、行业商品价格及流动性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在行业覆盖大型炼化、化工新材料和聚酯化纤。炼化行业由国有大型石化企业、民营大炼化企业和地方炼厂共同竞争，存在阶段性产能过剩，新增项目向沿海大型石化基地集中，竞争重点由单纯炼油加工转向化工产品收率、原料结构、能耗水平和高端材料布局。涤纶长丝行业规模较大且集中度较高，竞争集中于规模、成本、一体化、差别化产品、能源环保成本和客户认证。EVA产能快速扩张且光伏需求占比较高，POE技术壁垒更高，国内企业仍处于国产化推进阶段。</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炼化行业已形成国有大型石化企业、民营大炼化企业和地方炼厂并存的竞争格局；行业存在阶段性产能过剩，政策方向是控制低效炼油产能、提高大型装置产能利用率和产业集中度。</w:t>
      </w:r>
    </w:p>
    <w:p>
      <w:pPr>
        <w:pStyle w:val="ListParagraph"/>
        <w:numPr>
          <w:ilvl w:val="0"/>
          <w:numId w:val="2"/>
        </w:numPr>
        <w:spacing w:after="80" w:line="280"/>
      </w:pPr>
      <w:r>
        <w:rPr>
          <w:sz w:val="22"/>
          <w:szCs w:val="22"/>
        </w:rPr>
        <w:t xml:space="preserve">新增炼化项目趋向炼油、芳烃、乙烯及下游新材料一体化；竞争从单纯炼油加工转向化工产品收率、原料结构、能耗水平和高端材料布局。</w:t>
      </w:r>
    </w:p>
    <w:p>
      <w:pPr>
        <w:pStyle w:val="ListParagraph"/>
        <w:numPr>
          <w:ilvl w:val="0"/>
          <w:numId w:val="2"/>
        </w:numPr>
        <w:spacing w:after="80" w:line="280"/>
      </w:pPr>
      <w:r>
        <w:rPr>
          <w:sz w:val="22"/>
          <w:szCs w:val="22"/>
        </w:rPr>
        <w:t xml:space="preserve">东方盛虹所在的连云港徐圩新区属于国家重点石化产业基地之一，优势包括港口进口原油和化工原料便利、装置规模大，以及与斯尔邦石化、虹港石化等形成园区内原料互供。</w:t>
      </w:r>
    </w:p>
    <w:p>
      <w:pPr>
        <w:pStyle w:val="ListParagraph"/>
        <w:numPr>
          <w:ilvl w:val="0"/>
          <w:numId w:val="2"/>
        </w:numPr>
        <w:spacing w:after="80" w:line="280"/>
      </w:pPr>
      <w:r>
        <w:rPr>
          <w:sz w:val="22"/>
          <w:szCs w:val="22"/>
        </w:rPr>
        <w:t xml:space="preserve">涤纶长丝行业CR6产能占比，2024年年报援引行业数据称接近70%；其他资料给出的2023年CR6约为74%至81.5%，统计口径存在差异，不宜直接混用。</w:t>
      </w:r>
    </w:p>
    <w:p>
      <w:pPr>
        <w:pStyle w:val="ListParagraph"/>
        <w:numPr>
          <w:ilvl w:val="0"/>
          <w:numId w:val="2"/>
        </w:numPr>
        <w:spacing w:after="80" w:line="280"/>
      </w:pPr>
      <w:r>
        <w:rPr>
          <w:sz w:val="22"/>
          <w:szCs w:val="22"/>
        </w:rPr>
        <w:t xml:space="preserve">普通POY、FDY、DTY等产品标准化程度较高、价格竞争明显；超细旦、全消光、复合丝、再生纤维和功能性纤维更依赖工艺稳定性和客户认证。</w:t>
      </w:r>
    </w:p>
    <w:p>
      <w:pPr>
        <w:pStyle w:val="ListParagraph"/>
        <w:numPr>
          <w:ilvl w:val="0"/>
          <w:numId w:val="2"/>
        </w:numPr>
        <w:spacing w:after="80" w:line="280"/>
      </w:pPr>
      <w:r>
        <w:rPr>
          <w:sz w:val="22"/>
          <w:szCs w:val="22"/>
        </w:rPr>
        <w:t xml:space="preserve">EVA行业面临国内产能快速扩张，光伏级EVA对装置稳定运行、产品晶点、VA含量和连续生产能力有要求；POE技术壁垒更高，高碳α-烯烃、茂金属催化剂和溶液聚合技术是关键壁垒。</w:t>
      </w:r>
    </w:p>
    <w:p>
      <w:pPr>
        <w:pStyle w:val="ListParagraph"/>
        <w:numPr>
          <w:ilvl w:val="0"/>
          <w:numId w:val="2"/>
        </w:numPr>
        <w:spacing w:after="80" w:line="280"/>
      </w:pPr>
      <w:r>
        <w:rPr>
          <w:sz w:val="22"/>
          <w:szCs w:val="22"/>
        </w:rPr>
        <w:t xml:space="preserve">2025年POE装置投产后，公司形成EVA和POE双布局，但装置长期稳定运行、良率、客户验证和盈利能力仍需后续公告及年报验证。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恒力石化（600346.SH）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大型民营炼化—芳烃—PTA—聚酯—化纤一体化企业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与东方盛虹同属于民营大炼化和聚酯化纤综合企业，核心竞争在于大型装置、原料一体化和成本控制。</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荣盛石化（002493.SZ）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炼化、芳烃、PTA、聚酯和高端化工新材料综合企业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浙江石化炼化一体化项目总体规模更大；东方盛虹则在丙烯腈、EVA、POE和差别化纤维等细分材料上强调产品结构和技术路线。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桐昆股份（601233.SH）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涤纶长丝和PTA龙头，并向上游炼化布局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核心优势偏向涤纶长丝规模和产品覆盖；东方盛虹拥有更完整的炼化—化工新材料—化纤纵向一体化链条。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新凤鸣（603225.SH）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涤纶长丝、涤纶短纤和PTA企业，持续向上游延伸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聚酯和长丝规模较大，炼化一体化程度相对较低；东方盛虹的差异化优势在于1600万吨/年炼化和化工新材料平台。</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恒逸石化（000703.SZ）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PTA、聚酯、涤纶长丝以及海外炼化业务综合企业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海外炼化布局更突出；东方盛虹生产基地更加集中于连云港石化基地，并重点强化EVA、POE、丙烯腈、MMA等化工新材料。</w:t>
            </w:r>
          </w:p>
        </w:tc>
      </w:tr>
    </w:tbl>
    <w:p>
      <w:pPr>
        <w:spacing w:before="200"/>
      </w:pPr>
    </w:p>
    <w:p>
      <w:pPr>
        <w:spacing w:after="160" w:line="300"/>
      </w:pPr>
      <w:r>
        <w:rPr>
          <w:sz w:val="22"/>
          <w:szCs w:val="22"/>
        </w:rPr>
        <w:t xml:space="preserve">东方盛虹相较于聚酯和长丝企业，具备1600万吨/年炼化、240万吨/年MTO和70万吨/年PDH形成的多元原料路线及纵向一体化能力；相较于大型炼化同行，其竞争重点更多落在丙烯腈、EVA、POE、MMA、超高分子量聚乙烯、PETG、EC/DMC等新材料，以及差别化和再生纤维产品矩阵。公司优势是规模、园区协同、原料路线切换和产品延伸，但仍面临大宗原料价格波动、产品周期、较高折旧和财务费用，以及新材料装置稳定运行和客户认证等不确定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炼化及石化化工业务对原油、煤炭、甲醇、丙烷等原料价格以及成品油、PX、乙二醇和其他化工产品价差高度敏感；2026年上半年利润大幅增长包含低基数因素，若价差回落，盈利可能明显波动。</w:t>
      </w:r>
    </w:p>
    <w:p>
      <w:pPr>
        <w:pStyle w:val="ListParagraph"/>
        <w:numPr>
          <w:ilvl w:val="0"/>
          <w:numId w:val="2"/>
        </w:numPr>
        <w:spacing w:after="80" w:line="280"/>
      </w:pPr>
      <w:r>
        <w:rPr>
          <w:sz w:val="22"/>
          <w:szCs w:val="22"/>
        </w:rPr>
        <w:t xml:space="preserve">公司1600万吨/年炼化一体化项目规模大、固定资产投入和折旧压力较高，2026年6月底至8月期间曾进行约45天检修；若复产后的实际负荷、运行稳定性或后续检修情况不及预期，可能影响产销量和利润。</w:t>
      </w:r>
    </w:p>
    <w:p>
      <w:pPr>
        <w:pStyle w:val="ListParagraph"/>
        <w:numPr>
          <w:ilvl w:val="0"/>
          <w:numId w:val="2"/>
        </w:numPr>
        <w:spacing w:after="80" w:line="280"/>
      </w:pPr>
      <w:r>
        <w:rPr>
          <w:sz w:val="22"/>
          <w:szCs w:val="22"/>
        </w:rPr>
        <w:t xml:space="preserve">EVA产能提升至90万吨/年、10万吨/年POE装置已投产，但POE及高端EVA仍需经历装置稳定运行、良率提升和客户验证；若产品放量或盈利能力低于预期，公司新材料结构升级可能不及预期。</w:t>
      </w:r>
    </w:p>
    <w:p>
      <w:pPr>
        <w:pStyle w:val="ListParagraph"/>
        <w:numPr>
          <w:ilvl w:val="0"/>
          <w:numId w:val="2"/>
        </w:numPr>
        <w:spacing w:after="80" w:line="280"/>
      </w:pPr>
      <w:r>
        <w:rPr>
          <w:sz w:val="22"/>
          <w:szCs w:val="22"/>
        </w:rPr>
        <w:t xml:space="preserve">公司2024年财务费用达到48.74亿元，2024年归母净利润亏损22.97亿元；在炼化周期转弱或融资成本较高的情况下，较高的折旧和财务费用可能放大利润下行压力。</w:t>
      </w:r>
    </w:p>
    <w:p>
      <w:pPr>
        <w:pStyle w:val="ListParagraph"/>
        <w:numPr>
          <w:ilvl w:val="0"/>
          <w:numId w:val="2"/>
        </w:numPr>
        <w:spacing w:after="80" w:line="280"/>
      </w:pPr>
      <w:r>
        <w:rPr>
          <w:sz w:val="22"/>
          <w:szCs w:val="22"/>
        </w:rPr>
        <w:t xml:space="preserve">2026年上半年计提存货跌价准备3.10亿元、报废固定资产账面净值1.38亿元，相关事项合计减少利润总额约3.98亿元，最终影响仍以年度审计认定为准，后续仍需关注存货价格波动及资产减值风险。</w:t>
      </w:r>
    </w:p>
    <w:p>
      <w:pPr>
        <w:pStyle w:val="ListParagraph"/>
        <w:numPr>
          <w:ilvl w:val="0"/>
          <w:numId w:val="2"/>
        </w:numPr>
        <w:spacing w:after="80" w:line="280"/>
      </w:pPr>
      <w:r>
        <w:rPr>
          <w:sz w:val="22"/>
          <w:szCs w:val="22"/>
        </w:rPr>
        <w:t xml:space="preserve">涤纶长丝、普通化工品等业务市场化程度较高，行业存在阶段性产能过剩，普通POY、FDY、DTY等产品价格竞争明显；若产品结构改善不足，化纤销量增长未必能够转化为稳定的利润增长。</w:t>
      </w:r>
    </w:p>
    <w:p>
      <w:pPr>
        <w:pStyle w:val="ListParagraph"/>
        <w:numPr>
          <w:ilvl w:val="0"/>
          <w:numId w:val="2"/>
        </w:numPr>
        <w:spacing w:after="80" w:line="280"/>
      </w:pPr>
      <w:r>
        <w:rPr>
          <w:sz w:val="22"/>
          <w:szCs w:val="22"/>
        </w:rPr>
        <w:t xml:space="preserve">公司拟申请注册不超过30亿元债务融资工具，最终发行规模、期限和利率尚未确定；若后续融资规模扩大或融资成本上升，可能增加杠杆和利息负担。</w:t>
      </w:r>
    </w:p>
    <w:p>
      <w:pPr>
        <w:pStyle w:val="ListParagraph"/>
        <w:numPr>
          <w:ilvl w:val="0"/>
          <w:numId w:val="2"/>
        </w:numPr>
        <w:spacing w:after="80" w:line="280"/>
      </w:pPr>
      <w:r>
        <w:rPr>
          <w:sz w:val="22"/>
          <w:szCs w:val="22"/>
        </w:rPr>
        <w:t xml:space="preserve">员工持股计划持有约8111万股，存续期将于2027年1月31日届满，目前尚无明确减持计划，但后续若发生集中出售，可能对阶段性市场供求和股价波动产生影响；同时技术数据反映股价已跌破MA5、MA10，若13.45—13.75元附近支撑失守且资金继续流出，短期调整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增长逻辑在于炼化景气修复与一体化经营弹性，以及化工新材料和差别化纤维占比提升。2026年上半年炼油和石化化工新材料业务毛利率明显改善，若产品价差和装置运行状态维持，利润修复有望延续；EVA、POE、丙烯腈、MMA及再生、功能性纤维等产品的进一步放量，则可能改善公司相对于普通大宗化工品的盈利结构。</w:t>
      </w:r>
    </w:p>
    <w:p>
      <w:pPr>
        <w:spacing w:after="160" w:line="300"/>
      </w:pPr>
      <w:r>
        <w:rPr>
          <w:sz w:val="22"/>
          <w:szCs w:val="22"/>
        </w:rPr>
        <w:t xml:space="preserve">机构对2026—2028年盈利总体持修复预期，近期预测的2026年归母净利润主要集中在65亿至71亿元，2027年约69亿至74亿元，2028年约80亿至92亿元，但不同机构对2026年净利润的预测区间为31.01亿至76.02亿元，分歧较大。这表明市场关注点已由公司能否扭亏转向盈利修复能否持续，后续应重点验证炼化价差、装置负荷、新材料产销及现金流表现。</w:t>
      </w:r>
    </w:p>
    <w:p>
      <w:pPr>
        <w:spacing w:after="160" w:line="300"/>
      </w:pPr>
      <w:r>
        <w:rPr>
          <w:sz w:val="22"/>
          <w:szCs w:val="22"/>
        </w:rPr>
        <w:t xml:space="preserve">公司仍需在高资本密集度和较高财务费用背景下平衡扩产、降本与资产负债管理。控股股东完成A股增持约11.67亿元，但其同时出售部分可转债并不等同于减持公司股票；公司拟注册不超过30亿元债务融资工具也尚未等同于新增负债。综合来看，未来业绩弹性与周期波动并存，技术面短期处于支撑观察阶段，基本面改善的持续性和估值对盈利预期的消化情况仍是后续重要观察因素。</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东方盛虹(000301)_公司公告_东方盛虹：2024年年度报告新浪财经_新浪网 — https://vip.stock.finance.sina.com.cn/corp/view/vCB_AllBulletinDetail.php?CompanyCode=10000672&amp;gather=1&amp;id=11059116</w:t>
      </w:r>
    </w:p>
    <w:p>
      <w:pPr>
        <w:spacing w:after="200"/>
      </w:pPr>
      <w:r>
        <w:rPr>
          <w:i/>
          <w:iCs/>
          <w:color w:val="595959"/>
          <w:sz w:val="18"/>
          <w:szCs w:val="18"/>
        </w:rPr>
        <w:t xml:space="preserve">东方盛虹(000301)_公司公告_东方盛虹：2025年年度报告新浪财经_新浪网 — https://money.finance.sina.com.cn/corp/view/vCB_AllBulletinDetail.php?id=12266560&amp;stockid=000301</w:t>
      </w:r>
    </w:p>
    <w:p>
      <w:pPr>
        <w:spacing w:after="200"/>
      </w:pPr>
      <w:r>
        <w:rPr>
          <w:i/>
          <w:iCs/>
          <w:color w:val="595959"/>
          <w:sz w:val="18"/>
          <w:szCs w:val="18"/>
        </w:rPr>
        <w:t xml:space="preserve">东方盛虹(000301)_公司公告_东方盛虹：2023年年度报告新浪财经_新浪网 — https://vip.stock.finance.sina.com.cn/corp/view/vCB_AllBulletinDetail.php?id=10087327&amp;stockid=000301&amp;utm_source=openai</w:t>
      </w:r>
    </w:p>
    <w:p>
      <w:pPr>
        <w:spacing w:after="200"/>
      </w:pPr>
      <w:r>
        <w:rPr>
          <w:i/>
          <w:iCs/>
          <w:color w:val="595959"/>
          <w:sz w:val="18"/>
          <w:szCs w:val="18"/>
        </w:rPr>
        <w:t xml:space="preserve">荣盛石化(002493)_公司公告_荣盛石化：2024年年度报告新浪财经_新浪网 — https://money.finance.sina.com.cn/corp/view/vCB_AllBulletinDetail.php?id=10978018&amp;stockid=002493&amp;utm_source=openai</w:t>
      </w:r>
    </w:p>
    <w:p>
      <w:pPr>
        <w:spacing w:after="200"/>
      </w:pPr>
      <w:r>
        <w:rPr>
          <w:i/>
          <w:iCs/>
          <w:color w:val="595959"/>
          <w:sz w:val="18"/>
          <w:szCs w:val="18"/>
        </w:rPr>
        <w:t xml:space="preserve">桐昆股份(601233)_公司公告_桐昆股份：2024年年度报告新浪财经_新浪网 — https://money.finance.sina.com.cn/corp/view/vCB_AllBulletinDetail.php?id=10985423&amp;stockid=601233&amp;utm_source=openai</w:t>
      </w:r>
    </w:p>
    <w:p>
      <w:pPr>
        <w:spacing w:after="200"/>
      </w:pPr>
      <w:r>
        <w:rPr>
          <w:i/>
          <w:iCs/>
          <w:color w:val="595959"/>
          <w:sz w:val="18"/>
          <w:szCs w:val="18"/>
        </w:rPr>
        <w:t xml:space="preserve">涤纶长丝优质标的，产业链一体化成长可期- 宏观研究报告 _ 数据中心 _ 东方财富网 — https://data.eastmoney.com/report/info/AP202409291640095327.html?utm_source=openai</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东方盛虹(000301)_公司公告_东方盛虹：2026年半年度报告新浪财经_新浪网 — https://money.finance.sina.com.cn/corp/view/vCB_AllBulletinDetail.php?id=12569886&amp;stockid=000301</w:t>
      </w:r>
    </w:p>
    <w:p>
      <w:pPr>
        <w:spacing w:after="200"/>
      </w:pPr>
      <w:r>
        <w:rPr>
          <w:i/>
          <w:iCs/>
          <w:color w:val="595959"/>
          <w:sz w:val="18"/>
          <w:szCs w:val="18"/>
        </w:rPr>
        <w:t xml:space="preserve">东方盛虹(000301)：业绩符合预期 炼化景气明显修复 长丝新材料持续放量__新浪财经_新浪网 — https://stock.finance.sina.com.cn/stock/go.php/vReport_Show/kind/search/rptid/841605596457/index.phtml</w:t>
      </w:r>
    </w:p>
    <w:p>
      <w:pPr>
        <w:spacing w:after="200"/>
      </w:pPr>
      <w:r>
        <w:rPr>
          <w:i/>
          <w:iCs/>
          <w:color w:val="595959"/>
          <w:sz w:val="18"/>
          <w:szCs w:val="18"/>
        </w:rPr>
        <w:t xml:space="preserve">东方盛虹(000301)2026年半年报点评：地缘冲突推升炼化景气 一体化盈利弹性凸显__新浪财经_新浪网 — https://stock.finance.sina.com.cn/stock/go.php/vReport_Show/kind/search/rptid/841775232143/index.phtml</w:t>
      </w:r>
    </w:p>
    <w:p>
      <w:pPr>
        <w:spacing w:after="200"/>
      </w:pPr>
      <w:r>
        <w:rPr>
          <w:i/>
          <w:iCs/>
          <w:color w:val="595959"/>
          <w:sz w:val="18"/>
          <w:szCs w:val="18"/>
        </w:rPr>
        <w:t xml:space="preserve">东方盛虹：2025年盈利1.34亿元 同比扭亏 _ 东方财富网 — https://finance.eastmoney.com/a/202604293724719879.html?utm_source=openai</w:t>
      </w:r>
    </w:p>
    <w:p>
      <w:pPr>
        <w:spacing w:after="200"/>
      </w:pPr>
      <w:r>
        <w:rPr>
          <w:i/>
          <w:iCs/>
          <w:color w:val="595959"/>
          <w:sz w:val="18"/>
          <w:szCs w:val="18"/>
        </w:rPr>
        <w:t xml:space="preserve">东方盛虹(000301) 盈利预测_F10_同花顺金融服务网 — https://basic.10jqka.com.cn/000301/worth.html</w:t>
      </w:r>
    </w:p>
    <w:p>
      <w:pPr>
        <w:spacing w:after="200"/>
      </w:pPr>
      <w:r>
        <w:rPr>
          <w:i/>
          <w:iCs/>
          <w:color w:val="595959"/>
          <w:sz w:val="18"/>
          <w:szCs w:val="18"/>
        </w:rPr>
        <w:t xml:space="preserve">东方盛虹(000301)：炼化景气修复 单季度盈利创新高__新浪财经_新浪网 — https://stock.finance.sina.com.cn/stock/go.php/vReport_Show/kind/search/rptid/841662297467/index.phtml</w:t>
      </w:r>
    </w:p>
    <w:p>
      <w:pPr>
        <w:spacing w:after="200"/>
      </w:pPr>
      <w:r>
        <w:rPr>
          <w:i/>
          <w:iCs/>
          <w:color w:val="595959"/>
          <w:sz w:val="18"/>
          <w:szCs w:val="18"/>
        </w:rPr>
        <w:t xml:space="preserve">东方盛虹(000301)：业绩符合预期 炼化景气明显修复 长丝新材料持续放量__新浪财经_新浪网 — https://stock.finance.sina.com.cn/stock/go.php/vReport_Show/kind/search/rptid/841605596457/index.phtml?utm_source=openai</w:t>
      </w:r>
    </w:p>
    <w:p>
      <w:pPr>
        <w:spacing w:after="200"/>
      </w:pPr>
      <w:r>
        <w:rPr>
          <w:i/>
          <w:iCs/>
          <w:color w:val="595959"/>
          <w:sz w:val="18"/>
          <w:szCs w:val="18"/>
        </w:rPr>
        <w:t xml:space="preserve">东方盛虹(000301)：炼油装置复产 芳烃景气度延续__新浪财经_新浪网 — https://stock.finance.sina.com.cn/stock/go.php/vReport_Show/kind/lastest/rptid/841390981246/index.phtml?utm_source=openai</w:t>
      </w:r>
    </w:p>
    <w:p>
      <w:pPr>
        <w:spacing w:after="200"/>
      </w:pPr>
      <w:r>
        <w:rPr>
          <w:i/>
          <w:iCs/>
          <w:color w:val="595959"/>
          <w:sz w:val="18"/>
          <w:szCs w:val="18"/>
        </w:rPr>
        <w:t xml:space="preserve">东方盛虹(000301)：二季度受益炼化与聚酯改善 装置检修已启动__新浪财经_新浪网 — https://stock.finance.sina.com.cn/stock/go.php/vReport_Show/kind/lastest/rptid/836649843356/index.phtml?utm_source=openai</w:t>
      </w:r>
    </w:p>
    <w:p>
      <w:pPr>
        <w:spacing w:after="200"/>
      </w:pPr>
      <w:r>
        <w:rPr>
          <w:i/>
          <w:iCs/>
          <w:color w:val="595959"/>
          <w:sz w:val="18"/>
          <w:szCs w:val="18"/>
        </w:rPr>
        <w:t xml:space="preserve">东方盛虹(000301)股票信息 - 数据平台 — https://data.agoer.com/cms/Index/detail?id=000301&amp;utm_source=openai</w:t>
      </w:r>
    </w:p>
    <w:p>
      <w:pPr>
        <w:spacing w:after="200"/>
      </w:pPr>
      <w:r>
        <w:rPr>
          <w:i/>
          <w:iCs/>
          <w:color w:val="595959"/>
          <w:sz w:val="18"/>
          <w:szCs w:val="18"/>
        </w:rPr>
        <w:t xml:space="preserve">东方盛虹(000301)市净率|估值|基本面 - 理杏仁 — https://www.lixinger.com/equity/company/detail/sz/000301/301/fundamental/valuation/pb</w:t>
      </w:r>
    </w:p>
    <w:p>
      <w:pPr>
        <w:spacing w:after="200"/>
      </w:pPr>
      <w:r>
        <w:rPr>
          <w:i/>
          <w:iCs/>
          <w:color w:val="595959"/>
          <w:sz w:val="18"/>
          <w:szCs w:val="18"/>
        </w:rPr>
        <w:t xml:space="preserve">本报告由AI基于公开渠道信息自动检索、整理并生成，信息截至 截至2026年9月11日收盘；技术指标主要采用截至2026年9月10日的日线数据，部分股东及机构持仓数据分别截至2026年3月31日和2026年6月30日，存在披露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2026-09-14T01:23:31.796Z</dcterms:created>
  <dcterms:modified xsi:type="dcterms:W3CDTF">2026-09-14T01:23:31.796Z</dcterms:modified>
</cp:coreProperties>
</file>

<file path=docProps/custom.xml><?xml version="1.0" encoding="utf-8"?>
<Properties xmlns="http://schemas.openxmlformats.org/officeDocument/2006/custom-properties" xmlns:vt="http://schemas.openxmlformats.org/officeDocument/2006/docPropsVTypes"/>
</file>