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600"/>
        <w:jc w:val="center"/>
      </w:pPr>
      <w:r>
        <w:rPr>
          <w:b/>
          <w:bCs/>
          <w:color w:val="1F4E79"/>
          <w:sz w:val="44"/>
          <w:szCs w:val="44"/>
        </w:rPr>
        <w:t xml:space="preserve">泸州老窖 (000568)</w:t>
      </w:r>
    </w:p>
    <w:p>
      <w:pPr>
        <w:spacing w:after="200" w:before="200"/>
        <w:jc w:val="center"/>
      </w:pPr>
      <w:r>
        <w:rPr>
          <w:b/>
          <w:bCs/>
          <w:color w:val="2E74B5"/>
          <w:sz w:val="34"/>
          <w:szCs w:val="34"/>
        </w:rPr>
        <w:t xml:space="preserve">个股分析报告</w:t>
      </w:r>
    </w:p>
    <w:p>
      <w:pPr>
        <w:spacing w:before="600"/>
        <w:jc w:val="center"/>
      </w:pPr>
      <w:r>
        <w:rPr>
          <w:color w:val="595959"/>
          <w:sz w:val="22"/>
          <w:szCs w:val="22"/>
        </w:rPr>
        <w:t xml:space="preserve">行业：白酒</w:t>
      </w:r>
    </w:p>
    <w:p>
      <w:pPr>
        <w:jc w:val="center"/>
      </w:pPr>
      <w:r>
        <w:rPr>
          <w:color w:val="595959"/>
          <w:sz w:val="22"/>
          <w:szCs w:val="22"/>
        </w:rPr>
        <w:t xml:space="preserve">报告日期：2026年10月20日</w:t>
      </w:r>
    </w:p>
    <w:p>
      <w:pPr>
        <w:jc w:val="center"/>
      </w:pPr>
      <w:r>
        <w:rPr>
          <w:color w:val="595959"/>
          <w:sz w:val="20"/>
          <w:szCs w:val="20"/>
        </w:rPr>
        <w:t xml:space="preserve">行情截至2026-10-19收盘</w:t>
      </w:r>
    </w:p>
    <w:p>
      <w:pPr>
        <w:spacing w:before="800"/>
        <w:jc w:val="center"/>
      </w:pPr>
      <w:r>
        <w:rPr>
          <w:i/>
          <w:iCs/>
          <w:color w:val="595959"/>
          <w:sz w:val="18"/>
          <w:szCs w:val="18"/>
        </w:rPr>
        <w:t xml:space="preserve">本报告基于公开信息由AI自动整理生成，仅供参考，不构成投资建议</w:t>
      </w:r>
    </w:p>
    <w:p>
      <w:r>
        <w:br w:type="page"/>
      </w:r>
    </w:p>
    <w:p>
      <w:pPr>
        <w:spacing w:after="160" w:line="300"/>
      </w:pPr>
      <w:r>
        <w:rPr>
          <w:b/>
          <w:bCs/>
          <w:color w:val="1F4E79"/>
          <w:sz w:val="22"/>
          <w:szCs w:val="22"/>
        </w:rPr>
        <w:t xml:space="preserve">核心结论：高端品牌壁垒仍在，但销量与库存恶化使低估值尚缺拐点验证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700"/>
      </w:tblGrid>
      <w:tr>
        <w:trPr>
          <w:tblHeader/>
        </w:trPr>
        <w:tc>
          <w:tcPr>
            <w:tcW w:type="dxa" w:w="3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关键数据</w:t>
            </w:r>
          </w:p>
        </w:tc>
        <w:tc>
          <w:tcPr>
            <w:tcW w:type="dxa" w:w="6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收盘价（当日涨跌幅）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72.64元（+0.97%）</w:t>
            </w:r>
          </w:p>
        </w:tc>
      </w:tr>
      <w:tr>
        <w:tc>
          <w:tcPr>
            <w:tcW w:type="dxa" w:w="3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总市值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约1069.19亿元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PE(TTM)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14.24倍</w:t>
            </w:r>
          </w:p>
        </w:tc>
      </w:tr>
      <w:tr>
        <w:tc>
          <w:tcPr>
            <w:tcW w:type="dxa" w:w="3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PB(MRQ)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2.34倍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52周区间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68.95～140.10元</w:t>
            </w:r>
          </w:p>
        </w:tc>
      </w:tr>
      <w:tr>
        <w:tc>
          <w:tcPr>
            <w:tcW w:type="dxa" w:w="3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成交额/换手率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4.80~12.92亿元 / 0.47%~1.24%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行情数据截至：2026-10-19收盘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一、投资要点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业绩下滑在2026年中报加速</w:t>
      </w:r>
      <w:r>
        <w:rPr>
          <w:sz w:val="22"/>
          <w:szCs w:val="22"/>
        </w:rPr>
        <w:t xml:space="preserve">：2026年上半年营收104.72亿元、归母净利43.39亿元，同比分别下降36.35%、43.37%；公司称销量减少，单季降幅进一步扩大。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渠道修复是盈利回升的关键</w:t>
      </w:r>
      <w:r>
        <w:rPr>
          <w:sz w:val="22"/>
          <w:szCs w:val="22"/>
        </w:rPr>
        <w:t xml:space="preserve">：2025年成品酒库存同比增加29.76%，销量下滑；增长取决于国窖1573等核心产品动销、价盘及高毛利产品结构能否企稳。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估值处于自身历史偏低位置</w:t>
      </w:r>
      <w:r>
        <w:rPr>
          <w:sz w:val="22"/>
          <w:szCs w:val="22"/>
        </w:rPr>
        <w:t xml:space="preserve">：10月19日收盘72.64元，PE-TTM 14.24倍（近5.2年32%分位）、PB 2.34倍（2%分位）；机构预计2026年净利下降27.67%。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市场预期与证据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市场在定价</w:t>
      </w:r>
      <w:r>
        <w:rPr>
          <w:sz w:val="22"/>
          <w:szCs w:val="22"/>
        </w:rPr>
        <w:t xml:space="preserve">：现价在8%年化回报、10年后15倍PE假设下隐含EPS年均增长7.4%；机构预期2026年净利下降27.67%、2027年增长7.4%，期限与指标不同，不能直接比较高低。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证据显示</w:t>
      </w:r>
      <w:r>
        <w:rPr>
          <w:sz w:val="22"/>
          <w:szCs w:val="22"/>
        </w:rPr>
        <w:t xml:space="preserve">：2026年中报延续大幅下滑，销量减少且库存上升，短期盈利压力与机构预期方向一致。低估值提供缓冲，但动销和价盘尚未显示修复，盈利拐点仍待验证。</w:t>
      </w:r>
    </w:p>
    <w:p>
      <w:pPr>
        <w:spacing w:after="160" w:line="300"/>
      </w:pPr>
      <w:r>
        <w:rPr>
          <w:b/>
          <w:bCs/>
          <w:color w:val="1F4E79"/>
          <w:sz w:val="22"/>
          <w:szCs w:val="22"/>
        </w:rPr>
        <w:t xml:space="preserve">证据倾向：证据不足；置信度：低（部分财务字段仍缺官方核验或披露日期、部分论据存在期间或口径冲突，已屏蔽相关判断）</w:t>
      </w:r>
    </w:p>
    <w:p>
      <w:pPr>
        <w:spacing w:after="160" w:line="300"/>
      </w:pPr>
      <w:r>
        <w:rPr>
          <w:sz w:val="22"/>
          <w:szCs w:val="22"/>
        </w:rPr>
        <w:t xml:space="preserve">部分论据期间或口径未一致，相关比较已撤回。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二、生意与竞争力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2.1 业务结构</w:t>
      </w:r>
    </w:p>
    <w:p>
      <w:pPr>
        <w:spacing w:after="160" w:line="300"/>
      </w:pPr>
      <w:r>
        <w:rPr>
          <w:sz w:val="22"/>
          <w:szCs w:val="22"/>
        </w:rPr>
        <w:t xml:space="preserve">研发、生产并销售白酒，以国窖1573、泸州老窖等系列面向经销商及线上渠道，依靠品牌与产品档次定价。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1400"/>
        <w:gridCol w:w="1300"/>
        <w:gridCol w:w="1400"/>
        <w:gridCol w:w="3800"/>
      </w:tblGrid>
      <w:tr>
        <w:trPr>
          <w:tblHeader/>
        </w:trPr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业务板块</w:t>
            </w:r>
          </w:p>
        </w:tc>
        <w:tc>
          <w:tcPr>
            <w:tcW w:type="dxa" w:w="1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收入占比</w:t>
            </w:r>
          </w:p>
        </w:tc>
        <w:tc>
          <w:tcPr>
            <w:tcW w:type="dxa" w:w="13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毛利率</w:t>
            </w:r>
          </w:p>
        </w:tc>
        <w:tc>
          <w:tcPr>
            <w:tcW w:type="dxa" w:w="1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收入增速</w:t>
            </w:r>
          </w:p>
        </w:tc>
        <w:tc>
          <w:tcPr>
            <w:tcW w:type="dxa" w:w="3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要点</w:t>
            </w:r>
          </w:p>
        </w:tc>
      </w:tr>
      <w:tr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中高档酒类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89.26%（2025年）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90.94%（2025年）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-16.74%（2025年收入同比）</w:t>
            </w:r>
          </w:p>
        </w:tc>
        <w:tc>
          <w:tcPr>
            <w:tcW w:type="dxa" w:w="3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收入与毛利核心，主要包括国窖1573、特曲、窖龄酒。</w:t>
            </w:r>
          </w:p>
        </w:tc>
      </w:tr>
      <w:tr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其他酒类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10.25%（2025年）</w:t>
            </w:r>
          </w:p>
        </w:tc>
        <w:tc>
          <w:tcPr>
            <w:tcW w:type="dxa" w:w="13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50.07%（2025年）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-23.93%（2025年收入同比）</w:t>
            </w:r>
          </w:p>
        </w:tc>
        <w:tc>
          <w:tcPr>
            <w:tcW w:type="dxa" w:w="3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主要包括头曲、黑盖、二曲，收入及毛利率低于中高档酒类。</w:t>
            </w:r>
          </w:p>
        </w:tc>
      </w:tr>
      <w:tr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其他收入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0.49%（2025年）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3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非主营业务核心。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2.2 竞争优势</w:t>
      </w:r>
    </w:p>
    <w:p>
      <w:pPr>
        <w:spacing w:after="160" w:line="300"/>
      </w:pPr>
      <w:r>
        <w:rPr>
          <w:b/>
          <w:bCs/>
          <w:color w:val="1F4E79"/>
          <w:sz w:val="22"/>
          <w:szCs w:val="22"/>
        </w:rPr>
        <w:t xml:space="preserve">竞争优势强度：中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品牌与产品结构：2025年中高档酒收入占89.26%，毛利率90.94%。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历史资源：1573国宝窖池群及百年以上窖池列入全国重点文物保护单位。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工艺积累：传统酿制技艺于2006年列入首批国家级非物质文化遗产名录。</w:t>
      </w:r>
    </w:p>
    <w:p>
      <w:pPr>
        <w:spacing w:after="160" w:line="300"/>
      </w:pPr>
      <w:r>
        <w:rPr>
          <w:sz w:val="22"/>
          <w:szCs w:val="22"/>
        </w:rPr>
        <w:t xml:space="preserve">主要威胁：高端及次高端需求转弱、渠道库存上升和同价位品牌竞争，可能压低动销、价盘与产品结构。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2.3 产业链位置与盈利趋势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主要原粮包括泸州糯红高粱、软质小麦；2025年酒类营业成本中原材料占78.53%，未细分粮食、包装及能源成本。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2025年前五大供应商采购额占34.73%，第一名占9.77%；原粮受市场供需影响，公司未显示具备控制采购价格的证据。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主要通过按产品线、区域授权经销销售，另有电商、自媒体等渠道；传统经销以先款后货为主，极少量信用交易。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白酒品牌商议价受品牌、终端动销、渠道利润及供需影响；2025年销量下降、库存上升，显示渠道承压。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2025年年报披露前五大客户占销售额74.71%、第一名占48.92%；客户名称匿名，反映财报销售客户集中度，不等同于终端消费者集中。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截至2025年末应收账款约644.8万元，约占全年收入0.025%；前五名余额603.78万元。公司以先款后货为主，成品白酒库存同比增29.76%。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800"/>
        <w:gridCol w:w="1800"/>
        <w:gridCol w:w="4800"/>
      </w:tblGrid>
      <w:tr>
        <w:trPr>
          <w:tblHeader/>
        </w:trPr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年度</w:t>
            </w:r>
          </w:p>
        </w:tc>
        <w:tc>
          <w:tcPr>
            <w:tcW w:type="dxa" w:w="1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毛利率</w:t>
            </w:r>
          </w:p>
        </w:tc>
        <w:tc>
          <w:tcPr>
            <w:tcW w:type="dxa" w:w="1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净利率</w:t>
            </w:r>
          </w:p>
        </w:tc>
        <w:tc>
          <w:tcPr>
            <w:tcW w:type="dxa" w:w="4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变动原因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2021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85.70%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约38.54%</w:t>
            </w:r>
          </w:p>
        </w:tc>
        <w:tc>
          <w:tcPr>
            <w:tcW w:type="dxa" w:w="4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中高档酒收入同比增29.22%，其他酒收入下降，产品结构提供支撑。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2022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86.59%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约41.26%</w:t>
            </w:r>
          </w:p>
        </w:tc>
        <w:tc>
          <w:tcPr>
            <w:tcW w:type="dxa" w:w="4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收入增21.71%、归母净利增30.29%，利润增速高于收入。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2023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88.30%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约43.81%</w:t>
            </w:r>
          </w:p>
        </w:tc>
        <w:tc>
          <w:tcPr>
            <w:tcW w:type="dxa" w:w="4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收入增20.34%、归母净利增27.79%，盈利能力继续提升。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2024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87.54%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约43.19%</w:t>
            </w:r>
          </w:p>
        </w:tc>
        <w:tc>
          <w:tcPr>
            <w:tcW w:type="dxa" w:w="4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收入与利润增速放缓，毛利率和归母净利率回落。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86.62%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约42.09%</w:t>
            </w:r>
          </w:p>
        </w:tc>
        <w:tc>
          <w:tcPr>
            <w:tcW w:type="dxa" w:w="4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收入收缩、库存增加；中高档及其他酒毛利率分别下降0.91和3.89个百分点。</w:t>
            </w:r>
          </w:p>
        </w:tc>
      </w:tr>
    </w:tbl>
    <w:p>
      <w:pPr>
        <w:spacing w:before="200"/>
      </w:pPr>
    </w:p>
    <w:p>
      <w:pPr>
        <w:spacing w:after="160" w:line="300"/>
      </w:pPr>
      <w:r>
        <w:rPr>
          <w:sz w:val="22"/>
          <w:szCs w:val="22"/>
        </w:rPr>
        <w:t xml:space="preserve">公司位于下游品牌酒企的高毛利端，2025年中高档酒收入占89.26%、毛利率90.94%。利润率进一步改善取决于核心产品动销、渠道库存与价盘恢复及高毛利产品结构稳定，而非单靠扩产。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2.4 行业与同行对比</w:t>
      </w:r>
    </w:p>
    <w:p>
      <w:pPr>
        <w:spacing w:after="160" w:line="300"/>
      </w:pPr>
      <w:r>
        <w:rPr>
          <w:sz w:val="22"/>
          <w:szCs w:val="22"/>
        </w:rPr>
        <w:t xml:space="preserve">白酒行业处于调整阶段，需求收缩与渠道库存压力影响头部品牌经营；泸州老窖2025年收入下滑、库存增加，核心看点是高端产品动销和渠道价盘修复。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2300"/>
        <w:gridCol w:w="2600"/>
        <w:gridCol w:w="2900"/>
      </w:tblGrid>
      <w:tr>
        <w:trPr>
          <w:tblHeader/>
        </w:trPr>
        <w:tc>
          <w:tcPr>
            <w:tcW w:type="dxa" w:w="2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公司</w:t>
            </w:r>
          </w:p>
        </w:tc>
        <w:tc>
          <w:tcPr>
            <w:tcW w:type="dxa" w:w="23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定位</w:t>
            </w:r>
          </w:p>
        </w:tc>
        <w:tc>
          <w:tcPr>
            <w:tcW w:type="dxa" w:w="2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可比数据</w:t>
            </w:r>
          </w:p>
        </w:tc>
        <w:tc>
          <w:tcPr>
            <w:tcW w:type="dxa" w:w="2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与本公司差异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贵州茅台（600519）</w:t>
            </w:r>
          </w:p>
        </w:tc>
        <w:tc>
          <w:tcPr>
            <w:tcW w:type="dxa" w:w="2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超高端白酒，品牌稀缺性强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2025收入约1,688.38亿元；酒类毛利率91.23%；PE(TTM) 20.34倍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规模与品牌稀缺性更强，是高端价位参照，并非完全同档竞品。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五粮液（000858）</w:t>
            </w:r>
          </w:p>
        </w:tc>
        <w:tc>
          <w:tcPr>
            <w:tcW w:type="dxa" w:w="23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高端白酒，全国化品牌</w:t>
            </w:r>
          </w:p>
        </w:tc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2025收入405.29亿元；酒类毛利率83.75%；PE(TTM) 21.6倍</w:t>
            </w:r>
          </w:p>
        </w:tc>
        <w:tc>
          <w:tcPr>
            <w:tcW w:type="dxa" w:w="2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高端五粮液是国窖1573的重要竞品；2025年利润大幅下滑，PE受单年利润影响。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山西汾酒（600809）</w:t>
            </w:r>
          </w:p>
        </w:tc>
        <w:tc>
          <w:tcPr>
            <w:tcW w:type="dxa" w:w="2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清香型白酒，全国化拓展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2025收入约385.93亿元；食品制造业毛利率74.95%；PE(TTM) 14.26倍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清香型品牌与中高端产品矩阵构成全国化竞争对照。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古井贡酒（000596）</w:t>
            </w:r>
          </w:p>
        </w:tc>
        <w:tc>
          <w:tcPr>
            <w:tcW w:type="dxa" w:w="23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浓香型白酒，区域与次高端布局</w:t>
            </w:r>
          </w:p>
        </w:tc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2025收入188.32亿元；白酒毛利率79.46%；PE(TTM) 22.93倍</w:t>
            </w:r>
          </w:p>
        </w:tc>
        <w:tc>
          <w:tcPr>
            <w:tcW w:type="dxa" w:w="2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年份原浆在次高端及区域市场与公司部分产品竞争。</w:t>
            </w:r>
          </w:p>
        </w:tc>
      </w:tr>
    </w:tbl>
    <w:p>
      <w:pPr>
        <w:spacing w:before="200"/>
      </w:pPr>
    </w:p>
    <w:p>
      <w:pPr>
        <w:spacing w:after="160" w:line="300"/>
      </w:pPr>
      <w:r>
        <w:rPr>
          <w:sz w:val="22"/>
          <w:szCs w:val="22"/>
        </w:rPr>
        <w:t xml:space="preserve">泸州老窖的优势是中高档酒占比高、产品毛利率突出，并具备老窖池与传统酿造资源；短板是2025年收入、销量下滑且库存上升，品牌资源尚未隔绝行业周期和渠道压力。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三、财务质量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3.1 经营业绩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600"/>
        <w:gridCol w:w="1100"/>
        <w:gridCol w:w="1600"/>
        <w:gridCol w:w="1100"/>
        <w:gridCol w:w="1400"/>
        <w:gridCol w:w="1600"/>
      </w:tblGrid>
      <w:tr>
        <w:trPr>
          <w:tblHeader/>
        </w:trPr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报告期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营业收入</w:t>
            </w:r>
          </w:p>
        </w:tc>
        <w:tc>
          <w:tcPr>
            <w:tcW w:type="dxa" w:w="1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同比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归母净利润</w:t>
            </w:r>
          </w:p>
        </w:tc>
        <w:tc>
          <w:tcPr>
            <w:tcW w:type="dxa" w:w="1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同比</w:t>
            </w:r>
          </w:p>
        </w:tc>
        <w:tc>
          <w:tcPr>
            <w:tcW w:type="dxa" w:w="1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扣非同比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毛利率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2026年中报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104.72亿元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-36.35%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43.39亿元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-43.37%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-43.90%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85.35%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2025年报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257.31亿元人民币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-17.52%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108.31亿元人民币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-19.61%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-19.70%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86.62%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2024年报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311.96亿元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+3.19%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134.73亿元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+1.71%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+1.89%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87.54%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营业收入与归母净利润按同期间官方报表及明确币种列示；调整后盈利与法定利润分别比较。表中营业收入、归母净利润共6项，6项与发行人定期报告原文逐项比对一致。同比增速按原文本期、上期数推算了6项，6项与表中一致。</w:t>
      </w:r>
    </w:p>
    <w:p>
      <w:pPr>
        <w:spacing w:after="160" w:line="300"/>
      </w:pPr>
      <w:r>
        <w:rPr>
          <w:sz w:val="22"/>
          <w:szCs w:val="22"/>
        </w:rPr>
        <w:t xml:space="preserve">业绩下滑主要由产品销量减少驱动，2026年中报所在单季降幅进一步扩大；扣非与归母净利润同步下滑，非经常损益影响有限。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3.2 财务健康检查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000"/>
        <w:gridCol w:w="1100"/>
        <w:gridCol w:w="4400"/>
      </w:tblGrid>
      <w:tr>
        <w:trPr>
          <w:tblHeader/>
        </w:trPr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  <w:tc>
          <w:tcPr>
            <w:tcW w:type="dxa" w:w="1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判断</w:t>
            </w:r>
          </w:p>
        </w:tc>
        <w:tc>
          <w:tcPr>
            <w:tcW w:type="dxa" w:w="4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说明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加权ROE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8.62%（2026年中报）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关注</w:t>
            </w:r>
          </w:p>
        </w:tc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较2025年报22.66%明显回落，反映盈利能力承压。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资产负债率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28.67%（2026年中报）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良好</w:t>
            </w:r>
          </w:p>
        </w:tc>
        <w:tc>
          <w:tcPr>
            <w:tcW w:type="dxa" w:w="4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负债率较低，资产负债表整体稳健。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经营现金流净额/净利润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0.48（2026年中报）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关注</w:t>
            </w:r>
          </w:p>
        </w:tc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低于2025年报的0.66，现金回款转化偏弱。</w:t>
            </w:r>
          </w:p>
        </w:tc>
      </w:tr>
    </w:tbl>
    <w:p>
      <w:pPr>
        <w:spacing w:before="200"/>
      </w:pP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四、估值与市场预期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4.1 估值水平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2000"/>
        <w:gridCol w:w="2900"/>
        <w:gridCol w:w="2800"/>
      </w:tblGrid>
      <w:tr>
        <w:trPr>
          <w:tblHeader/>
        </w:trPr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当前</w:t>
            </w:r>
          </w:p>
        </w:tc>
        <w:tc>
          <w:tcPr>
            <w:tcW w:type="dxa" w:w="2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自身历史</w:t>
            </w:r>
          </w:p>
        </w:tc>
        <w:tc>
          <w:tcPr>
            <w:tcW w:type="dxa" w:w="2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同行对比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PE(TTM)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14.24倍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近5.2年32%分位（中位数20.19倍）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中位数20.97倍（贵州茅台20.34、五粮液21.60、山西汾酒14.26、古井贡酒22.93）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PB(MRQ)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2.34倍</w:t>
            </w:r>
          </w:p>
        </w:tc>
        <w:tc>
          <w:tcPr>
            <w:tcW w:type="dxa" w:w="2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近5.2年2%分位（中位数6.1倍）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中位数3.10倍（贵州茅台6.59、五粮液2.39、山西汾酒3.81、古井贡酒1.89）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PS(TTM)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5.41倍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近5.2年14%分位（中位数8.78倍）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中位数5.14倍（贵州茅台9.56、五粮液6.22、山西汾酒4.06、古井贡酒3.12）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股息率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8.09%</w:t>
            </w:r>
          </w:p>
        </w:tc>
        <w:tc>
          <w:tcPr>
            <w:tcW w:type="dxa" w:w="2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估值倍数由程序按2026-10-19收盘数据计算（滚动十二个月口径）；同行倍数按2026-10-19收盘数据同口径计算</w:t>
      </w:r>
    </w:p>
    <w:p>
      <w:pPr>
        <w:spacing w:after="160" w:line="300"/>
      </w:pPr>
      <w:r>
        <w:rPr>
          <w:sz w:val="22"/>
          <w:szCs w:val="22"/>
        </w:rPr>
        <w:t xml:space="preserve">市场隐含预期：以当前14.24倍市盈率计，若投资者要求年化8%的回报、10年后按15倍市盈率估值，每股收益需年均增长约7.4%（不计分红，偏保守），短期机构净利润预测与该长期每股收益增速的期限及口径不同，不能直接比较高低。</w:t>
      </w:r>
    </w:p>
    <w:p>
      <w:pPr>
        <w:spacing w:after="160" w:line="300"/>
      </w:pPr>
      <w:r>
        <w:rPr>
          <w:sz w:val="22"/>
          <w:szCs w:val="22"/>
        </w:rPr>
        <w:t xml:space="preserve">现价在给定回报及退出PE假设下隐含10年EPS年均增长7.4%，与机构短期净利润预测的期限及指标不同，不能直接比较高低。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4.2 一致预期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2400"/>
        <w:gridCol w:w="2200"/>
        <w:gridCol w:w="1900"/>
        <w:gridCol w:w="1900"/>
      </w:tblGrid>
      <w:tr>
        <w:trPr>
          <w:tblHeader/>
        </w:trPr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年度</w:t>
            </w:r>
          </w:p>
        </w:tc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营业收入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归母净利润</w:t>
            </w:r>
          </w:p>
        </w:tc>
        <w:tc>
          <w:tcPr>
            <w:tcW w:type="dxa" w:w="1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净利润增速</w:t>
            </w:r>
          </w:p>
        </w:tc>
        <w:tc>
          <w:tcPr>
            <w:tcW w:type="dxa" w:w="1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每股收益(EPS)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2026E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197.64亿元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78.34亿元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-27.7%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5.32元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2027E</w:t>
            </w:r>
          </w:p>
        </w:tc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208.98亿元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84.17亿元</w:t>
            </w:r>
          </w:p>
        </w:tc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+7.4%</w:t>
            </w:r>
          </w:p>
        </w:tc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5.72元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2028E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225.91亿元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92.31亿元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+9.7%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6.27元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东方财富近六个月研报汇总，截至2026-10-20。可见机构研报明细，评级人数另计：2026E净利润21家、EPS21家；2027E净利润21家、EPS21家；2028E净利润20家、EPS20家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4.3 机构观点</w:t>
      </w:r>
    </w:p>
    <w:p>
      <w:pPr>
        <w:spacing w:after="160" w:line="300"/>
      </w:pPr>
      <w:r>
        <w:rPr>
          <w:sz w:val="22"/>
          <w:szCs w:val="22"/>
        </w:rPr>
        <w:t xml:space="preserve">8家覆盖，均值111.08元，区间86.02–122.5元；最新为东方证券2026-08-30的86.02元。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1600"/>
        <w:gridCol w:w="2000"/>
        <w:gridCol w:w="3900"/>
      </w:tblGrid>
      <w:tr>
        <w:trPr>
          <w:tblHeader/>
        </w:trPr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机构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评级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日期</w:t>
            </w:r>
          </w:p>
        </w:tc>
        <w:tc>
          <w:tcPr>
            <w:tcW w:type="dxa" w:w="3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备注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东方证券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买入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2026-08-30</w:t>
            </w:r>
          </w:p>
        </w:tc>
        <w:tc>
          <w:tcPr>
            <w:tcW w:type="dxa" w:w="3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目标价86.02元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华泰证券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买入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2026-08-28</w:t>
            </w:r>
          </w:p>
        </w:tc>
        <w:tc>
          <w:tcPr>
            <w:tcW w:type="dxa" w:w="3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目标价100.2元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华创证券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强推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2026-08-26</w:t>
            </w:r>
          </w:p>
        </w:tc>
        <w:tc>
          <w:tcPr>
            <w:tcW w:type="dxa" w:w="3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目标价122.3元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国泰海通证券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增持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2026-08-26</w:t>
            </w:r>
          </w:p>
        </w:tc>
        <w:tc>
          <w:tcPr>
            <w:tcW w:type="dxa" w:w="3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目标价112.77元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中金公司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跑赢行业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2026-08-26</w:t>
            </w:r>
          </w:p>
        </w:tc>
        <w:tc>
          <w:tcPr>
            <w:tcW w:type="dxa" w:w="3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目标价113.3元</w:t>
            </w:r>
          </w:p>
        </w:tc>
      </w:tr>
    </w:tbl>
    <w:p>
      <w:pPr>
        <w:spacing w:before="200"/>
      </w:pP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五、催化剂与近期事件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5.1 未来关键节点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000"/>
        <w:gridCol w:w="4700"/>
      </w:tblGrid>
      <w:tr>
        <w:trPr>
          <w:tblHeader/>
        </w:trPr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时间</w:t>
            </w:r>
          </w:p>
        </w:tc>
        <w:tc>
          <w:tcPr>
            <w:tcW w:type="dxa" w:w="3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事件</w:t>
            </w:r>
          </w:p>
        </w:tc>
        <w:tc>
          <w:tcPr>
            <w:tcW w:type="dxa" w:w="4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看点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2026-10-30（交易所预约；公司互动易称预计10-27）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2026年三季报披露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关注业绩降幅及环比变化；券商单家预测归母净利同比下降约45%—50%，不代表一致预期。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2026年10—11月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双十一价格与渠道观察窗口</w:t>
            </w:r>
          </w:p>
        </w:tc>
        <w:tc>
          <w:tcPr>
            <w:tcW w:type="dxa" w:w="4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跟踪国窖1573线上价格体系、渠道库存和动销变化，判断促销是否加大价格压力。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5.2 近期重要事件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2026-08-26 半年报显示业绩明显承压（利空）</w:t>
      </w:r>
      <w:r>
        <w:rPr>
          <w:sz w:val="22"/>
          <w:szCs w:val="22"/>
        </w:rPr>
        <w:t xml:space="preserve">：上半年营收104.72亿元、归母净利43.39亿元，同比分别下降36.35%、43.37%；二季度降幅扩大，公司同时明确不进行2026年中期分红。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2026-08-28 2025年度末期分红实施（利好）</w:t>
      </w:r>
      <w:r>
        <w:rPr>
          <w:sz w:val="22"/>
          <w:szCs w:val="22"/>
        </w:rPr>
        <w:t xml:space="preserve">：每10股派44.171215元（含税），合计约65.02亿元，8月28日除权除息并派息。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六、多空分歧与风险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6.1 看多理由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中高档酒占2025年收入89.26%、毛利率90.94%；核心产品若恢复动销，高毛利结构有望支撑利润弹性。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PE、PB、PS分别处近5.2年32%、2%、14%分位，近12个月股息率8.09%，估值与回报具备缓冲。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1573国宝窖池群及传统酿制技艺的历史资源构成品牌差异化基础，长期竞争力尚未被行业调整抹去。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6.2 看空理由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2025年中高档酒与其他酒收入分别下降16.74%、23.93%，核心及次高端产品均承压。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2026年机构一致预期净利下降27.67%；中报加权ROE为8.62%，盈利能力仍在下行。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年末成品酒库存同比增加29.76%，若动销未改善，去库存或继续压制渠道价盘与产品结构。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6.3 其他风险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销售客户集中度高：前五大客户占销售额74.71%、第一名占48.92%；主要客户采购变化可能放大收入波动。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原材料占酒类营业成本78.53%，前五大供应商采购占34.73%；原粮成本上涨或供应扰动可能挤压毛利。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七、跟踪清单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2200"/>
        <w:gridCol w:w="2800"/>
        <w:gridCol w:w="2800"/>
      </w:tblGrid>
      <w:tr>
        <w:trPr>
          <w:tblHeader/>
        </w:trPr>
        <w:tc>
          <w:tcPr>
            <w:tcW w:type="dxa" w:w="2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跟踪指标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当前</w:t>
            </w:r>
          </w:p>
        </w:tc>
        <w:tc>
          <w:tcPr>
            <w:tcW w:type="dxa" w:w="2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验证看多</w:t>
            </w:r>
          </w:p>
        </w:tc>
        <w:tc>
          <w:tcPr>
            <w:tcW w:type="dxa" w:w="2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验证看空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三季报业绩降幅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中报营收、净利仍大幅负增长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三季度同比降幅较中报收窄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三季度降幅持平或进一步扩大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成品酒库存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2025年末同比增加29.76%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库存同比增幅明显收窄或转降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库存继续同比扩大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核心产品价盘与动销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2026年10—11月为观察窗口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国窖1573价格稳定、动销改善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促销加深、价格走弱或动销转差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经营现金转化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中报经营现金流净额/净利为0.48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回升至2025年报的0.66以上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低于0.48或继续下行</w:t>
            </w:r>
          </w:p>
        </w:tc>
      </w:tr>
    </w:tbl>
    <w:p>
      <w:pPr>
        <w:spacing w:before="200"/>
      </w:pP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八、股价与短线展望（未来一周，情景推演，仅供参考）</w:t>
      </w:r>
    </w:p>
    <w:p>
      <w:pPr>
        <w:spacing w:after="160"/>
      </w:pPr>
      <w:r>
        <w:rPr>
          <w:b/>
          <w:bCs/>
          <w:color w:val="9C5700"/>
          <w:sz w:val="20"/>
          <w:szCs w:val="20"/>
        </w:rPr>
        <w:t xml:space="preserve">⚠️风险提示：以下为技术情景推演，权重属主观判断、非统计概率。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8.1 技术面概况</w:t>
      </w:r>
    </w:p>
    <w:p>
      <w:pPr>
        <w:spacing w:after="160" w:line="300"/>
      </w:pPr>
      <w:r>
        <w:rPr>
          <w:sz w:val="22"/>
          <w:szCs w:val="22"/>
        </w:rPr>
        <w:t xml:space="preserve">股价重回短期均线簇上方，MACD柱值扩大，但仍低于MA60；上半年业绩下滑及三季报临近，使上方压力与消息扰动并存。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3000"/>
        <w:gridCol w:w="4500"/>
      </w:tblGrid>
      <w:tr>
        <w:trPr>
          <w:tblHeader/>
        </w:trPr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3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  <w:tc>
          <w:tcPr>
            <w:tcW w:type="dxa" w:w="4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解读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MA5/MA10/MA20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MA5 71.33 / MA10 71.44 / MA20 71.61</w:t>
            </w:r>
          </w:p>
        </w:tc>
        <w:tc>
          <w:tcPr>
            <w:tcW w:type="dxa" w:w="4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短期均线聚集，构成近端支撑区。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MA60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MA60 78.04</w:t>
            </w:r>
          </w:p>
        </w:tc>
        <w:tc>
          <w:tcPr>
            <w:tcW w:type="dxa" w:w="4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股价仍低于中期均线，反弹上方有压力。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布林带上轨/中轨/下轨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上轨 73.63 / 中轨 71.61 / 下轨 69.58</w:t>
            </w:r>
          </w:p>
        </w:tc>
        <w:tc>
          <w:tcPr>
            <w:tcW w:type="dxa" w:w="4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收盘位于中轨上方，靠近上轨。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MACD DIF/DEA/柱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DIF -1.366 / DEA -1.788 / 柱 0.844</w:t>
            </w:r>
          </w:p>
        </w:tc>
        <w:tc>
          <w:tcPr>
            <w:tcW w:type="dxa" w:w="4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柱值较前一日扩大，短线动能有所修复。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RSI6/RSI14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RSI6 61.3 / RSI14 47.7</w:t>
            </w:r>
          </w:p>
        </w:tc>
        <w:tc>
          <w:tcPr>
            <w:tcW w:type="dxa" w:w="4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短周期偏强，较长周期仍处中性区间。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8.2 关键价位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2200"/>
        <w:gridCol w:w="5900"/>
      </w:tblGrid>
      <w:tr>
        <w:trPr>
          <w:tblHeader/>
        </w:trPr>
        <w:tc>
          <w:tcPr>
            <w:tcW w:type="dxa" w:w="1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位置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区间</w:t>
            </w:r>
          </w:p>
        </w:tc>
        <w:tc>
          <w:tcPr>
            <w:tcW w:type="dxa" w:w="5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说明</w:t>
            </w:r>
          </w:p>
        </w:tc>
      </w:tr>
      <w:tr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短期压力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73.6~74.4元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对应布林上轨及近20日高点；有效突破后可看向MA60附近。</w:t>
            </w:r>
          </w:p>
        </w:tc>
      </w:tr>
      <w:tr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第一支撑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71.3~71.6元</w:t>
            </w:r>
          </w:p>
        </w:tc>
        <w:tc>
          <w:tcPr>
            <w:tcW w:type="dxa" w:w="5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对应MA5/10/20簇及布林中轨；失守将增加回测下轨概率。</w:t>
            </w:r>
          </w:p>
        </w:tc>
      </w:tr>
      <w:tr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强支撑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68.95~69.6元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对应布林下轨、近20日低点及52周低点附近；跌破68.95元将下探新低。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8.3 按历史波动率测算的一周区间</w:t>
      </w:r>
    </w:p>
    <w:p>
      <w:pPr>
        <w:spacing w:after="160" w:line="300"/>
      </w:pPr>
      <w:r>
        <w:rPr>
          <w:sz w:val="22"/>
          <w:szCs w:val="22"/>
        </w:rPr>
        <w:t xml:space="preserve">以2026-10-19价格72.64元为基准，用近300个交易日的收益分布（按当前指数加权日波动率约1.7%缩放，保留这只股票自身的大涨大跌频率）推算未来5个交易日的收盘价范围：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700"/>
        <w:gridCol w:w="4000"/>
      </w:tblGrid>
      <w:tr>
        <w:trPr>
          <w:tblHeader/>
        </w:trPr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覆盖概率</w:t>
            </w:r>
          </w:p>
        </w:tc>
        <w:tc>
          <w:tcPr>
            <w:tcW w:type="dxa" w:w="3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价格区间</w:t>
            </w:r>
          </w:p>
        </w:tc>
        <w:tc>
          <w:tcPr>
            <w:tcW w:type="dxa" w:w="4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相对基准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约68%</w:t>
            </w:r>
          </w:p>
        </w:tc>
        <w:tc>
          <w:tcPr>
            <w:tcW w:type="dxa" w:w="3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69.66～74.01元</w:t>
            </w:r>
          </w:p>
        </w:tc>
        <w:tc>
          <w:tcPr>
            <w:tcW w:type="dxa" w:w="4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-4.1%～+1.9%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约95%</w:t>
            </w:r>
          </w:p>
        </w:tc>
        <w:tc>
          <w:tcPr>
            <w:tcW w:type="dxa" w:w="3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67.36～80.92元</w:t>
            </w:r>
          </w:p>
        </w:tc>
        <w:tc>
          <w:tcPr>
            <w:tcW w:type="dxa" w:w="4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-7.3%～+11.4%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该区间只反映这只股票近期的波动幅度，不含涨跌方向判断；遇到重大公告或大盘急跌，实际走势仍可能超出区间。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8.4 未来一周情景（主观权重，非统计概率）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震荡整理（相对权重较高，约五成）</w:t>
      </w:r>
      <w:r>
        <w:rPr>
          <w:sz w:val="22"/>
          <w:szCs w:val="22"/>
        </w:rPr>
        <w:t xml:space="preserve">：71.3~74.4元；守住均线簇、未能有效突破近20日高点时，区间整理概率较高。按历史波动率测算，一周后收盘落在该区间的概率约45%。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偏弱下行（权重中等，约三成）</w:t>
      </w:r>
      <w:r>
        <w:rPr>
          <w:sz w:val="22"/>
          <w:szCs w:val="22"/>
        </w:rPr>
        <w:t xml:space="preserve">：68.95~71.3元；若放量跌破71.3元支撑，或业绩与渠道信息加剧压力，关注下轨及前低。按历史波动率测算，一周后收盘落在该区间的概率约30%。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反弹走强（权重偏低，约两成）</w:t>
      </w:r>
      <w:r>
        <w:rPr>
          <w:sz w:val="22"/>
          <w:szCs w:val="22"/>
        </w:rPr>
        <w:t xml:space="preserve">：74.4~78.04元；有效突破近20日高点且成交放大，才有望进一步测试MA60。按历史波动率测算，一周后收盘落在该区间的概率约10%。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括号内是主观权重；句末的概率由上面的波动率区间反推，只反映波动幅度、不含方向判断。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8.5 资金与流动性</w:t>
      </w:r>
    </w:p>
    <w:p>
      <w:pPr>
        <w:spacing w:after="160" w:line="300"/>
      </w:pPr>
      <w:r>
        <w:rPr>
          <w:sz w:val="22"/>
          <w:szCs w:val="22"/>
        </w:rPr>
        <w:t xml:space="preserve">近10个交易日（截至2026-10-19）日成交额4.80~12.92亿元、换手率0.47%~1.24%。截至2026-06-30，前十大流通股东合计持股64.33%，前两大股东合计50.95%；其中有公募基金、保险及其他机构持仓。股东披露存在滞后，结构可能已变化；较低换手下大额交易可能影响成交价格。</w:t>
      </w:r>
    </w:p>
    <w:p>
      <w:pPr>
        <w:spacing w:after="160" w:line="300"/>
      </w:pPr>
      <w:r>
        <w:rPr>
          <w:sz w:val="22"/>
          <w:szCs w:val="22"/>
        </w:rPr>
        <w:t xml:space="preserve">若单日成交额超过近10日上沿12.92亿元且股价突破74.4元，可视为量价确认信号。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以上情景推演基于2026-10-19收盘数据及历史价格、技术指标测算，短期股价还会受消息面、资金面、大盘环境等多重因素扰动，技术指标本身存在滞后性和局限性，不构成对未来实际走势的保证，也不构成买卖建议，请结合最新市场信息独立判断并自行承担投资风险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数据来源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泸州老窖(000568)_公司公告_泸州老窖：2025年年度报告新浪财经_新浪网 — https://vip.stock.finance.sina.com.cn/corp/view/vCB_AllBulletinDetail.php?id=12261746&amp;stockid=000568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泸州老窖股份有限公司 2025 年年度报告全文 — https://static.cninfo.com.cn/finalpage/2026-04-29/1225240660.PDF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泸州老窖(000568)_公司公告_泸州老窖：2023年年度报告新浪财经_新浪网 — https://money.finance.sina.com.cn/corp/view/vCB_AllBulletinDetail.php?id=10132662&amp;stockid=000568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贵州茅台酒股份有限公司2025 年年度报告 — https://big5.sse.com.cn/site/cht/www.sse.com.cn/disclosure/listedinfo/announcement/c/new/2026-04-17/600519_20260417_9QS4.pdf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disc.static.szse.cn（公告PDF） — https://disc.static.szse.cn/disc/disk03/finalpage/2026-04-30/7b179575-3e07-4607-8d7e-d1bb9c4c8786.PDF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山西汾酒(600809)_公司公告_山西汾酒：2025年年度报告新浪财经_新浪网 — https://money.finance.sina.com.cn/corp/view/vCB_AllBulletinDetail.php?id=12153884&amp;stockid=600809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古井贡酒(000596)_公司公告_古井贡酒：2025年年度报告新浪财经_新浪网 — https://money.finance.sina.com.cn/corp/view/vCB_AllBulletinDetail.php?id=12258306&amp;stockid=000596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2026年半年度报告 — https://static.cninfo.com.cn/finalpage/2026-08-26/1225501255.PDF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2024年年度报告 — https://static.cninfo.com.cn/finalpage/2025-04-28/1223350383.pdf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2023年年度报告 — https://static.cninfo.com.cn/finalpage/2024-04-27/1219872991.PDF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腾讯财经行情（2026-10-20） — https://gu.qq.com/sz000568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东方财富F10 合并资产负债表（2026中报） — https://emweb.securities.eastmoney.com/pc_hsf10/pages/index.html?type=web&amp;code=SZ000568#/cwfx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东方财富 F10 盈利预测 — https://emweb.securities.eastmoney.com/pc_hsf10/pages/index.html?type=web&amp;code=SZ000568#/ylyc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泸州老窖:2026年半年度报告 — https://pdf.dfcfw.com/pdf/H2_AN202608250006748803_1.pdf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泸州老窖：公司目前资金充裕，具备落实三年分红规划的财务基础 — http://stock.10jqka.com.cn/20261019/c680824359.shtml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泸州老窖：公司目前资金充裕，具备落实三年分红规划的财务基础-证券之星 — https://4g.stockstar.com/detail/RB2026101900010791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泸州老窖：公司已制定《2024-2026年度股东分红回报规划》，资金充裕 — https://finance.jrj.com.cn/2026/10/19113358769548.shtml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泸州老窖(000568) — https://data.eastmoney.com/stockcalendar/000568.html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泸州老窖(000568) - 全景图 — https://data.eastmoney.com/stockcalendar/000568.html#1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泸州老窖成为NBA中国官方市场合作伙伴；国庆泸州音乐节带动酒类销售8500万元；仁怀上半年办理白酒侵权假冒行政处罚案件41件丨酒业家日报 — https://jiuyejia.com/news/163176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泸州老窖：公司目前资金充裕，具备落实三年分红规划的财务基础 — https://www.163.com/dy/article/L9JQ0549051984TV.html?spss=dy_author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泸州老窖(000568)最新公司公告查询|查股网 - gubit.cn-股比特.中国 — http://www.ddx.gubit.cn/mango/notice/000568.html#1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东方财富 个股资金流向 — https://data.eastmoney.com/zjlx/000568.html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东方财富 股东研究 — https://emweb.securities.eastmoney.com/pc_hsf10/pages/index.html?type=web&amp;code=SZ000568#/gdyj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本报告由AI基于公开渠道信息自动检索、整理并生成，信息截至 2026-10-19收盘，可能存在时效性差异，具体数据请以公司正式公告及权威数据终端为准。本报告仅为信息整理与研究参考，不构成任何投资建议，投资者应独立判断并自行承担投资风险。</w:t>
      </w:r>
    </w:p>
    <w:sectPr>
      <w:pgSz w:w="11907" w:h="16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4" w:hanging="288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qFormat/>
    <w:rPr>
      <w:rFonts w:ascii="Microsoft YaHei" w:cs="Microsoft YaHei" w:eastAsia="Microsoft YaHei" w:hAnsi="Microsoft YaHei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2026-10-20T02:49:24.301Z</dcterms:created>
  <dcterms:modified xsi:type="dcterms:W3CDTF">2026-10-20T02:49:24.301Z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