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常柴股份有限公司（苏常柴A） (000570)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行业：内燃机及配件制造</w:t>
      </w:r>
    </w:p>
    <w:p>
      <w:pPr>
        <w:jc w:val="center"/>
      </w:pPr>
      <w:r>
        <w:rPr>
          <w:color w:val="595959"/>
          <w:sz w:val="22"/>
          <w:szCs w:val="22"/>
        </w:rPr>
        <w:t xml:space="preserve">报告日期：2026年9月13日</w:t>
      </w:r>
    </w:p>
    <w:p>
      <w:pPr>
        <w:jc w:val="center"/>
      </w:pPr>
      <w:r>
        <w:rPr>
          <w:color w:val="595959"/>
          <w:sz w:val="20"/>
          <w:szCs w:val="20"/>
        </w:rPr>
        <w:t xml:space="preserve">截至2026年9月11日收盘；股东及机构持仓数据截至2026年6月30日，资金流向数据主要截至2026年9月4日，部分历史技术指标为独立估算值</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苏常柴A主营中小功率、非道路柴油机，2025年实现营业收入24.76亿元，同比增长2.50%；2026年上半年收入16.70亿元，同比增长6.96%，归母净利润1.05亿元，同比增长43.09%，扣非归母净利润8524.8万元，同比增长51.42%。不过，2026年上半年经营活动现金流量净额为-1.35亿元，且利润增长仍受到出售部分股票、江苏银行分红及现金管理收益等非主营因素贡献，盈利改善的现金兑现质量仍需观察。</w:t>
      </w:r>
    </w:p>
    <w:p>
      <w:pPr>
        <w:spacing w:after="160" w:line="300"/>
      </w:pPr>
      <w:r>
        <w:rPr>
          <w:sz w:val="22"/>
          <w:szCs w:val="22"/>
        </w:rPr>
        <w:t xml:space="preserve">公司收入高度依赖柴油机业务，2025年柴油机收入22.84亿元，占营业收入92.25%，但柴油机毛利率由2024年的13.65%降至2025年的11.91%。原材料成本占柴油机及汽油机相关营业成本的78.01%，能源成本同比增长22.37%，显示公司仍处于上游成本敏感、下游客户议价能力较强的中游制造环节，成本转嫁能力尚不稳定。</w:t>
      </w:r>
    </w:p>
    <w:p>
      <w:pPr>
        <w:spacing w:after="160" w:line="300"/>
      </w:pPr>
      <w:r>
        <w:rPr>
          <w:sz w:val="22"/>
          <w:szCs w:val="22"/>
        </w:rPr>
        <w:t xml:space="preserve">公司具备“常柴”品牌、单缸及中小功率产品积累、国内外销售及售后网络，并拥有铸件制造与发动机装配协同能力；汽油机、混合动力总成、氢内燃机及大马力柴油机构成潜在产品升级方向，但混动和氢内燃机等仍处于研发或产品储备阶段，尚不能视为规模化收入来源。近期通过子公司认缴5000万元参与10亿元产业投资基金，布局新能源汽车、新能源及新一代信息技术产业链，但截至目前尚未披露具体被投项目或收益。</w:t>
      </w:r>
    </w:p>
    <w:p>
      <w:pPr>
        <w:spacing w:after="160" w:line="300"/>
      </w:pPr>
      <w:r>
        <w:rPr>
          <w:sz w:val="22"/>
          <w:szCs w:val="22"/>
        </w:rPr>
        <w:t xml:space="preserve">截至2026年9月11日，股价收于5.19元，约对应44倍动态市盈率，扣非动态市盈率约73—75倍，市净率约1倍。股价低于MA5和MA10、接近MA20及布林中轨，5.14—5.20元为短线观察支撑区，5.28—5.40元为压力区；近期成交额和换手率处于中低水平，9月初主力资金偏流出，尚未形成持续放量突破结构。</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000570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苏常柴A</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B股代码及简称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200570，苏常柴B</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1994年7月1日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公司前身</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常州柴油机厂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截至2025年12月31日为7.0569亿股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研发、生产与销售“常柴”牌柴油机、“罗宾”牌汽油机及配套机组等动力总成产品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2025年销售规模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柴油机、汽油机及机组合计销售65.17万台，实现销售收入24.76亿元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2025年实际生产规模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柴油机产量51.42万台，销量51.91万台；公司未披露明确设计产能、产能利用率或在建产能</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资源储备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公司不是矿产资源、能源或农产品资源型企业，不存在可比意义上的矿产储量或资源权益</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柴油机：2025年收入22.84亿元，占营业收入92.25%，同比增长1.82%；产品覆盖单缸和多缸，功率范围为3kW至180kW，主要面向中小功率、非道路应用。</w:t>
      </w:r>
    </w:p>
    <w:p>
      <w:pPr>
        <w:pStyle w:val="ListParagraph"/>
        <w:numPr>
          <w:ilvl w:val="0"/>
          <w:numId w:val="2"/>
        </w:numPr>
        <w:spacing w:after="80" w:line="280"/>
      </w:pPr>
      <w:r>
        <w:rPr>
          <w:sz w:val="22"/>
          <w:szCs w:val="22"/>
        </w:rPr>
        <w:t xml:space="preserve">汽油机：主要为“罗宾”品牌产品，2025年收入1.37亿元，占营业收入5.52%，同比增长11.23%，主要配套小型动力设备、机组及相关机械。</w:t>
      </w:r>
    </w:p>
    <w:p>
      <w:pPr>
        <w:pStyle w:val="ListParagraph"/>
        <w:numPr>
          <w:ilvl w:val="0"/>
          <w:numId w:val="2"/>
        </w:numPr>
        <w:spacing w:after="80" w:line="280"/>
      </w:pPr>
      <w:r>
        <w:rPr>
          <w:sz w:val="22"/>
          <w:szCs w:val="22"/>
        </w:rPr>
        <w:t xml:space="preserve">配套机组及其他业务：2025年其他业务收入0.55亿元，占营业收入2.23%。</w:t>
      </w:r>
    </w:p>
    <w:p>
      <w:pPr>
        <w:pStyle w:val="ListParagraph"/>
        <w:numPr>
          <w:ilvl w:val="0"/>
          <w:numId w:val="2"/>
        </w:numPr>
        <w:spacing w:after="80" w:line="280"/>
      </w:pPr>
      <w:r>
        <w:rPr>
          <w:sz w:val="22"/>
          <w:szCs w:val="22"/>
        </w:rPr>
        <w:t xml:space="preserve">下游应用：农业机械，包括拖拉机、联合收割机、旋耕机、植保机械等；小型工程机械；发电机组；船舶机械；轻型商用车及其他动力设备。</w:t>
      </w:r>
    </w:p>
    <w:p>
      <w:pPr>
        <w:pStyle w:val="ListParagraph"/>
        <w:numPr>
          <w:ilvl w:val="0"/>
          <w:numId w:val="2"/>
        </w:numPr>
        <w:spacing w:after="80" w:line="280"/>
      </w:pPr>
      <w:r>
        <w:rPr>
          <w:sz w:val="22"/>
          <w:szCs w:val="22"/>
        </w:rPr>
        <w:t xml:space="preserve">研发及产品储备：非道路国四柴油机、大马力柴油机、轻型发动机、发电机组用柴油机、混合动力总成、氢内燃机及低排放节能型发动机；混动、氢内燃机等尚处于研发或产品储备阶段，不能视为已形成规模化商业收入。</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苏常柴处于农业机械、工程机械和发电机组产业链的中游动力总成环节，核心是中小功率、非道路柴油机，汽油机为补充。公司具备常柴品牌、产品谱系、渠道网络及部分铸件自制能力，但整体仍属于充分竞争、成本敏感、毛利率不高的制造环节，不具备资源型上游企业的强定价权，也不属于拥有终端整机品牌溢价的下游企业。</w:t>
      </w:r>
    </w:p>
    <w:p>
      <w:pPr>
        <w:pStyle w:val="ListParagraph"/>
        <w:numPr>
          <w:ilvl w:val="0"/>
          <w:numId w:val="2"/>
        </w:numPr>
        <w:spacing w:after="80" w:line="280"/>
      </w:pPr>
      <w:r>
        <w:rPr>
          <w:sz w:val="22"/>
          <w:szCs w:val="22"/>
        </w:rPr>
        <w:t xml:space="preserve">主要投入包括铸铁、铸铝等铸件材料，钢材及锻件，曲轴、缸体、缸盖、活塞、连杆等发动机核心零部件，以及喷油系统、增压器、传感器、电控系统、橡胶件、密封件、电气件、能源、电力和加工服务。</w:t>
      </w:r>
    </w:p>
    <w:p>
      <w:pPr>
        <w:pStyle w:val="ListParagraph"/>
        <w:numPr>
          <w:ilvl w:val="0"/>
          <w:numId w:val="2"/>
        </w:numPr>
        <w:spacing w:after="80" w:line="280"/>
      </w:pPr>
      <w:r>
        <w:rPr>
          <w:sz w:val="22"/>
          <w:szCs w:val="22"/>
        </w:rPr>
        <w:t xml:space="preserve">2025年柴油机及汽油机营业成本中，原材料成本为16.61亿元，占相关营业成本78.01%；人工工资占11.10%，折旧占2.75%，能源占1.45%。原材料是成本端最重要的变量。</w:t>
      </w:r>
    </w:p>
    <w:p>
      <w:pPr>
        <w:pStyle w:val="ListParagraph"/>
        <w:numPr>
          <w:ilvl w:val="0"/>
          <w:numId w:val="2"/>
        </w:numPr>
        <w:spacing w:after="80" w:line="280"/>
      </w:pPr>
      <w:r>
        <w:rPr>
          <w:sz w:val="22"/>
          <w:szCs w:val="22"/>
        </w:rPr>
        <w:t xml:space="preserve">2025年前五名供应商采购金额3.34亿元，占年度采购总额18.31%，且不存在关联方采购。供应商整体集中度不高，但公司总体仍是钢材、铸件、零部件和电子元器件等上游成本的价格接受者，尚未体现对上游的明显议价权。</w:t>
      </w:r>
    </w:p>
    <w:p>
      <w:pPr>
        <w:pStyle w:val="ListParagraph"/>
        <w:numPr>
          <w:ilvl w:val="0"/>
          <w:numId w:val="2"/>
        </w:numPr>
        <w:spacing w:after="80" w:line="280"/>
      </w:pPr>
      <w:r>
        <w:rPr>
          <w:sz w:val="22"/>
          <w:szCs w:val="22"/>
        </w:rPr>
        <w:t xml:space="preserve">公司自建铸件制造、加工厂，为部分柴油机零部件提供内部配套；铸造板块与内燃机装配板块具有生产和质量协同，可减少外部采购及工艺流转、缩短交付周期并加强零部件质量控制。年报未披露铸件产能、内部配套率或自制零部件占比，不能据此判断已形成完整产业链闭环。</w:t>
      </w:r>
    </w:p>
    <w:p>
      <w:pPr>
        <w:pStyle w:val="ListParagraph"/>
        <w:numPr>
          <w:ilvl w:val="0"/>
          <w:numId w:val="2"/>
        </w:numPr>
        <w:spacing w:after="80" w:line="280"/>
      </w:pPr>
      <w:r>
        <w:rPr>
          <w:sz w:val="22"/>
          <w:szCs w:val="22"/>
        </w:rPr>
        <w:t xml:space="preserve">年报未披露钢材、铝材、铸件、电子控制系统等细分采购金额，无法进一步准确拆分各类原材料成本占比。</w:t>
      </w:r>
    </w:p>
    <w:p>
      <w:pPr>
        <w:pStyle w:val="ListParagraph"/>
        <w:numPr>
          <w:ilvl w:val="0"/>
          <w:numId w:val="2"/>
        </w:numPr>
        <w:spacing w:after="80" w:line="280"/>
      </w:pPr>
      <w:r>
        <w:rPr>
          <w:sz w:val="22"/>
          <w:szCs w:val="22"/>
        </w:rPr>
        <w:t xml:space="preserve">下游客户包括拖拉机和联合收割机厂商、工程机械主机厂、发电机组厂商、船机厂商、个人流通市场及海外经销商。</w:t>
      </w:r>
    </w:p>
    <w:p>
      <w:pPr>
        <w:pStyle w:val="ListParagraph"/>
        <w:numPr>
          <w:ilvl w:val="0"/>
          <w:numId w:val="2"/>
        </w:numPr>
        <w:spacing w:after="80" w:line="280"/>
      </w:pPr>
      <w:r>
        <w:rPr>
          <w:sz w:val="22"/>
          <w:szCs w:val="22"/>
        </w:rPr>
        <w:t xml:space="preserve">公司采取直销与经销相结合的模式：对主机厂主要采取直销，对农户为主的个人流通市场和海外市场主要采取经销商模式。2025年直销收入12.74亿元，占营业收入51.43%；经销收入12.03亿元，占48.57%。经销收入同比增长25.04%，直销收入同比下降12.41%。</w:t>
      </w:r>
    </w:p>
    <w:p>
      <w:pPr>
        <w:pStyle w:val="ListParagraph"/>
        <w:numPr>
          <w:ilvl w:val="0"/>
          <w:numId w:val="2"/>
        </w:numPr>
        <w:spacing w:after="80" w:line="280"/>
      </w:pPr>
      <w:r>
        <w:rPr>
          <w:sz w:val="22"/>
          <w:szCs w:val="22"/>
        </w:rPr>
        <w:t xml:space="preserve">2025年前五大客户销售金额10.99亿元，占年度销售总额44.40%；第一大客户占25.58%。该数据为2025年度口径，客户以匿名方式披露，具体客户名称及集中度稳定性无法判断。</w:t>
      </w:r>
    </w:p>
    <w:p>
      <w:pPr>
        <w:pStyle w:val="ListParagraph"/>
        <w:numPr>
          <w:ilvl w:val="0"/>
          <w:numId w:val="2"/>
        </w:numPr>
        <w:spacing w:after="80" w:line="280"/>
      </w:pPr>
      <w:r>
        <w:rPr>
          <w:sz w:val="22"/>
          <w:szCs w:val="22"/>
        </w:rPr>
        <w:t xml:space="preserve">面向主机厂的直销业务，客户通常在排放、可靠性、交付和价格方面具有较强采购议价能力；面向经销商及海外市场，公司具有常柴品牌、产品适配性和售后网络优势，但面临渠道折扣、库存及汇率风险。</w:t>
      </w:r>
    </w:p>
    <w:p>
      <w:pPr>
        <w:pStyle w:val="ListParagraph"/>
        <w:numPr>
          <w:ilvl w:val="0"/>
          <w:numId w:val="2"/>
        </w:numPr>
        <w:spacing w:after="80" w:line="280"/>
      </w:pPr>
      <w:r>
        <w:rPr>
          <w:sz w:val="22"/>
          <w:szCs w:val="22"/>
        </w:rPr>
        <w:t xml:space="preserve">农机需求受农机购置补贴、报废更新政策、粮价、天气和农户作业收益影响；工程机械和发电机组需求与基建、工业投资、出口及设备更新周期相关。</w:t>
      </w:r>
    </w:p>
    <w:p>
      <w:pPr>
        <w:pStyle w:val="ListParagraph"/>
        <w:numPr>
          <w:ilvl w:val="0"/>
          <w:numId w:val="2"/>
        </w:numPr>
        <w:spacing w:after="80" w:line="280"/>
      </w:pPr>
      <w:r>
        <w:rPr>
          <w:sz w:val="22"/>
          <w:szCs w:val="22"/>
        </w:rPr>
        <w:t xml:space="preserve">截至2025年12月31日，公司应收账款账面余额5.95亿元，扣除坏账准备后的账面价值4.52亿元；2025年营业收入为24.76亿元。按账面余额计算，应收账款约相当于全年营业收入的24.0%；按账面价值计算约为18.3%。应收账款中账龄三年以上余额为1.35亿元，其中五年以上余额为1.30亿元，公司计提坏账准备1.44亿元。前五大应收账款客户余额合计3.61亿元，占应收账款余额60.63%，第一大客户余额2.69亿元，占45.10%。上述数据表明公司存在较多长期应收及核心客户回款依赖，营运资金议价证据更接近“上游成本承压、下游客户议价”的中游制造特征。</w:t>
      </w:r>
    </w:p>
    <w:p>
      <w:pPr>
        <w:pStyle w:val="ListParagraph"/>
        <w:numPr>
          <w:ilvl w:val="0"/>
          <w:numId w:val="2"/>
        </w:numPr>
        <w:spacing w:after="80" w:line="280"/>
      </w:pPr>
      <w:r>
        <w:rPr>
          <w:sz w:val="22"/>
          <w:szCs w:val="22"/>
        </w:rPr>
        <w:t xml:space="preserve">2025年供应商前五名采购占比为18.31%，客户前五名销售占比为44.40%，第一大客户销售占比为25.58%，客户集中度明显高于供应商集中度。客户及供应商均以匿名方式披露，相关集中度仅有2025年度数据，研究纪要未提供其他年度数据交叉比较，具体以最新年报为准。公司未披露单一供应商或客户的具体名称及长期合作稳定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柴油机毛利率14.08%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研究纪要未提供柴油机业务或公司综合净利率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营业收入增长，柴油机收入约22.41亿元、占营业收入91.38%；产品结构和需求相对较好，但仍受原材料上涨及行业竞争影响。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柴油机毛利率8.92%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研究纪要未提供柴油机业务或公司综合净利率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柴油机收入同比下降12.05%，营业成本降幅小于收入降幅；需求走弱、销量下滑、原材料及制造成本刚性以及行业竞争加剧共同压低毛利率。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柴油机毛利率约12.85%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研究纪要未提供柴油机业务或公司综合净利率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柴油机收入仍同比下降3.19%，毛利率回升更可能来自产品结构、成本控制及原材料压力缓和，而非行业需求全面扩张；公开数据存在不同展示口径，最终应以公司2023年年度报告原始表格为准。</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柴油机毛利率13.65%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研究纪要未提供柴油机业务或公司综合净利率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柴油机收入22.44亿元，同比增长17.58%，营业成本同比增长13.40%；收入增速高于成本增速，产品结构改善及成本控制推动毛利率提升。国内业务毛利率13.56%，国外业务毛利率4.84%，海外规模扩大未必带来同等幅度的利润提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柴油机毛利率11.91%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研究纪要未提供柴油机业务或公司综合净利率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柴油机收入同比增长1.82%，但营业成本同比增长3.87%；原材料占相关营业成本78.01%，能源成本同比增长22.37%，原材料、能源及产品结构压力重新压缩利润空间。</w:t>
            </w:r>
          </w:p>
        </w:tc>
      </w:tr>
    </w:tbl>
    <w:p>
      <w:pPr>
        <w:spacing w:before="200"/>
      </w:pPr>
    </w:p>
    <w:p>
      <w:pPr>
        <w:spacing w:after="160" w:line="300"/>
      </w:pPr>
      <w:r>
        <w:rPr>
          <w:sz w:val="22"/>
          <w:szCs w:val="22"/>
        </w:rPr>
        <w:t xml:space="preserve">公司位于农业机械及非道路动力产业链的中游动力总成环节，属于中小功率柴油机为主的成本敏感、竞争充分制造商，而非上游资源型高毛利企业或下游终端品牌型高毛利企业。后续毛利改善主要取决于大马力及高附加值产品放量、产品结构升级、采购降本、铸件自制协同、规模效应以及海外渠道盈利改善；2025年毛利率回落表明公司尚未形成稳定的成本转嫁能力。</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16.6979亿元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同比增长6.96%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归母净利润1.0506亿元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同比增长43.09%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24.7633亿元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同比增长2.50%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归母净利润5082.1万元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同比增长174.86%</w:t>
            </w:r>
          </w:p>
        </w:tc>
      </w:tr>
    </w:tbl>
    <w:p>
      <w:pPr>
        <w:spacing w:after="200"/>
      </w:pPr>
      <w:r>
        <w:rPr>
          <w:i/>
          <w:iCs/>
          <w:color w:val="595959"/>
          <w:sz w:val="18"/>
          <w:szCs w:val="18"/>
        </w:rPr>
        <w:t xml:space="preserve">2026年上半年扣非归母净利润8524.8万元，同比增长51.42%；2025年度扣非归母净利润2057.4万元，同比下降61.15%。2026年上半年基本每股收益0.1489元，加权平均净资产收益率3.00%，综合毛利率14.87%，净利率约6.58%。</w:t>
      </w:r>
    </w:p>
    <w:p>
      <w:pPr>
        <w:spacing w:after="160" w:line="300"/>
      </w:pPr>
      <w:r>
        <w:rPr>
          <w:sz w:val="22"/>
          <w:szCs w:val="22"/>
        </w:rPr>
        <w:t xml:space="preserve">2026年上半年收入温和增长，归母净利润和扣非归母净利润增速明显高于收入增速，毛利率较上年同期提升2.08个百分点，主营盈利改善迹象较2025年度更明显。利润增长同时受到出售部分持有股票、江苏银行分红及现金管理收益等非主营因素贡献。经营活动产生的现金流量净额为-1.3471亿元，较上年同期-7430.6万元进一步恶化，需关注利润兑现质量。2025年度归母净利润大幅增长，但扣非归母净利润同比下降，表明当年利润增长较大程度受到非经常性损益影响。</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13日，未发现覆盖苏常柴A的有效、可交叉核实的2026—2028年多机构一致盈利预测。同花顺及东方财富相关页面未展示明确的机构预测净利润、EPS或一致目标价。研究过程中出现的与公司业务和规模不匹配的预测信息已排除，未作为000570的预测依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暂无可核实的一致预测；公司经营计划为销售收入26亿元，但明确不构成盈利预测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暂无可核实的一致预测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暂无可核实的一致预测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暂无可核实的一致预测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暂无可核实的一致预测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暂无可核实的一致预测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暂无可核实的一致预测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暂无可核实的一致预测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暂无可核实的一致预测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暂无可核实的一致预测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暂无可核实的一致预测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暂无可核实的一致预测</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近期券商评级及目标价</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未发现有效、近期评级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未发现2026年针对苏常柴A的有效、近期券商评级及目标价；部分网站保留的广发证券、浙商证券、华泰证券、申万宏源、渤海证券等2024年初历史评级，时间较早，不能视为当前机构观点。</w:t>
            </w:r>
          </w:p>
        </w:tc>
      </w:tr>
    </w:tbl>
    <w:p>
      <w:pPr>
        <w:spacing w:before="200"/>
      </w:pPr>
    </w:p>
    <w:p>
      <w:pPr>
        <w:spacing w:after="160" w:line="300"/>
      </w:pPr>
      <w:r>
        <w:rPr>
          <w:sz w:val="22"/>
          <w:szCs w:val="22"/>
        </w:rPr>
        <w:t xml:space="preserve">截至2026年9月11日盘中，最新盘中价格约5.15元，总股本约7.06亿股，总市值约36.4亿元，动态市盈率约44.07倍，扣非动态市盈率约73.38倍，市净率约1.00倍。另一行情数据源显示盘中价格约5.23元、动态市盈率约44.76倍、扣非市盈率约74.52倍、市净率约1.02倍，差异主要来自行情时点、估值口径和数据刷新时间。整体看，未扣非PE约44倍，对传统内燃机及农机动力企业而言不算低；扣非PE约73—75倍，反映经常性主营盈利规模仍偏低。PB约1倍，但低PB主要与净资产规模较大、盈利能力和ROE偏低有关，并不代表盈利质量较高。2026年上半年ROE为3.00%，经营现金流为负，且投资收益对利润仍有贡献；尽管扣非归母净利润同比增长51.42%，若利润增长不能持续，当前PE估值存在一定压力。</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截至2026年9月13日未检索到9月新增重大公告</w:t>
      </w:r>
    </w:p>
    <w:p>
      <w:pPr>
        <w:spacing w:after="160" w:line="300"/>
      </w:pPr>
      <w:r>
        <w:rPr>
          <w:sz w:val="22"/>
          <w:szCs w:val="22"/>
        </w:rPr>
        <w:t xml:space="preserve">截至2026年9月13日，未检索到常柴股份在2026年9月披露新的重大公告、业绩预告、股份回购、控股股东增减持、重大并购或监管处罚公告。公开披露记录中能够交叉核实的最新公告为2026年8月26日披露的《关于子公司参与设立股权投资基金暨关联交易的进展公告》。上述结论基于深交所公告列表及公开公告数据库收录结果，不等同于绝对不存在尚未被检索到的信息，后续应以深交所、巨潮资讯网披露为准。</w:t>
      </w:r>
    </w:p>
    <w:p>
      <w:pPr>
        <w:pStyle w:val="Heading2"/>
        <w:spacing w:after="120" w:before="240"/>
      </w:pPr>
      <w:r>
        <w:rPr>
          <w:b/>
          <w:bCs/>
          <w:color w:val="2E74B5"/>
          <w:sz w:val="24"/>
          <w:szCs w:val="24"/>
        </w:rPr>
        <w:t xml:space="preserve">4.2 子公司参与设立产业投资基金完成私募基金备案</w:t>
      </w:r>
    </w:p>
    <w:p>
      <w:pPr>
        <w:spacing w:after="160" w:line="300"/>
      </w:pPr>
      <w:r>
        <w:rPr>
          <w:sz w:val="22"/>
          <w:szCs w:val="22"/>
        </w:rPr>
        <w:t xml:space="preserve">2026年8月26日，公司披露全资子公司常州厚生投资有限公司参与设立的“远致常投星宇（常州）股权投资合伙企业（有限合伙）”已在中国证券投资基金业协会完成私募投资基金备案。基金备案编码为SBWE85，备案日期为2026年8月24日，管理人为深圳市远致创业投资有限公司，托管人为中国工商银行股份有限公司。常柴股份原计划通过厚生投资出资5000万元参与设立该基金，基金早期投资方向主要为新能源汽车、新能源产业链，包括装备、材料和零部件等。该事项属于投资设立及关联交易的后续进展，不属于上市公司对主营业务资产的直接并购；公告未披露新的上市公司现金出资金额变化，公司将根据基金后续进展继续履行信息披露义务。</w:t>
      </w:r>
    </w:p>
    <w:p>
      <w:pPr>
        <w:pStyle w:val="Heading2"/>
        <w:spacing w:after="120" w:before="240"/>
      </w:pPr>
      <w:r>
        <w:rPr>
          <w:b/>
          <w:bCs/>
          <w:color w:val="2E74B5"/>
          <w:sz w:val="24"/>
          <w:szCs w:val="24"/>
        </w:rPr>
        <w:t xml:space="preserve">4.3 产业投资基金变更普通合伙人并扩大投资范围</w:t>
      </w:r>
    </w:p>
    <w:p>
      <w:pPr>
        <w:spacing w:after="160" w:line="300"/>
      </w:pPr>
      <w:r>
        <w:rPr>
          <w:sz w:val="22"/>
          <w:szCs w:val="22"/>
        </w:rPr>
        <w:t xml:space="preserve">2026年8月14日，公司披露远致常投星宇基金的普通合伙人及投资范围发生调整。原普通合伙人常州信辉私募基金管理有限公司、常州星宇产业投资有限公司办理退伙；新增常州星宇信辉创业投资有限公司作为新的普通合伙人及执行事务合伙人。基金调整为双GP运作架构，另一名GP为深圳市远致创业投资有限公司。投资范围由新能源汽车、新能源上下游产业链扩展至“新一代信息技术配套产业上下游产业链”。基金认缴出资总额为10亿元，其中常州厚生投资有限公司认缴5000万元，占比5%。本次变更不涉及常柴股份出资额变化，公司公告称不会对正常生产经营及财务状况产生重大影响，也不会新增关联交易。目前未披露具体投资项目、项目收益或对公司利润的直接贡献。</w:t>
      </w:r>
    </w:p>
    <w:p>
      <w:pPr>
        <w:pStyle w:val="Heading2"/>
        <w:spacing w:after="120" w:before="240"/>
      </w:pPr>
      <w:r>
        <w:rPr>
          <w:b/>
          <w:bCs/>
          <w:color w:val="2E74B5"/>
          <w:sz w:val="24"/>
          <w:szCs w:val="24"/>
        </w:rPr>
        <w:t xml:space="preserve">4.4 2026年半年度报告显示利润增长，但经营现金流为负并计提减值</w:t>
      </w:r>
    </w:p>
    <w:p>
      <w:pPr>
        <w:spacing w:after="160" w:line="300"/>
      </w:pPr>
      <w:r>
        <w:rPr>
          <w:sz w:val="22"/>
          <w:szCs w:val="22"/>
        </w:rPr>
        <w:t xml:space="preserve">2026年8月21日，公司披露2026年半年度报告及相关公告。2026年上半年营业收入为16.70亿元，同比增长6.96%；归属于上市公司股东的净利润为1.05亿元，同比增长43.09%；扣除非经常性损益后的净利润为8524.79万元，同比增长51.42%；经营活动产生的现金流量净额为-1.35亿元，较上年同期负值进一步扩大。公司中期不进行现金分红、不送红股、不以公积金转增股本。同期，公司对截至2026年6月末的应收账款、其他应收款、存货、固定资产等项目计提及转回减值准备，最终确认减值损失1806.16万元。后续需关注应收账款回款、存货周转及经营现金流改善情况。</w:t>
      </w:r>
    </w:p>
    <w:p>
      <w:pPr>
        <w:pStyle w:val="Heading2"/>
        <w:spacing w:after="120" w:before="240"/>
      </w:pPr>
      <w:r>
        <w:rPr>
          <w:b/>
          <w:bCs/>
          <w:color w:val="2E74B5"/>
          <w:sz w:val="24"/>
          <w:szCs w:val="24"/>
        </w:rPr>
        <w:t xml:space="preserve">4.5 截至9月13日未检索到新的业绩预告或业绩快报</w:t>
      </w:r>
    </w:p>
    <w:p>
      <w:pPr>
        <w:spacing w:after="160" w:line="300"/>
      </w:pPr>
      <w:r>
        <w:rPr>
          <w:sz w:val="22"/>
          <w:szCs w:val="22"/>
        </w:rPr>
        <w:t xml:space="preserve">截至2026年9月13日，未检索到公司针对2026年第三季度或全年发布新的业绩预告、业绩快报或盈利预警。最近一次明确披露的业绩预告为2026年4月15日发布的2026年一季度业绩预告，公司预计2026年一季度归母净利润同比增长60.11%至82.98%；随后披露的一季报显示，归母净利润为7439.49万元，同比增长70.16%。该事项已被半年报数据部分验证，但不属于2026年9月的新公告。</w:t>
      </w:r>
    </w:p>
    <w:p>
      <w:pPr>
        <w:pStyle w:val="Heading2"/>
        <w:spacing w:after="120" w:before="240"/>
      </w:pPr>
      <w:r>
        <w:rPr>
          <w:b/>
          <w:bCs/>
          <w:color w:val="2E74B5"/>
          <w:sz w:val="24"/>
          <w:szCs w:val="24"/>
        </w:rPr>
        <w:t xml:space="preserve">4.6 截至9月13日未检索到股份回购及近期股份变动公告</w:t>
      </w:r>
    </w:p>
    <w:p>
      <w:pPr>
        <w:spacing w:after="160" w:line="300"/>
      </w:pPr>
      <w:r>
        <w:rPr>
          <w:sz w:val="22"/>
          <w:szCs w:val="22"/>
        </w:rPr>
        <w:t xml:space="preserve">截至2026年9月13日，未检索到000570近期披露股份回购方案、回购进展公告或回购注销公告。已检索到的2026年公告列表中，近期主要事项集中于产业投资基金、半年度报告、减值准备和房屋征收补偿，未出现“股份回购”“回购进展”“回购注销”等标题。该结论仅表示公开公告中未检索到相关信息，不能据此绝对推断公司不存在任何未披露或尚未达到披露标准的股份安排。</w:t>
      </w:r>
    </w:p>
    <w:p>
      <w:pPr>
        <w:pStyle w:val="Heading2"/>
        <w:spacing w:after="120" w:before="240"/>
      </w:pPr>
      <w:r>
        <w:rPr>
          <w:b/>
          <w:bCs/>
          <w:color w:val="2E74B5"/>
          <w:sz w:val="24"/>
          <w:szCs w:val="24"/>
        </w:rPr>
        <w:t xml:space="preserve">4.7 股东户数截至2026年7月末小幅回升</w:t>
      </w:r>
    </w:p>
    <w:p>
      <w:pPr>
        <w:spacing w:after="160" w:line="300"/>
      </w:pPr>
      <w:r>
        <w:rPr>
          <w:sz w:val="22"/>
          <w:szCs w:val="22"/>
        </w:rPr>
        <w:t xml:space="preserve">公司投资者互动信息显示，截至2026年6月18日，公司A、B股股东总数为45,663人；截至2026年6月30日，半年报披露普通股股东总数为45,319人；截至2026年7月31日，公司A、B股股东总数为45,971人，较6月30日增加652户，增幅约1.44%。股东户数在2026年5月至6月明显下降后，7月出现小幅回升。上述数据来自公司投资者互动回复及公开F10资料，不是股份增持或减持公告，不能直接等同于某一具体股东的资金流入。</w:t>
      </w:r>
    </w:p>
    <w:p>
      <w:pPr>
        <w:pStyle w:val="Heading2"/>
        <w:spacing w:after="120" w:before="240"/>
      </w:pPr>
      <w:r>
        <w:rPr>
          <w:b/>
          <w:bCs/>
          <w:color w:val="2E74B5"/>
          <w:sz w:val="24"/>
          <w:szCs w:val="24"/>
        </w:rPr>
        <w:t xml:space="preserve">4.8 前十大流通股东出现机构持仓变化</w:t>
      </w:r>
    </w:p>
    <w:p>
      <w:pPr>
        <w:spacing w:after="160" w:line="300"/>
      </w:pPr>
      <w:r>
        <w:rPr>
          <w:sz w:val="22"/>
          <w:szCs w:val="22"/>
        </w:rPr>
        <w:t xml:space="preserve">截至2026年6月30日的半年报显示，常州投资集团有限公司仍为第一大股东，持股比例32.26%，持股数量227,663,417股。前十大流通股东中出现华商乐享互联灵活配置混合型证券投资基金、博道久航混合型证券投资基金等机构。UBS AG持股约216.22万股，持股比例约0.31%，较上一报告期有所减少。市场报道还提到巴克莱银行等机构退出前十大流通股东，但该部分属于媒体对半年报股东数据的整理，建议以公司半年报原始表格为准。上述变化属于截至2026年6月30日的股东结构变化，不代表2026年9月的实时持仓变化。</w:t>
      </w:r>
    </w:p>
    <w:p>
      <w:pPr>
        <w:pStyle w:val="Heading2"/>
        <w:spacing w:after="120" w:before="240"/>
      </w:pPr>
      <w:r>
        <w:rPr>
          <w:b/>
          <w:bCs/>
          <w:color w:val="2E74B5"/>
          <w:sz w:val="24"/>
          <w:szCs w:val="24"/>
        </w:rPr>
        <w:t xml:space="preserve">4.9 未检索到控股股东及董监高近期增减持、质押公告</w:t>
      </w:r>
    </w:p>
    <w:p>
      <w:pPr>
        <w:spacing w:after="160" w:line="300"/>
      </w:pPr>
      <w:r>
        <w:rPr>
          <w:sz w:val="22"/>
          <w:szCs w:val="22"/>
        </w:rPr>
        <w:t xml:space="preserve">截至2026年9月13日，未检索到近期常州投资集团有限公司或公司董事、高级管理人员披露新的增持、减持、质押或解除质押公告。</w:t>
      </w:r>
    </w:p>
    <w:p>
      <w:pPr>
        <w:pStyle w:val="Heading2"/>
        <w:spacing w:after="120" w:before="240"/>
      </w:pPr>
      <w:r>
        <w:rPr>
          <w:b/>
          <w:bCs/>
          <w:color w:val="2E74B5"/>
          <w:sz w:val="24"/>
          <w:szCs w:val="24"/>
        </w:rPr>
        <w:t xml:space="preserve">4.10 产业投资基金布局不属于已完成的重大并购</w:t>
      </w:r>
    </w:p>
    <w:p>
      <w:pPr>
        <w:spacing w:after="160" w:line="300"/>
      </w:pPr>
      <w:r>
        <w:rPr>
          <w:sz w:val="22"/>
          <w:szCs w:val="22"/>
        </w:rPr>
        <w:t xml:space="preserve">近期未发现公司实施重大资产收购、发行股份购买资产或重大资产重组。目前与并购及投资最相关的事项为远致常投星宇产业投资基金：常柴股份通过厚生投资认缴5000万元，基金总认缴规模为10亿元，主要投资新能源汽车、新能源及新一代信息技术配套产业链。截至2026年8月26日，基金仅披露完成私募基金备案，尚未披露具体被投项目或投资收益。因此，该事项应定义为产业投资基金布局和关联交易进展，而不是上市公司已经完成的重大并购。</w:t>
      </w:r>
    </w:p>
    <w:p>
      <w:pPr>
        <w:pStyle w:val="Heading2"/>
        <w:spacing w:after="120" w:before="240"/>
      </w:pPr>
      <w:r>
        <w:rPr>
          <w:b/>
          <w:bCs/>
          <w:color w:val="2E74B5"/>
          <w:sz w:val="24"/>
          <w:szCs w:val="24"/>
        </w:rPr>
        <w:t xml:space="preserve">4.11 三井分公司房屋征收补偿事项仍在推进</w:t>
      </w:r>
    </w:p>
    <w:p>
      <w:pPr>
        <w:spacing w:after="160" w:line="300"/>
      </w:pPr>
      <w:r>
        <w:rPr>
          <w:sz w:val="22"/>
          <w:szCs w:val="22"/>
        </w:rPr>
        <w:t xml:space="preserve">公司半年报披露，三井分公司国有土地上房屋征收补偿事项仍在推进。截至2026年半年度报告期末，公司累计收到第一期补偿款3000万元。公司与相关政府部门已就土地整理、提标及后续补偿款支付达成一致，并拟签署补充协议。该事项已经2026年7月21日召开的2026年第一次临时股东会审议通过。公司另披露，铸造厂房屋征收补偿协议涉及补偿总金额3.468569亿元，但截至半年报披露时仍待签订正式征收补偿协议。该事项可能影响公司未来现金流、资产处置收益及生产布局，但目前不宜提前确认全部补偿金额或收益，实际收益确认取决于补偿协议签署、款项支付和会计确认进度。</w:t>
      </w:r>
    </w:p>
    <w:p>
      <w:pPr>
        <w:pStyle w:val="Heading2"/>
        <w:spacing w:after="120" w:before="240"/>
      </w:pPr>
      <w:r>
        <w:rPr>
          <w:b/>
          <w:bCs/>
          <w:color w:val="2E74B5"/>
          <w:sz w:val="24"/>
          <w:szCs w:val="24"/>
        </w:rPr>
        <w:t xml:space="preserve">4.12 董事会延期换届</w:t>
      </w:r>
    </w:p>
    <w:p>
      <w:pPr>
        <w:spacing w:after="160" w:line="300"/>
      </w:pPr>
      <w:r>
        <w:rPr>
          <w:sz w:val="22"/>
          <w:szCs w:val="22"/>
        </w:rPr>
        <w:t xml:space="preserve">公司于2026年6月10日披露董事会延期换届提示性公告。该事项并非2026年9月新消息，但仍属于近期公司治理事项，后续需关注换届安排及管理层治理结构变化。</w:t>
      </w:r>
    </w:p>
    <w:p>
      <w:pPr>
        <w:pStyle w:val="Heading2"/>
        <w:spacing w:after="120" w:before="240"/>
      </w:pPr>
      <w:r>
        <w:rPr>
          <w:b/>
          <w:bCs/>
          <w:color w:val="2E74B5"/>
          <w:sz w:val="24"/>
          <w:szCs w:val="24"/>
        </w:rPr>
        <w:t xml:space="preserve">4.13 近期公告综合判断</w:t>
      </w:r>
    </w:p>
    <w:p>
      <w:pPr>
        <w:spacing w:after="160" w:line="300"/>
      </w:pPr>
      <w:r>
        <w:rPr>
          <w:sz w:val="22"/>
          <w:szCs w:val="22"/>
        </w:rPr>
        <w:t xml:space="preserve">截至2026年9月13日，000570近期公告主线主要包括：产业投资基金完成备案并扩大投资范围，公司通过关联产业基金布局新能源汽车、新能源和新一代信息技术产业链，但尚未披露具体项目落地，短期业绩贡献仍不确定；2026年上半年营业收入增长6.96%，归母净利润增长43.09%，扣非净利润增长51.42%，但经营活动现金流为负并确认1806.16万元减值损失，需关注盈利质量和现金回款；近期未发现新的回购、控股股东增持、重大减持、重大并购或监管处罚公告。股东户数及前十大股东数据最晚主要截至2026年7月31日或6月30日，不代表9月实时股东结构；房屋征收补偿金额属于协议或拟议安排，实际收益确认时间和金额仍取决于正式协议、款项支付及会计处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5.24元/5.26元/5.14元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约861万股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约4462万元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约36.63亿元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约28.84亿元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约4.54~6.95元；雪球页面显示52周高点为6.93元，存在小幅口径差异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PE约44.42倍；中财网动态市盈率约44.50倍，建议视为44倍左右的参考区间，非精确统一值</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约5.28元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收盘价5.19元低于MA5约1.7%，短线价格跌回5日均线下方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约5.26元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收盘价低于MA10约1.4%，短线动能较9月上旬高点有所减弱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约5.18元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收盘价基本贴近MA20，5.14~5.20元附近构成短线重要防守区域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中轨约5.18元；上轨约5.39元；下轨约4.97元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收盘价位于布林中轨附近；重新站稳5.28~5.40元区域才有机会测试前期高点附近，跌破5.14~5.18元区域则可能回落至4.97~5.03元附近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约62，基于公开收盘价独立估算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处于中性偏强但尚未明显超买区域；由于算法、复权和参数可能不同，不等同于交易软件实时值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截至2026年9月11日的DIF、DEA及MACD柱值缺乏可靠交叉确认数据</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不对当前MACD金叉或死叉作确定性判断；2026年8月12日曾显示MACD约0.020，但日期较早，不能直接套用于当前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9月9日收盘5.37元，9月10日、9月11日连续回落至5.19元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呈现短线冲高后的回撤，当前处于20日线附近争夺，尚不能单凭该位置确认趋势反转或重新转强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近期成交量与资金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2026年9月7日至9月11日平均成交额约4188万元，平均换手率约1.43%；截至9月4日近5日资金流出约1275.75万元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9月9日上涨时成交额放大至约5144万元，随后价格回落；资金面显示9月初主力阶段性偏流出、控盘度偏低，尚未形成持续放量突破结构</w:t>
            </w:r>
          </w:p>
        </w:tc>
      </w:tr>
    </w:tbl>
    <w:p>
      <w:pPr>
        <w:spacing w:before="200"/>
      </w:pPr>
    </w:p>
    <w:p>
      <w:pPr>
        <w:spacing w:after="160" w:line="300"/>
      </w:pPr>
      <w:r>
        <w:rPr>
          <w:sz w:val="22"/>
          <w:szCs w:val="22"/>
        </w:rPr>
        <w:t xml:space="preserve">截至2026年9月11日收盘，苏常柴A股价较9月9日5.37元的阶段高点连续回落至5.19元，已低于MA5和MA10，但仍接近MA20及布林中轨约5.18元。5.14~5.20元为近期低点、MA20和布林中轨重叠形成的第一防守区，5.28~5.40元则由MA5、MA10、近期高点及布林上轨构成压力区。RSI约62，尚未进入明显超卖区域。近期成交额和换手率处于中低水平，9月初可核实的主力资金数据偏流出，短线承接力度一般。股东数据截至2026年6月30日显示机构持仓比例较高，但存在季度时滞，不能直接代表当前三季度资金行为。</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5.28~5.40元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对应MA5、MA10、9月9日阶段高点5.40元及估算布林上轨约5.39元。若有效站上5.40元并伴随成交额明显放大，才可能打开向52周高点区域进一步修复的空间。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5.14~5.20元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对应9月11日最低价5.14元、近期成交密集区域及MA20/布林中轨约5.18元。若有效跌破该区间，短线弱势可能延续。</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4.94~5.03元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对应8月19日、8月21日、8月24日附近阶段低点及估算布林下轨约4.97元。若放量跌破该区间，可能进一步考验4.54元附近的52周低点区域。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形态和资金面的主观启发式判断，不是统计概率）：价格运行区间约5.14~5.35元。触发条件为股价在5.14~5.20元获得承接，但无法有效突破5.28~5.40元压力区；单日成交额大体维持在3000万~5000万元附近，且没有明显催化消息。对应市场可能围绕MA20和布林中轨进行多空争夺。</w:t>
      </w:r>
    </w:p>
    <w:p>
      <w:pPr>
        <w:pStyle w:val="ListParagraph"/>
        <w:numPr>
          <w:ilvl w:val="0"/>
          <w:numId w:val="2"/>
        </w:numPr>
        <w:spacing w:after="80" w:line="280"/>
      </w:pPr>
      <w:r>
        <w:rPr>
          <w:sz w:val="22"/>
          <w:szCs w:val="22"/>
        </w:rPr>
        <w:t xml:space="preserve">偏弱下行（权重中等；为基于当前技术形态和资金面的主观判断，不是统计概率）：价格运行区间约4.94~5.14元。触发条件为收盘有效跌破5.14元且成交额高于近期平均水平，或主力资金连续出现净流出；若机械设备板块和大盘同步走弱，下探4.94~5.03元支撑区的压力可能增加。若4.94元附近也失守，则需关注向前期低点区域进一步回落。</w:t>
      </w:r>
    </w:p>
    <w:p>
      <w:pPr>
        <w:pStyle w:val="ListParagraph"/>
        <w:numPr>
          <w:ilvl w:val="0"/>
          <w:numId w:val="2"/>
        </w:numPr>
        <w:spacing w:after="80" w:line="280"/>
      </w:pPr>
      <w:r>
        <w:rPr>
          <w:sz w:val="22"/>
          <w:szCs w:val="22"/>
        </w:rPr>
        <w:t xml:space="preserve">反弹走强（权重偏低，但不能完全排除；为基于当前技术形态和资金面的主观判断，不是统计概率）：价格运行区间约5.28~5.50元。触发条件为股价重新站稳5.28元并放量突破5.40元，同时成交额连续一至两个交易日明显高于近期约4200万元的平均水平，最好达到6000万元以上，并伴随主力资金由流出转为持续净流入。在缺少量能和资金确认前，单日冲高不宜直接定义为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额约4462万元、换手率1.55%；2026年9月7日至9月11日成交额约3700万~5140万元，换手率约1.21%~1.73%，近5个交易日平均成交额约4188万元、平均换手率约1.43%。截至2026年6月30日，同花顺统计的61家主力机构持有约2.487亿股，占流通A股约44.76%，其中包括基金59家、QFII 1家和一般法人1家；前十大流通股东中出现公募基金及UBS AG等机构，第一大股东常州投资集团有限公司持有约2.2766亿股，占总股本约32.26%。上述股东结构数据存在季度滞后，实际流通筹码可能已在三季度发生变化。结合总市值约36.63亿元及中低换手水平，短线价格可能较易受到单日资金进出和板块情绪影响，但不能据此推断当前具体资金持仓变化。</w:t>
      </w:r>
    </w:p>
    <w:p>
      <w:pPr>
        <w:spacing w:after="160" w:line="300"/>
      </w:pPr>
      <w:r>
        <w:rPr>
          <w:sz w:val="22"/>
          <w:szCs w:val="22"/>
        </w:rPr>
        <w:t xml:space="preserve">可检查的量能确认信号是：若未来一周单日成交额连续放大至6000万元以上，且价格同时站稳5.28元并进一步突破5.40元，可视为短线资金介入和突破有效性增强的观察信号；若成交额放大但价格跌破5.14元，则更接近放量兑现或抛压释放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观察5.14~5.20元支撑区能否守住，若失守则关注4.94~5.03元强支撑区；以上为观察思路，非操作指令。</w:t>
      </w:r>
    </w:p>
    <w:p>
      <w:pPr>
        <w:pStyle w:val="ListParagraph"/>
        <w:numPr>
          <w:ilvl w:val="0"/>
          <w:numId w:val="2"/>
        </w:numPr>
        <w:spacing w:after="80" w:line="280"/>
      </w:pPr>
      <w:r>
        <w:rPr>
          <w:sz w:val="22"/>
          <w:szCs w:val="22"/>
        </w:rPr>
        <w:t xml:space="preserve">观察5.28~5.40元压力区能否在成交额配合下突破；以上为观察思路，非操作指令。</w:t>
      </w:r>
    </w:p>
    <w:p>
      <w:pPr>
        <w:pStyle w:val="ListParagraph"/>
        <w:numPr>
          <w:ilvl w:val="0"/>
          <w:numId w:val="2"/>
        </w:numPr>
        <w:spacing w:after="80" w:line="280"/>
      </w:pPr>
      <w:r>
        <w:rPr>
          <w:sz w:val="22"/>
          <w:szCs w:val="22"/>
        </w:rPr>
        <w:t xml:space="preserve">观察成交额能否由近期约4200万元均值提升至6000万元以上，并持续至少一至两个交易日；以上为观察思路，非操作指令。</w:t>
      </w:r>
    </w:p>
    <w:p>
      <w:pPr>
        <w:pStyle w:val="ListParagraph"/>
        <w:numPr>
          <w:ilvl w:val="0"/>
          <w:numId w:val="2"/>
        </w:numPr>
        <w:spacing w:after="80" w:line="280"/>
      </w:pPr>
      <w:r>
        <w:rPr>
          <w:sz w:val="22"/>
          <w:szCs w:val="22"/>
        </w:rPr>
        <w:t xml:space="preserve">观察主力资金是否由9月初偏流出状态转为连续净流入；以上为观察思路，非操作指令。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苏常柴所属内燃机及配件制造行业，下游覆盖农机、工程机械、发电机组、船机及商用车。行业受农机补贴、设备更新、工程机械周期、出口和排放法规影响，传统柴油机市场增长趋缓，存量替换和结构升级特征增强；非道路国四排放标准提高了产品开发、排放控制和配套认证门槛，行业正向高效、智能、混动、燃气和氢内燃机方向演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农机市场受粮价低位、异常天气和用户作业收益下降影响，传统农机需求承压，市场从增量扩张转向存量更新；大型拖拉机、动力换挡、智能农机、出口农机和丘陵山区机械表现相对更好。</w:t>
      </w:r>
    </w:p>
    <w:p>
      <w:pPr>
        <w:pStyle w:val="ListParagraph"/>
        <w:numPr>
          <w:ilvl w:val="0"/>
          <w:numId w:val="2"/>
        </w:numPr>
        <w:spacing w:after="80" w:line="280"/>
      </w:pPr>
      <w:r>
        <w:rPr>
          <w:sz w:val="22"/>
          <w:szCs w:val="22"/>
        </w:rPr>
        <w:t xml:space="preserve">头部企业凭借品牌、技术、渠道和规模优势提高市场集中度，中小企业面临更大竞争压力。</w:t>
      </w:r>
    </w:p>
    <w:p>
      <w:pPr>
        <w:pStyle w:val="ListParagraph"/>
        <w:numPr>
          <w:ilvl w:val="0"/>
          <w:numId w:val="2"/>
        </w:numPr>
        <w:spacing w:after="80" w:line="280"/>
      </w:pPr>
      <w:r>
        <w:rPr>
          <w:sz w:val="22"/>
          <w:szCs w:val="22"/>
        </w:rPr>
        <w:t xml:space="preserve">中国内燃机工业协会数据显示，2026年3月潍柴、玉柴、全柴、云内、新柴、一拖、东康、解放动力、新动力科技和江铃等前十家企业合计占多缸柴油机销量约79.02%。该数据是多缸柴油机口径，不能直接等同于苏常柴优势所在的单缸及中小功率柴油机市场份额。</w:t>
      </w:r>
    </w:p>
    <w:p>
      <w:pPr>
        <w:pStyle w:val="ListParagraph"/>
        <w:numPr>
          <w:ilvl w:val="0"/>
          <w:numId w:val="2"/>
        </w:numPr>
        <w:spacing w:after="80" w:line="280"/>
      </w:pPr>
      <w:r>
        <w:rPr>
          <w:sz w:val="22"/>
          <w:szCs w:val="22"/>
        </w:rPr>
        <w:t xml:space="preserve">苏常柴竞争优势主要集中在单缸及中小功率柴油机、农业机械和发电机组等动力配套、“常柴”品牌、较全的产品品类、全国销售及售后网络，以及铸件自制与发动机装配协同。</w:t>
      </w:r>
    </w:p>
    <w:p>
      <w:pPr>
        <w:pStyle w:val="ListParagraph"/>
        <w:numPr>
          <w:ilvl w:val="0"/>
          <w:numId w:val="2"/>
        </w:numPr>
        <w:spacing w:after="80" w:line="280"/>
      </w:pPr>
      <w:r>
        <w:rPr>
          <w:sz w:val="22"/>
          <w:szCs w:val="22"/>
        </w:rPr>
        <w:t xml:space="preserve">公司披露其单缸机产品市场占有率较高，部分功率段市场占有率位居全国前列；2023年年报摘要称部分功率段市场占有率位列全国第一。但公司未在2025年年报披露具体市场份额和对应功率段，该表述主要来自公司年报，缺少外部独立数据交叉验证，不宜泛化为整个柴油机行业第一。</w:t>
      </w:r>
    </w:p>
    <w:p>
      <w:pPr>
        <w:pStyle w:val="ListParagraph"/>
        <w:numPr>
          <w:ilvl w:val="0"/>
          <w:numId w:val="2"/>
        </w:numPr>
        <w:spacing w:after="80" w:line="280"/>
      </w:pPr>
      <w:r>
        <w:rPr>
          <w:sz w:val="22"/>
          <w:szCs w:val="22"/>
        </w:rPr>
        <w:t xml:space="preserve">公司拥有24个销售服务中心和746家特约维修站构成的售后网络；截至2025年末拥有国内外有效授权专利209项，其中国内发明专利42项、国外发明专利4项，2025年新增专利授权32项。</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全柴动力（600218）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直接可比的发动机企业，覆盖车用及非道路柴油机，服务农业机械、工程机械和发电机组等市场。</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相较苏常柴，全柴动力在多缸柴油机、农机动力和车用发动机方面规模更大；苏常柴在单缸柴油机、中小功率动力及传统“常柴”品牌市场辨识度更突出。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新柴股份（301032）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聚焦非道路用柴油发动机及相关零部件，主要用于工程机械、农业机械和发电机组。</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新柴产品覆盖10至220PS，工程机械用多缸柴油机权重更高；苏常柴的单缸机和农机中小功率市场属性更突出。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云内动力（000903）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产品覆盖车用和非道路市场，应用于商用车、工程机械、农用机械和发电机组，并布局大马力、混合动力和氢燃料电池等方向。</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云内动力车用柴油机和多缸动力业务比重更高，功率及应用范围更广；苏常柴更集中于中小功率、非道路及农机市场。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一拖股份（601038）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农业机械整机企业，核心产品包括大中型拖拉机、柴油机及相关零部件。</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一拖股份与苏常柴既有竞争也有上下游关系；一拖更偏向大中型农机整机、品牌渠道和整机系统集成，苏常柴主要是发动机供应商。</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潍柴动力（000338）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大型柴油机企业，优势集中于重型商用车、工程机械、船舶和大功率动力系统。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属于行业龙头和技术标杆，规模、研发投入、客户覆盖及功率段明显高于苏常柴；与苏常柴单缸小功率柴油机直接重叠有限，不宜作为完全可比公司。</w:t>
            </w:r>
          </w:p>
        </w:tc>
      </w:tr>
    </w:tbl>
    <w:p>
      <w:pPr>
        <w:spacing w:before="200"/>
      </w:pPr>
    </w:p>
    <w:p>
      <w:pPr>
        <w:spacing w:after="160" w:line="300"/>
      </w:pPr>
      <w:r>
        <w:rPr>
          <w:sz w:val="22"/>
          <w:szCs w:val="22"/>
        </w:rPr>
        <w:t xml:space="preserve">苏常柴与全柴动力、新柴股份在非道路柴油机、农机及发电机组动力领域重叠较多，但苏常柴更偏单缸及中小功率市场；与云内动力相比，车用及多缸动力暴露较低；与一拖股份相比，苏常柴主要定位为发动机供应商而非农机整机厂；潍柴动力则主要作为大功率柴油机行业龙头和技术升级标杆。整体看，苏常柴的相对优势来自单缸及中小功率产品积累、常柴品牌、细分渠道及铸件协同，主要短板是下游客户集中度较高、上游成本敏感、毛利率不高，以及部分市场份额和新技术商业化情况缺乏外部独立数据验证。</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主营业务高度集中于柴油机：2025年柴油机收入占营业收入92.25%，若农机、工程机械及发电机组需求受到农机补贴、设备更新、天气、粮价或投资周期影响，公司整体收入和利润可能同步承压。</w:t>
      </w:r>
    </w:p>
    <w:p>
      <w:pPr>
        <w:pStyle w:val="ListParagraph"/>
        <w:numPr>
          <w:ilvl w:val="0"/>
          <w:numId w:val="2"/>
        </w:numPr>
        <w:spacing w:after="80" w:line="280"/>
      </w:pPr>
      <w:r>
        <w:rPr>
          <w:sz w:val="22"/>
          <w:szCs w:val="22"/>
        </w:rPr>
        <w:t xml:space="preserve">原材料成本对盈利影响显著：2025年原材料占柴油机及汽油机相关营业成本的78.01%，能源成本同比增长22.37%；若钢材、铸件、零部件或能源成本上升而公司无法及时向下游传导，柴油机毛利率可能进一步承压。</w:t>
      </w:r>
    </w:p>
    <w:p>
      <w:pPr>
        <w:pStyle w:val="ListParagraph"/>
        <w:numPr>
          <w:ilvl w:val="0"/>
          <w:numId w:val="2"/>
        </w:numPr>
        <w:spacing w:after="80" w:line="280"/>
      </w:pPr>
      <w:r>
        <w:rPr>
          <w:sz w:val="22"/>
          <w:szCs w:val="22"/>
        </w:rPr>
        <w:t xml:space="preserve">客户集中度较高且下游议价能力较强：2025年前五大客户销售占比44.40%，第一大客户占25.58%；主机厂客户在价格、排放、可靠性和交付方面具有较强议价能力，重点客户订单或回款变化可能对经营业绩产生较大影响。</w:t>
      </w:r>
    </w:p>
    <w:p>
      <w:pPr>
        <w:pStyle w:val="ListParagraph"/>
        <w:numPr>
          <w:ilvl w:val="0"/>
          <w:numId w:val="2"/>
        </w:numPr>
        <w:spacing w:after="80" w:line="280"/>
      </w:pPr>
      <w:r>
        <w:rPr>
          <w:sz w:val="22"/>
          <w:szCs w:val="22"/>
        </w:rPr>
        <w:t xml:space="preserve">应收账款存在长期挂账及集中回款风险：截至2025年末，应收账款账面余额5.95亿元，其中三年以上余额1.35亿元、五年以上余额1.30亿元；前五大应收账款客户占余额60.63%，第一大客户占45.10%，若回款不及预期，可能增加坏账损失并占用营运资金。</w:t>
      </w:r>
    </w:p>
    <w:p>
      <w:pPr>
        <w:pStyle w:val="ListParagraph"/>
        <w:numPr>
          <w:ilvl w:val="0"/>
          <w:numId w:val="2"/>
        </w:numPr>
        <w:spacing w:after="80" w:line="280"/>
      </w:pPr>
      <w:r>
        <w:rPr>
          <w:sz w:val="22"/>
          <w:szCs w:val="22"/>
        </w:rPr>
        <w:t xml:space="preserve">现金流与利润表现不匹配：2026年上半年经营活动产生的现金流量净额为-1.3471亿元，较上年同期负值进一步扩大；同期虽实现归母净利润1.0506亿元，但利润中仍有股票处置、银行分红和现金管理收益等非主营因素贡献，主营盈利兑现质量存在不确定性。</w:t>
      </w:r>
    </w:p>
    <w:p>
      <w:pPr>
        <w:pStyle w:val="ListParagraph"/>
        <w:numPr>
          <w:ilvl w:val="0"/>
          <w:numId w:val="2"/>
        </w:numPr>
        <w:spacing w:after="80" w:line="280"/>
      </w:pPr>
      <w:r>
        <w:rPr>
          <w:sz w:val="22"/>
          <w:szCs w:val="22"/>
        </w:rPr>
        <w:t xml:space="preserve">主营盈利基础仍相对薄弱：2025年归母净利润同比增长174.86%，但扣非归母净利润同比下降61.15%；截至2026年9月11日动态市盈率约44倍、扣非动态市盈率约73—75倍，若扣非利润增长不能持续，估值可能面临较大压力。</w:t>
      </w:r>
    </w:p>
    <w:p>
      <w:pPr>
        <w:pStyle w:val="ListParagraph"/>
        <w:numPr>
          <w:ilvl w:val="0"/>
          <w:numId w:val="2"/>
        </w:numPr>
        <w:spacing w:after="80" w:line="280"/>
      </w:pPr>
      <w:r>
        <w:rPr>
          <w:sz w:val="22"/>
          <w:szCs w:val="22"/>
        </w:rPr>
        <w:t xml:space="preserve">新业务及产业投资基金短期贡献不确定：混合动力总成、氢内燃机等仍处于研发或产品储备阶段；公司参与设立的产业投资基金虽已完成备案，但尚未披露具体被投项目、项目收益或对公司利润的直接贡献，存在投入与回报不及预期的可能。</w:t>
      </w:r>
    </w:p>
    <w:p>
      <w:pPr>
        <w:pStyle w:val="ListParagraph"/>
        <w:numPr>
          <w:ilvl w:val="0"/>
          <w:numId w:val="2"/>
        </w:numPr>
        <w:spacing w:after="80" w:line="280"/>
      </w:pPr>
      <w:r>
        <w:rPr>
          <w:sz w:val="22"/>
          <w:szCs w:val="22"/>
        </w:rPr>
        <w:t xml:space="preserve">房屋征收补偿事项存在确认进度和金额不确定性：三井分公司已累计收到第一期补偿款3000万元，铸造厂涉及3.468569亿元的补偿金额但截至半年报披露时仍待签订正式协议，未来补偿款支付、资产处置收益及生产布局影响取决于协议签署、款项支付和会计确认进度。</w:t>
      </w:r>
    </w:p>
    <w:p>
      <w:pPr>
        <w:pStyle w:val="ListParagraph"/>
        <w:numPr>
          <w:ilvl w:val="0"/>
          <w:numId w:val="2"/>
        </w:numPr>
        <w:spacing w:after="80" w:line="280"/>
      </w:pPr>
      <w:r>
        <w:rPr>
          <w:sz w:val="22"/>
          <w:szCs w:val="22"/>
        </w:rPr>
        <w:t xml:space="preserve">短线交易结构偏弱且流动性相对有限：截至2026年9月11日股价低于MA5和MA10，9月初主力资金偏流出，近五个交易日平均成交额约4188万元、平均换手率约1.43%；若跌破5.14—5.20元支撑区，可能进一步考验4.94—5.03元区域，但技术指标存在滞后性，不能作为确定性判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苏常柴的基本面改善主要体现为2026年上半年收入温和增长、扣非利润增速高于收入增速以及综合毛利率提升，说明产品结构、成本控制或经营效率出现一定改善。后续增长逻辑取决于农机存量更新、设备更新及出口等需求变化，同时取决于大马力及高附加值产品放量、铸件自制协同、采购降本和海外渠道盈利改善能否持续。产业投资基金为公司拓展新能源及新一代信息技术产业链提供了布局渠道，但目前尚未形成可确认的主营业务增量或投资收益。</w:t>
      </w:r>
    </w:p>
    <w:p>
      <w:pPr>
        <w:spacing w:after="160" w:line="300"/>
      </w:pPr>
      <w:r>
        <w:rPr>
          <w:sz w:val="22"/>
          <w:szCs w:val="22"/>
        </w:rPr>
        <w:t xml:space="preserve">公司当前仍面临传统柴油机需求增长趋缓、客户集中度较高、原材料成本占比较高和毛利率波动等约束。2025年第一大客户销售占比25.58%，前五大客户销售占比44.40%；同时，长期应收账款和经营现金流为负，表明收入增长向现金回款转化仍不充分。结合约44倍动态市盈率及较高的扣非估值，未来市场关注重点将是主营盈利能否持续改善、现金流能否修复，以及非经常性收益对利润的影响是否下降。</w:t>
      </w:r>
    </w:p>
    <w:p>
      <w:pPr>
        <w:spacing w:after="160" w:line="300"/>
      </w:pPr>
      <w:r>
        <w:rPr>
          <w:sz w:val="22"/>
          <w:szCs w:val="22"/>
        </w:rPr>
        <w:t xml:space="preserve">技术面上，股价目前处于冲高后的回撤阶段，能否守住5.14—5.20元区域、并在成交额明显放大情况下突破5.28—5.40元压力区，是短期趋势观察重点；若支撑失守，则需关注4.94—5.03元区域。上述价格区间仅反映截至2026年9月11日的技术形态，不代表对未来走势的确定性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https://static.cninfo.com.cn/finalpage/2025-04-11/1223054362.PDF — https://static.cninfo.com.cn/finalpage/2025-04-11/1223054362.PDF</w:t>
      </w:r>
    </w:p>
    <w:p>
      <w:pPr>
        <w:spacing w:after="200"/>
      </w:pPr>
      <w:r>
        <w:rPr>
          <w:i/>
          <w:iCs/>
          <w:color w:val="595959"/>
          <w:sz w:val="18"/>
          <w:szCs w:val="18"/>
        </w:rPr>
        <w:t xml:space="preserve">苏常柴A(000570)_公司公告_苏常柴A：2025年年度报告新浪财经_新浪网 — https://money.finance.sina.com.cn/corp/view/vCB_AllBulletinDetail.php?id=12083088&amp;stockid=000570&amp;utm_source=openai</w:t>
      </w:r>
    </w:p>
    <w:p>
      <w:pPr>
        <w:spacing w:after="200"/>
      </w:pPr>
      <w:r>
        <w:rPr>
          <w:i/>
          <w:iCs/>
          <w:color w:val="595959"/>
          <w:sz w:val="18"/>
          <w:szCs w:val="18"/>
        </w:rPr>
        <w:t xml:space="preserve">https://static.cninfo.com.cn/finalpage/2026-04-14/1225097214.PDF — https://static.cninfo.com.cn/finalpage/2026-04-14/1225097214.PDF</w:t>
      </w:r>
    </w:p>
    <w:p>
      <w:pPr>
        <w:spacing w:after="200"/>
      </w:pPr>
      <w:r>
        <w:rPr>
          <w:i/>
          <w:iCs/>
          <w:color w:val="595959"/>
          <w:sz w:val="18"/>
          <w:szCs w:val="18"/>
        </w:rPr>
        <w:t xml:space="preserve">苏常柴A(000570)_公司公告_苏常柴A：2025年年度报告新浪财经_新浪网 — https://money.finance.sina.com.cn/corp/view/vCB_AllBulletinDetail.php?id=12083088&amp;stockid=000570</w:t>
      </w:r>
    </w:p>
    <w:p>
      <w:pPr>
        <w:spacing w:after="200"/>
      </w:pPr>
      <w:r>
        <w:rPr>
          <w:i/>
          <w:iCs/>
          <w:color w:val="595959"/>
          <w:sz w:val="18"/>
          <w:szCs w:val="18"/>
        </w:rPr>
        <w:t xml:space="preserve">苏常柴Ａ：2021年净利润同比增长96.46% 拟10派0.26元_中证网 — https://www.cs.com.cn/xinpi/cis/202204/t20220413_6259441.html?utm_source=openai</w:t>
      </w:r>
    </w:p>
    <w:p>
      <w:pPr>
        <w:spacing w:after="200"/>
      </w:pPr>
      <w:r>
        <w:rPr>
          <w:i/>
          <w:iCs/>
          <w:color w:val="595959"/>
          <w:sz w:val="18"/>
          <w:szCs w:val="18"/>
        </w:rPr>
        <w:t xml:space="preserve">常柴股份有限公司2022 年年度报告全文 — https://stockn.xueqiu.com/SZ000570/20230411928783.pdf?utm_source=openai</w:t>
      </w:r>
    </w:p>
    <w:p>
      <w:pPr>
        <w:spacing w:after="200"/>
      </w:pPr>
      <w:r>
        <w:rPr>
          <w:i/>
          <w:iCs/>
          <w:color w:val="595959"/>
          <w:sz w:val="18"/>
          <w:szCs w:val="18"/>
        </w:rPr>
        <w:t xml:space="preserve">苏常柴A(000570)_公司公告_苏常柴A：2023年年度报告新浪财经_新浪网 — https://money.finance.sina.com.cn/corp/view/vCB_AllBulletinDetail.php?id=9960817&amp;stockid=000570&amp;utm_source=openai</w:t>
      </w:r>
    </w:p>
    <w:p>
      <w:pPr>
        <w:spacing w:after="200"/>
      </w:pPr>
      <w:r>
        <w:rPr>
          <w:i/>
          <w:iCs/>
          <w:color w:val="595959"/>
          <w:sz w:val="18"/>
          <w:szCs w:val="18"/>
        </w:rPr>
        <w:t xml:space="preserve">苏常柴A(000570)_公司公告_苏常柴A：2024年年度报告新浪财经_新浪网 — https://money.finance.sina.com.cn/corp/view/vCB_AllBulletinDetail.php?id=10862679&amp;stockid=000570&amp;utm_source=openai</w:t>
      </w:r>
    </w:p>
    <w:p>
      <w:pPr>
        <w:spacing w:after="200"/>
      </w:pPr>
      <w:r>
        <w:rPr>
          <w:i/>
          <w:iCs/>
          <w:color w:val="595959"/>
          <w:sz w:val="18"/>
          <w:szCs w:val="18"/>
        </w:rPr>
        <w:t xml:space="preserve">相关零部件的研发、生产与销售；苏常柴 A 主营业务为柴油机和汽油机的研发、生产与销售。 — https://static.cninfo.com.cn/finalpage/2025-06-24/1223956067.PDF?utm_source=openai</w:t>
      </w:r>
    </w:p>
    <w:p>
      <w:pPr>
        <w:spacing w:after="200"/>
      </w:pPr>
      <w:r>
        <w:rPr>
          <w:i/>
          <w:iCs/>
          <w:color w:val="595959"/>
          <w:sz w:val="18"/>
          <w:szCs w:val="18"/>
        </w:rPr>
        <w:t xml:space="preserve">数据 |2026年3月内燃机行业销量综述_中国内燃机工业网 — https://www.ciceia.org.cn/xinwendongtai/13053.html?utm_source=openai</w:t>
      </w:r>
    </w:p>
    <w:p>
      <w:pPr>
        <w:spacing w:after="200"/>
      </w:pPr>
      <w:r>
        <w:rPr>
          <w:i/>
          <w:iCs/>
          <w:color w:val="595959"/>
          <w:sz w:val="18"/>
          <w:szCs w:val="18"/>
        </w:rPr>
        <w:t xml:space="preserve">新柴股份(301032)_公司公告_新柴股份：2025年年度报告新浪财经_新浪网 — https://money.finance.sina.com.cn/corp/view/vCB_AllBulletinDetail.php?id=12139025&amp;stockid=301032&amp;utm_source=openai</w:t>
      </w:r>
    </w:p>
    <w:p>
      <w:pPr>
        <w:spacing w:after="200"/>
      </w:pPr>
      <w:r>
        <w:rPr>
          <w:i/>
          <w:iCs/>
          <w:color w:val="595959"/>
          <w:sz w:val="18"/>
          <w:szCs w:val="18"/>
        </w:rPr>
        <w:t xml:space="preserve">公司公告_云内动力：2024年年度报告新浪财经_新浪网 — https://vip.stock.finance.sina.com.cn/corp/view/vCB_AllBulletinDetail.php?id=11078023&amp;utm_source=openai</w:t>
      </w:r>
    </w:p>
    <w:p>
      <w:pPr>
        <w:spacing w:after="200"/>
      </w:pPr>
      <w:r>
        <w:rPr>
          <w:i/>
          <w:iCs/>
          <w:color w:val="595959"/>
          <w:sz w:val="18"/>
          <w:szCs w:val="18"/>
        </w:rPr>
        <w:t xml:space="preserve">第一拖拉机股份有限公司2024年年度报告 — https://static.cninfo.com.cn/finalpage/2025-03-28/1222923068.PDF?utm_source=openai</w:t>
      </w:r>
    </w:p>
    <w:p>
      <w:pPr>
        <w:spacing w:after="200"/>
      </w:pPr>
      <w:r>
        <w:rPr>
          <w:i/>
          <w:iCs/>
          <w:color w:val="595959"/>
          <w:sz w:val="18"/>
          <w:szCs w:val="18"/>
        </w:rPr>
        <w:t xml:space="preserve">苏常柴A(000570)_公司公告_苏常柴A：2026年半年度报告摘要新浪财经_新浪网 — https://money.finance.sina.com.cn/corp/view/vCB_AllBulletinDetail.php?id=12509579&amp;stockid=000570</w:t>
      </w:r>
    </w:p>
    <w:p>
      <w:pPr>
        <w:spacing w:after="200"/>
      </w:pPr>
      <w:r>
        <w:rPr>
          <w:i/>
          <w:iCs/>
          <w:color w:val="595959"/>
          <w:sz w:val="18"/>
          <w:szCs w:val="18"/>
        </w:rPr>
        <w:t xml:space="preserve">苏常柴A(000570)_公司公告_苏常柴A：2026年半年度报告新浪财经_新浪网 — https://money.finance.sina.com.cn/corp/view/vCB_AllBulletinDetail.php?id=12509580&amp;stockid=000570&amp;utm_source=openai</w:t>
      </w:r>
    </w:p>
    <w:p>
      <w:pPr>
        <w:spacing w:after="200"/>
      </w:pPr>
      <w:r>
        <w:rPr>
          <w:i/>
          <w:iCs/>
          <w:color w:val="595959"/>
          <w:sz w:val="18"/>
          <w:szCs w:val="18"/>
        </w:rPr>
        <w:t xml:space="preserve">苏常柴A(000570)个股分析_牛叉诊股_同花顺财经 — https://doctor.10jqka.com.cn/000570/?utm_source=openai</w:t>
      </w:r>
    </w:p>
    <w:p>
      <w:pPr>
        <w:spacing w:after="200"/>
      </w:pPr>
      <w:r>
        <w:rPr>
          <w:i/>
          <w:iCs/>
          <w:color w:val="595959"/>
          <w:sz w:val="18"/>
          <w:szCs w:val="18"/>
        </w:rPr>
        <w:t xml:space="preserve">苏常柴A(000570) 经营分析_F10_同花顺金融服务网 — https://basic.10jqka.com.cn/000570/operate.html?utm_source=openai</w:t>
      </w:r>
    </w:p>
    <w:p>
      <w:pPr>
        <w:spacing w:after="200"/>
      </w:pPr>
      <w:r>
        <w:rPr>
          <w:i/>
          <w:iCs/>
          <w:color w:val="595959"/>
          <w:sz w:val="18"/>
          <w:szCs w:val="18"/>
        </w:rPr>
        <w:t xml:space="preserve">研报 — https://news.10jqka.com.cn/field/sr/20260816/59293817.shtml</w:t>
      </w:r>
    </w:p>
    <w:p>
      <w:pPr>
        <w:spacing w:after="200"/>
      </w:pPr>
      <w:r>
        <w:rPr>
          <w:i/>
          <w:iCs/>
          <w:color w:val="595959"/>
          <w:sz w:val="18"/>
          <w:szCs w:val="18"/>
        </w:rPr>
        <w:t xml:space="preserve">苏常柴A(000570)股票行情_行情中心_财经_凤凰网 — https://finance.ifeng.com/app/hq/stock/sz000570/?utm_source=openai</w:t>
      </w:r>
    </w:p>
    <w:p>
      <w:pPr>
        <w:spacing w:after="200"/>
      </w:pPr>
      <w:r>
        <w:rPr>
          <w:i/>
          <w:iCs/>
          <w:color w:val="595959"/>
          <w:sz w:val="18"/>
          <w:szCs w:val="18"/>
        </w:rPr>
        <w:t xml:space="preserve">苏常柴A(000570)_股票行情，行情首页_中财网 — https://quote.cfi.cn/quote168_000570.html?utm_source=openai</w:t>
      </w:r>
    </w:p>
    <w:p>
      <w:pPr>
        <w:spacing w:after="200"/>
      </w:pPr>
      <w:r>
        <w:rPr>
          <w:i/>
          <w:iCs/>
          <w:color w:val="595959"/>
          <w:sz w:val="18"/>
          <w:szCs w:val="18"/>
        </w:rPr>
        <w:t xml:space="preserve">苏常柴A(000570)_股票行情，行情首页_中财网 — https://quote.cfi.cn/000570.html?utm_source=openai</w:t>
      </w:r>
    </w:p>
    <w:p>
      <w:pPr>
        <w:spacing w:after="200"/>
      </w:pPr>
      <w:r>
        <w:rPr>
          <w:i/>
          <w:iCs/>
          <w:color w:val="595959"/>
          <w:sz w:val="18"/>
          <w:szCs w:val="18"/>
        </w:rPr>
        <w:t xml:space="preserve">苏常柴A(000570)_公司公告_苏常柴A：2026年半年度报告摘要新浪财经_新浪网 — https://vip.stock.finance.sina.com.cn/corp/view/vCB_AllBulletinDetail.php?id=12509579&amp;stockid=000570</w:t>
      </w:r>
    </w:p>
    <w:p>
      <w:pPr>
        <w:spacing w:after="200"/>
      </w:pPr>
      <w:r>
        <w:rPr>
          <w:i/>
          <w:iCs/>
          <w:color w:val="595959"/>
          <w:sz w:val="18"/>
          <w:szCs w:val="18"/>
        </w:rPr>
        <w:t xml:space="preserve">苏常柴A(000570)公告(全部) - 理杏仁 — https://www.lixinger.com/equity/company/detail/sz/000570/570/announcement?type=all</w:t>
      </w:r>
    </w:p>
    <w:p>
      <w:pPr>
        <w:spacing w:after="200"/>
      </w:pPr>
      <w:r>
        <w:rPr>
          <w:i/>
          <w:iCs/>
          <w:color w:val="595959"/>
          <w:sz w:val="18"/>
          <w:szCs w:val="18"/>
        </w:rPr>
        <w:t xml:space="preserve">关于核销部分应收账款的议案 — https://disc.static.szse.cn/disc/disk03/finalpage/2026-08-26/5ed32e87-74d6-4efe-b546-e8bbe87b13b3.PDF</w:t>
      </w:r>
    </w:p>
    <w:p>
      <w:pPr>
        <w:spacing w:after="200"/>
      </w:pPr>
      <w:r>
        <w:rPr>
          <w:i/>
          <w:iCs/>
          <w:color w:val="595959"/>
          <w:sz w:val="18"/>
          <w:szCs w:val="18"/>
        </w:rPr>
        <w:t xml:space="preserve">关于核销部分应收账款的议案 — https://disc.static.szse.cn/disc/disk03/finalpage/2026-08-14/9ec5fedd-27cb-455c-945f-4805842f480c.PDF</w:t>
      </w:r>
    </w:p>
    <w:p>
      <w:pPr>
        <w:spacing w:after="200"/>
      </w:pPr>
      <w:r>
        <w:rPr>
          <w:i/>
          <w:iCs/>
          <w:color w:val="595959"/>
          <w:sz w:val="18"/>
          <w:szCs w:val="18"/>
        </w:rPr>
        <w:t xml:space="preserve">苏常柴A(000570)互动易 - 理杏仁 — https://www.lixinger.com/equity/company/detail/sz/000570/570/shareholders-interactions?utm_source=openai</w:t>
      </w:r>
    </w:p>
    <w:p>
      <w:pPr>
        <w:spacing w:after="200"/>
      </w:pPr>
      <w:r>
        <w:rPr>
          <w:i/>
          <w:iCs/>
          <w:color w:val="595959"/>
          <w:sz w:val="18"/>
          <w:szCs w:val="18"/>
        </w:rPr>
        <w:t xml:space="preserve">苏常柴A(000570)_股票行情，行情首页_中财网 — https://quote.cfi.cn/quote168_000570.html</w:t>
      </w:r>
    </w:p>
    <w:p>
      <w:pPr>
        <w:spacing w:after="200"/>
      </w:pPr>
      <w:r>
        <w:rPr>
          <w:i/>
          <w:iCs/>
          <w:color w:val="595959"/>
          <w:sz w:val="18"/>
          <w:szCs w:val="18"/>
        </w:rPr>
        <w:t xml:space="preserve">苏常柴A(000570)市盈率|估值|基本面 - 理杏仁 — https://www.lixinger.com/equity/company/detail/sz/000570/570/fundamental/valuation/pe-ttm</w:t>
      </w:r>
    </w:p>
    <w:p>
      <w:pPr>
        <w:spacing w:after="200"/>
      </w:pPr>
      <w:r>
        <w:rPr>
          <w:i/>
          <w:iCs/>
          <w:color w:val="595959"/>
          <w:sz w:val="18"/>
          <w:szCs w:val="18"/>
        </w:rPr>
        <w:t xml:space="preserve">Changchai Co Ltd (000570) 過去データ - Investing.com — https://jp.investing.com/equities/changchai-a-historical-data</w:t>
      </w:r>
    </w:p>
    <w:p>
      <w:pPr>
        <w:spacing w:after="200"/>
      </w:pPr>
      <w:r>
        <w:rPr>
          <w:i/>
          <w:iCs/>
          <w:color w:val="595959"/>
          <w:sz w:val="18"/>
          <w:szCs w:val="18"/>
        </w:rPr>
        <w:t xml:space="preserve">苏常柴Ａ(000570)股票行情走势技术分析_未来预测_买卖操作建议_英为财情Investing.com — https://cn.investing.com/equities/changchai-a-technical</w:t>
      </w:r>
    </w:p>
    <w:p>
      <w:pPr>
        <w:spacing w:after="200"/>
      </w:pPr>
      <w:r>
        <w:rPr>
          <w:i/>
          <w:iCs/>
          <w:color w:val="595959"/>
          <w:sz w:val="18"/>
          <w:szCs w:val="18"/>
        </w:rPr>
        <w:t xml:space="preserve">股票行情快报：苏常柴Ａ（000570）9月3日主力资金净卖出710.94万元_股票频道_证券之星 — https://stock.stockstar.com/RB2026090300038909.shtml?utm_source=openai</w:t>
      </w:r>
    </w:p>
    <w:p>
      <w:pPr>
        <w:spacing w:after="200"/>
      </w:pPr>
      <w:r>
        <w:rPr>
          <w:i/>
          <w:iCs/>
          <w:color w:val="595959"/>
          <w:sz w:val="18"/>
          <w:szCs w:val="18"/>
        </w:rPr>
        <w:t xml:space="preserve">苏常柴A(000570)_股票行情_证券之星 — https://stock.quote.stockstar.com/000570.shtml?utm_source=openai</w:t>
      </w:r>
    </w:p>
    <w:p>
      <w:pPr>
        <w:spacing w:after="200"/>
      </w:pPr>
      <w:r>
        <w:rPr>
          <w:i/>
          <w:iCs/>
          <w:color w:val="595959"/>
          <w:sz w:val="18"/>
          <w:szCs w:val="18"/>
        </w:rPr>
        <w:t xml:space="preserve">苏常柴A(000570.SZ)：2026年中报净利润为1.05亿元、同比较去年同期上涨43.09% _ 东方财富网 — https://finance.eastmoney.com/a/202608213848748058.html?utm_source=openai</w:t>
      </w:r>
    </w:p>
    <w:p>
      <w:pPr>
        <w:spacing w:after="200"/>
      </w:pPr>
      <w:r>
        <w:rPr>
          <w:i/>
          <w:iCs/>
          <w:color w:val="595959"/>
          <w:sz w:val="18"/>
          <w:szCs w:val="18"/>
        </w:rPr>
        <w:t xml:space="preserve">本报告由AI基于公开渠道信息自动检索、整理并生成，信息截至 截至2026年9月11日收盘；股东及机构持仓数据截至2026年6月30日，资金流向数据主要截至2026年9月4日，部分历史技术指标为独立估算值，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2026-09-13T15:16:29.975Z</dcterms:created>
  <dcterms:modified xsi:type="dcterms:W3CDTF">2026-09-13T15:16:29.975Z</dcterms:modified>
</cp:coreProperties>
</file>

<file path=docProps/custom.xml><?xml version="1.0" encoding="utf-8"?>
<Properties xmlns="http://schemas.openxmlformats.org/officeDocument/2006/custom-properties" xmlns:vt="http://schemas.openxmlformats.org/officeDocument/2006/docPropsVTypes"/>
</file>