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中国稀土集团资源科技股份有限公司 (000831)</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行业：稀土资源与冶炼分离</w:t>
      </w:r>
    </w:p>
    <w:p>
      <w:pPr>
        <w:jc w:val="center"/>
      </w:pPr>
      <w:r>
        <w:rPr>
          <w:color w:val="595959"/>
          <w:sz w:val="22"/>
          <w:szCs w:val="22"/>
        </w:rPr>
        <w:t xml:space="preserve">报告日期：2026年9月13日</w:t>
      </w:r>
    </w:p>
    <w:p>
      <w:pPr>
        <w:jc w:val="center"/>
      </w:pPr>
      <w:r>
        <w:rPr>
          <w:color w:val="595959"/>
          <w:sz w:val="20"/>
          <w:szCs w:val="20"/>
        </w:rPr>
        <w:t xml:space="preserve">截至2026年9月11日收盘；部分均线、布林带及资金流向数据存在平台口径或自行测算差异，详见相关指标说明。</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中国稀土2026年上半年呈现“收入下降、利润和现金流增长”的修复特征：实现营业收入16.47亿元，同比下降12.19%；归母净利润2.37亿元，同比增长46.53%；扣非归母净利润2.40亿元，同比增长55.49%；经营活动现金流量净额7.11亿元。利润改善主要来自稀土产品价格上涨、产品结构优化、采产销协同、成本控制及存货跌价准备转回，但现金流改善包含营运资金和库存周期因素，尚不能简单等同于长期盈利能力趋势。</w:t>
      </w:r>
    </w:p>
    <w:p>
      <w:pPr>
        <w:spacing w:after="160" w:line="300"/>
      </w:pPr>
      <w:r>
        <w:rPr>
          <w:sz w:val="22"/>
          <w:szCs w:val="22"/>
        </w:rPr>
        <w:t xml:space="preserve">公司仍是以稀土资源采选、冶炼分离、稀土氧化物和稀土金属为主的中上游企业，2025年稀土氧化物收入约23.74亿元、占主营业务收入约74.6%，稀土金属收入约7.88亿元。公司背靠中国稀土集团，在南方离子型及中重稀土资源整合方面具备平台属性，但江华矿山自有矿源尚不能完全覆盖冶炼需求，圣功寨和肥田稀土矿仍处于探转采推进阶段，原料自给率和成本控制能力相对有限。</w:t>
      </w:r>
    </w:p>
    <w:p>
      <w:pPr>
        <w:spacing w:after="160" w:line="300"/>
      </w:pPr>
      <w:r>
        <w:rPr>
          <w:sz w:val="22"/>
          <w:szCs w:val="22"/>
        </w:rPr>
        <w:t xml:space="preserve">盈利修复尚处于早期阶段。2025年公司实现营业收入31.82亿元、归母净利润1.73亿元，较2024年亏损2.87亿元扭亏；但2025年毛利率仅16.65%，显著低于2022—2023年水平，且2025年第四季度单季归母净利润仍亏损1960.70万元。2026年上半年稀土行业综合毛利率提升至22.41%，但第二季度归母净利润环比低于第一季度，反映产品价格和结构仍存在较强波动。</w:t>
      </w:r>
    </w:p>
    <w:p>
      <w:pPr>
        <w:spacing w:after="160" w:line="300"/>
      </w:pPr>
      <w:r>
        <w:rPr>
          <w:sz w:val="22"/>
          <w:szCs w:val="22"/>
        </w:rPr>
        <w:t xml:space="preserve">截至2026年9月11日，公司股价收于51.93元，低于主要短中期均线，MACD处于负值区域，近5个交易日连续回落，主力资金整体净流出；同时RSI约19.83、股价接近布林下轨，短线存在技术性修复可能但尚未形成趋势反转信号。按机构平均预测，2026—2028年归母净利润约为4.34亿元、5.04亿元和5.82亿元，对应当前股价的预测市盈率约130倍、111倍和97倍，市场已对稀土价格上涨、行业整合及盈利修复预期进行了较充分定价。</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000831</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中国稀土</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实际控制人</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国务院国资委直接监管的中国稀土集团</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公司定位</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资源采选＋冶炼分离＋部分精深加工的中上游稀土企业</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数据基准</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主要使用2025年年度报告、地方政府公开资料及中国稀土集团官网资料；财务及资源数据主要截至2025年12月31日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2025年年度报告披露日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2026年4月28日</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稀土资源开发：通过控股子公司中稀（湖南）稀土开发有限公司开展离子型稀土矿采选，产品包括碳酸稀土精矿、混合稀土氧化物精矿和混合氯化稀土等。</w:t>
      </w:r>
    </w:p>
    <w:p>
      <w:pPr>
        <w:pStyle w:val="ListParagraph"/>
        <w:numPr>
          <w:ilvl w:val="0"/>
          <w:numId w:val="2"/>
        </w:numPr>
        <w:spacing w:after="80" w:line="280"/>
      </w:pPr>
      <w:r>
        <w:rPr>
          <w:sz w:val="22"/>
          <w:szCs w:val="22"/>
        </w:rPr>
        <w:t xml:space="preserve">稀土冶炼分离：拥有定南大华、广州建丰、中稀（永州）稀土新材料等企业，生产不同纯度、物性及客户定制化的稀土氧化物、氯化物和盐类产品。</w:t>
      </w:r>
    </w:p>
    <w:p>
      <w:pPr>
        <w:pStyle w:val="ListParagraph"/>
        <w:numPr>
          <w:ilvl w:val="0"/>
          <w:numId w:val="2"/>
        </w:numPr>
        <w:spacing w:after="80" w:line="280"/>
      </w:pPr>
      <w:r>
        <w:rPr>
          <w:sz w:val="22"/>
          <w:szCs w:val="22"/>
        </w:rPr>
        <w:t xml:space="preserve">稀土金属及合金：生产和销售稀土金属及合金，主要面向磁性材料、合金材料、电子元器件及其他功能材料领域。</w:t>
      </w:r>
    </w:p>
    <w:p>
      <w:pPr>
        <w:pStyle w:val="ListParagraph"/>
        <w:numPr>
          <w:ilvl w:val="0"/>
          <w:numId w:val="2"/>
        </w:numPr>
        <w:spacing w:after="80" w:line="280"/>
      </w:pPr>
      <w:r>
        <w:rPr>
          <w:sz w:val="22"/>
          <w:szCs w:val="22"/>
        </w:rPr>
        <w:t xml:space="preserve">精深加工、研发及技术服务：开展稀土深加工、新材料研发生产、稀土技术研发与咨询服务，产品应用于磁性材料、发光材料、催化材料、晶体材料、合金材料、高性能陶瓷及电子元器件等领域。</w:t>
      </w:r>
    </w:p>
    <w:p>
      <w:pPr>
        <w:pStyle w:val="ListParagraph"/>
        <w:numPr>
          <w:ilvl w:val="0"/>
          <w:numId w:val="2"/>
        </w:numPr>
        <w:spacing w:after="80" w:line="280"/>
      </w:pPr>
      <w:r>
        <w:rPr>
          <w:sz w:val="22"/>
          <w:szCs w:val="22"/>
        </w:rPr>
        <w:t xml:space="preserve">2025年业务结构：稀土氧化物收入约23.74亿元，占主营业务收入约74.6%；稀土金属收入约7.88亿元，占主营业务收入约24.7%。稀土氧化物毛利率为16.70%，稀土金属毛利率为15.19%，稀土行业主营业务收入约31.82亿元，毛利率为16.65%。</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中国稀土位于稀土产业链中上游，收入和利润仍主要来自稀土资源采选、冶炼分离、稀土氧化物及稀土金属，而非下游磁材或终端器件。公司拥有江华稀土矿及冶炼分离能力，但自有矿源尚不能完全覆盖冶炼需求，整体属于“资源有壁垒、产品价格受市场影响”的资源与加工型周期企业。</w:t>
      </w:r>
    </w:p>
    <w:p>
      <w:pPr>
        <w:pStyle w:val="ListParagraph"/>
        <w:numPr>
          <w:ilvl w:val="0"/>
          <w:numId w:val="2"/>
        </w:numPr>
        <w:spacing w:after="80" w:line="280"/>
      </w:pPr>
      <w:r>
        <w:rPr>
          <w:sz w:val="22"/>
          <w:szCs w:val="22"/>
        </w:rPr>
        <w:t xml:space="preserve">公司上游投入主要包括离子型稀土矿、稀土精矿及混合稀土原料，以及酸、碱、盐类等冶炼分离辅助材料、能源、环保处理材料和包装材料。</w:t>
      </w:r>
    </w:p>
    <w:p>
      <w:pPr>
        <w:pStyle w:val="ListParagraph"/>
        <w:numPr>
          <w:ilvl w:val="0"/>
          <w:numId w:val="2"/>
        </w:numPr>
        <w:spacing w:after="80" w:line="280"/>
      </w:pPr>
      <w:r>
        <w:rPr>
          <w:sz w:val="22"/>
          <w:szCs w:val="22"/>
        </w:rPr>
        <w:t xml:space="preserve">公司拥有江华稀土矿这一在产矿山，但自有矿山供应量不能完全覆盖冶炼分离需求；2025年年度报告披露，部分稀土冶炼分离原材料仍需向外部采购，原材料供应安全存在一定风险。</w:t>
      </w:r>
    </w:p>
    <w:p>
      <w:pPr>
        <w:pStyle w:val="ListParagraph"/>
        <w:numPr>
          <w:ilvl w:val="0"/>
          <w:numId w:val="2"/>
        </w:numPr>
        <w:spacing w:after="80" w:line="280"/>
      </w:pPr>
      <w:r>
        <w:rPr>
          <w:sz w:val="22"/>
          <w:szCs w:val="22"/>
        </w:rPr>
        <w:t xml:space="preserve">成本主要受稀土矿及稀土氧化物市场价格、国家稀土开采和冶炼分离总量指标、外购原料采购价格、酸碱及能源环保成本、库存周期和稀土价格波动影响。</w:t>
      </w:r>
    </w:p>
    <w:p>
      <w:pPr>
        <w:pStyle w:val="ListParagraph"/>
        <w:numPr>
          <w:ilvl w:val="0"/>
          <w:numId w:val="2"/>
        </w:numPr>
        <w:spacing w:after="80" w:line="280"/>
      </w:pPr>
      <w:r>
        <w:rPr>
          <w:sz w:val="22"/>
          <w:szCs w:val="22"/>
        </w:rPr>
        <w:t xml:space="preserve">公司对上游稀土资源具有一定获取优势，但相较拥有大规模低成本稀土精矿资源的北方稀土，资源自给率和成本控制能力偏弱。</w:t>
      </w:r>
    </w:p>
    <w:p>
      <w:pPr>
        <w:pStyle w:val="ListParagraph"/>
        <w:numPr>
          <w:ilvl w:val="0"/>
          <w:numId w:val="2"/>
        </w:numPr>
        <w:spacing w:after="80" w:line="280"/>
      </w:pPr>
      <w:r>
        <w:rPr>
          <w:sz w:val="22"/>
          <w:szCs w:val="22"/>
        </w:rPr>
        <w:t xml:space="preserve">江华稀土矿是目前在产资源；圣功寨和肥田稀土矿仍处于探转采推进阶段，不能视为已经形成可生产产能。</w:t>
      </w:r>
    </w:p>
    <w:p>
      <w:pPr>
        <w:pStyle w:val="ListParagraph"/>
        <w:numPr>
          <w:ilvl w:val="0"/>
          <w:numId w:val="2"/>
        </w:numPr>
        <w:spacing w:after="80" w:line="280"/>
      </w:pPr>
      <w:r>
        <w:rPr>
          <w:sz w:val="22"/>
          <w:szCs w:val="22"/>
        </w:rPr>
        <w:t xml:space="preserve">公司产品主要进入钕铁硼等磁性材料、发光材料、催化材料、合金材料、晶体材料、高性能陶瓷、电子元器件，以及新能源、节能电机和机器人等应用领域。</w:t>
      </w:r>
    </w:p>
    <w:p>
      <w:pPr>
        <w:pStyle w:val="ListParagraph"/>
        <w:numPr>
          <w:ilvl w:val="0"/>
          <w:numId w:val="2"/>
        </w:numPr>
        <w:spacing w:after="80" w:line="280"/>
      </w:pPr>
      <w:r>
        <w:rPr>
          <w:sz w:val="22"/>
          <w:szCs w:val="22"/>
        </w:rPr>
        <w:t xml:space="preserve">稀土氧化物和稀土金属多数属于标准化或半标准化材料，产品价格受稀土价格、供需周期和政策调控影响较大，公司对终端价格的主动定价能力有限。</w:t>
      </w:r>
    </w:p>
    <w:p>
      <w:pPr>
        <w:pStyle w:val="ListParagraph"/>
        <w:numPr>
          <w:ilvl w:val="0"/>
          <w:numId w:val="2"/>
        </w:numPr>
        <w:spacing w:after="80" w:line="280"/>
      </w:pPr>
      <w:r>
        <w:rPr>
          <w:sz w:val="22"/>
          <w:szCs w:val="22"/>
        </w:rPr>
        <w:t xml:space="preserve">公司能够根据客户需求提供不同纯度和特殊物性的产品，但对下游终端需求的控制力弱于拥有品牌、配方、终端认证和核心器件能力的下游材料或磁材企业。</w:t>
      </w:r>
    </w:p>
    <w:p>
      <w:pPr>
        <w:pStyle w:val="ListParagraph"/>
        <w:numPr>
          <w:ilvl w:val="0"/>
          <w:numId w:val="2"/>
        </w:numPr>
        <w:spacing w:after="80" w:line="280"/>
      </w:pPr>
      <w:r>
        <w:rPr>
          <w:sz w:val="22"/>
          <w:szCs w:val="22"/>
        </w:rPr>
        <w:t xml:space="preserve">研究纪要未披露2025年或其他年度前五大客户合计销售占比，因此无法据此确认最终客户集中度。2025年年报披露的关联应收账款中，中国稀土集团国际贸易有限公司期末应收账款约3.15亿元，占公司期末应收账款约3.14亿元的绝大部分；该数据属于关联方应收项目，不等同于最终终端客户集中度，且不能直接推导出终端客户集中度。</w:t>
      </w:r>
    </w:p>
    <w:p>
      <w:pPr>
        <w:pStyle w:val="ListParagraph"/>
        <w:numPr>
          <w:ilvl w:val="0"/>
          <w:numId w:val="2"/>
        </w:numPr>
        <w:spacing w:after="80" w:line="280"/>
      </w:pPr>
      <w:r>
        <w:rPr>
          <w:sz w:val="22"/>
          <w:szCs w:val="22"/>
        </w:rPr>
        <w:t xml:space="preserve">稀土产品交易通常受市场价格或行业基准价格影响，公司面对的是稀土价格周期、供需变化和政策调控，而非完全由公司自主定价；下游产品结构升级和定制化能力可能改善产品竞争力，但相关改善幅度在纪要中未量化。</w:t>
      </w:r>
    </w:p>
    <w:p>
      <w:pPr>
        <w:pStyle w:val="ListParagraph"/>
        <w:numPr>
          <w:ilvl w:val="0"/>
          <w:numId w:val="2"/>
        </w:numPr>
        <w:spacing w:after="80" w:line="280"/>
      </w:pPr>
      <w:r>
        <w:rPr>
          <w:sz w:val="22"/>
          <w:szCs w:val="22"/>
        </w:rPr>
        <w:t xml:space="preserve">截至2025年12月31日，应收账款约3.14亿元，占全年营业收入约9.87%；应付账款约7482万元，占营业成本约2.82%。截至2024年12月31日，应收账款约3.29亿元，占营业收入约10.86%；应付账款约2.22亿元，占营业成本约8.70%。2025年应付账款规模明显低于2024年，而应收账款占收入比例仍接近10%，显示公司需要一定资金支持销售和上下游结算；但由于2025年应收账款中约3.15亿元来自中国稀土集团国际贸易有限公司，不能仅凭应收账款比例判断公司对独立外部客户的议价能力。</w:t>
      </w:r>
    </w:p>
    <w:p>
      <w:pPr>
        <w:pStyle w:val="ListParagraph"/>
        <w:numPr>
          <w:ilvl w:val="0"/>
          <w:numId w:val="2"/>
        </w:numPr>
        <w:spacing w:after="80" w:line="280"/>
      </w:pPr>
      <w:r>
        <w:rPr>
          <w:sz w:val="22"/>
          <w:szCs w:val="22"/>
        </w:rPr>
        <w:t xml:space="preserve">研究纪要未提供前五大客户合计占比，也未提供上游前五大供应商采购占比，因此客户及供应商集中度均无法量化。可确认的关联结算信号是：截至2025年末，中国稀土集团国际贸易有限公司应收账款约3.15亿元，占公司期末应收账款约3.14亿元的绝大部分；该数据为关联方应收项目，不等同于终端客户集中度，数据来源主要为2025年年度报告，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约29.81%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约11.24%</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稀土价格和行业景气度相对较高，资源及冶炼分离业务盈利水平较好，产品价格上涨对毛利形成支撑。</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约22.35%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约11.02%</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稀土价格回落、行业供需趋弱，产品销售价格下降，毛利率较2022年回落；资源、冶炼分离和产品结构仍对净利率形成支撑。</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15.75%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约-9.30%</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稀土价格下行、产品销售价格承压，存货跌价及资产减值等因素拖累利润；稀土矿产量约2384吨，但矿产品主要用于内部冶炼分离，资源端对利润的直接贡献仍有限。</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16.65%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约5.73%</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稀土氧化物收入增长，稀土金属收入下降但成本降幅更大，整体毛利率同比提升0.90个百分点；减值压力较2024年明显缓解，净利润恢复为正。净利率为公开财务指标口径，具体计算口径可能存在差异，应以公司年报合并利润表为准。</w:t>
            </w:r>
          </w:p>
        </w:tc>
      </w:tr>
    </w:tbl>
    <w:p>
      <w:pPr>
        <w:spacing w:before="200"/>
      </w:pPr>
    </w:p>
    <w:p>
      <w:pPr>
        <w:spacing w:after="160" w:line="300"/>
      </w:pPr>
      <w:r>
        <w:rPr>
          <w:sz w:val="22"/>
          <w:szCs w:val="22"/>
        </w:rPr>
        <w:t xml:space="preserve">公司处于稀土产业链中上游，属于“拥有稀土矿山但自有矿源尚不足以完全覆盖冶炼需求、同时具备冶炼分离能力”的资源与加工型企业，整体更接近中上游资源加工环节而非下游品牌或终端高附加值环节。利润改善主要取决于稀土产品价格回升、江华矿山产能释放、圣功寨和肥田实现探转采、外购原料占比下降，以及高纯氧化物和定制化产品占比提升。</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16.4661亿元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同比下降12.19%</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归属于上市公司股东的净利润2.3695亿元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同比增长46.53%</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约8.26亿元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同比下降28.03%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归母净利润约9839.81万元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同比增长10.45%</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31.8209亿元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同比增长5.11%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归属于上市公司股东的净利润1.7258亿元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较2024年亏损2.8691亿元扭亏，同比增长160.15%</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归属于上市公司股东的净利润亏损2.8691亿元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bl>
    <w:p>
      <w:pPr>
        <w:spacing w:after="200"/>
      </w:pPr>
      <w:r>
        <w:rPr>
          <w:i/>
          <w:iCs/>
          <w:color w:val="595959"/>
          <w:sz w:val="18"/>
          <w:szCs w:val="18"/>
        </w:rPr>
        <w:t xml:space="preserve">2026年半年度报告截至2026年6月30日，披露于2026年8月8日，未经审计。2026年上半年扣除非经常性损益后的归母净利润为2.4042亿元，同比增长55.49%；基本每股收益为0.2233元，同比增长46.52%。2025年扣非归母净利润为1.6000亿元，2024年为亏损1.4470亿元；2025年基本每股收益为0.1626元，2024年为亏损每股0.2704元。</w:t>
      </w:r>
    </w:p>
    <w:p>
      <w:pPr>
        <w:spacing w:after="160" w:line="300"/>
      </w:pPr>
      <w:r>
        <w:rPr>
          <w:sz w:val="22"/>
          <w:szCs w:val="22"/>
        </w:rPr>
        <w:t xml:space="preserve">公司2026年上半年收入同比下降而利润保持较快增长，主要与稀土产品价格上涨、产品结构优化、成本控制改善及存货跌价准备转回有关。稀土行业综合毛利率为22.41%，同比提升9.04个百分点；稀土氧化物收入12.8239亿元，同比增长7.68%，毛利率22.23%；稀土金属及合金收入3.5329亿元，同比下降47.60%，毛利率21.44%。公司主动压缩部分贸易及稀土金属业务，收入下降但盈利质量有所改善。2026年上半年经营活动产生的现金流量净额为7.1071亿元，上年同期为净流出4559.57万元；现金流改善具有较强的营运资金及库存周期因素，不能简单等同于利润长期增长。2026年第二季度单季净利润环比低于一季度，显示稀土价格及产品结构仍具有较强波动性。2025年第四季度单季归母净利润亏损1960.70万元，全年盈利仍处于修复初期。2025年稀土氧化物收入23.7406亿元，占营业收入约74.61%，同比增长30.81%；稀土金属收入7.8761亿元，同比下降31.87%。</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机构平均预测截至2026年8月19日，公开可检索的同花顺F10数据显示6个月内共有4家机构进行盈利预测。上述预测为机构预测汇总，不是公司业绩承诺；不同平台的机构数量和预测结果存在更新时点差异。2026年收入预测区间为32.42亿至41.96亿元，2027年为34.28亿至45.48亿元，2028年为35.90亿至51.56亿元。各机构归母净利润预测区间：2026年约3.97亿至4.72亿元，2028年约4.92亿至6.61亿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机构平均预测约37.04亿元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归母净利润约4.34亿元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相较2025年归母净利润1.7258亿元，约为机构预测汇总值，未提供统一同比增速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约0.41元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机构平均预测约39.77亿元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归母净利润约5.04亿元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同比增长约16.13%（按机构平均预测值计算）</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约0.48元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机构平均预测约42.71亿元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归母净利润约5.82亿元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同比增长约15.48%（按机构平均预测值计算）</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约0.55元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渤海证券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2026年8月18日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预计2026—2028年归母净利润分别为4.02亿元、4.48亿元、4.92亿元，EPS分别为0.38元、0.42元、0.46元；认为公司主动优化产品结构和贸易业务，短期收入增长可能弱于利润增长。</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华龙证券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2026年8月11日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预计2026—2028年归母净利润分别为3.97亿元、4.87亿元、5.48亿元，EPS分别为0.37元、0.46元、0.52元；对应预测市盈率约155.9倍、127.1倍和113倍。</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东莞证券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2026年5月19日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预计2026—2028年营业收入分别为40.96亿元、45.48亿元和51.56亿元，归母净利润分别为4.65亿元、5.46亿元和6.29亿元，EPS分别为0.44元、0.51元和0.59元；对应预测市盈率约121.82倍、103.83倍和90.13倍。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华安证券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2026年4月29日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预计2026—2028年归母净利润分别为4.72亿元、5.37亿元和6.61亿元，EPS分别为0.44元、0.51元和0.62元。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天风证券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2026年8月27日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公开摘要显示预计2026—2028年归母净利润分别为4.40亿元、5.19亿元和5.70亿元；预测较部分早期机构更为谨慎，主要考虑2026年第二季度中重稀土价格及利润环比走弱。</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花旗</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2026年8月10日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将目标价从61.6元上调至65.8元；以2027年预期市净率为主要估值方法，目标价对应2027年预期市盈率约96.9倍，并提示稀土价格、政策、贸易壁垒及下游需求波动风险。</w:t>
            </w:r>
          </w:p>
        </w:tc>
      </w:tr>
    </w:tbl>
    <w:p>
      <w:pPr>
        <w:spacing w:before="200"/>
      </w:pPr>
    </w:p>
    <w:p>
      <w:pPr>
        <w:spacing w:after="160" w:line="300"/>
      </w:pPr>
      <w:r>
        <w:rPr>
          <w:sz w:val="22"/>
          <w:szCs w:val="22"/>
        </w:rPr>
        <w:t xml:space="preserve">截至2026年9月10日约11:16，股价约53.34元，下跌1.88%，总股本约10.61亿股，总市值约566亿元；中财网显示动态市盈率约228.41倍、扣非动态市盈率约230.29倍、市净率约10.79倍。另一平台截至2026年9月7日附近显示市盈率约235倍、市净率约11.59倍、总市值约583亿元，差异主要源于取价时间不同。按2026—2028年机构平均预测EPS约0.41元、0.48元和0.55元计算，股价53.34元分别对应预测市盈率约130倍、111倍和97倍。按不同机构预测，2026年对应市盈率约为：渤海证券140倍以上、华龙证券约156倍、东莞证券约122倍、华安证券约110倍。可查到的机构目标价为61.6元至65.8元，但公开样本较少，不能视为严格意义上的市场一致目标价。当前估值明显高于传统有色金属行业，市场已对稀土价格上涨、行业供给管控、集团资源整合及公司盈利修复进行了较充分定价。估值能否消化，主要取决于镨钕、镝、铽等产品价格能否维持高位，公司2026年下半年及2027年能否将上半年盈利改善转化为持续主营盈利，以及中国稀土集团内部资源整合、矿山探转采及资产注入预期能否兑现。公司盈利对稀土价格、库存减值、产品结构、行业政策及资源整合进度高度敏感，历史利润波动较大，预测不确定性较高。整体估值更接近“高景气周期修复+战略资源溢价”逻辑，而非传统低估值周期股逻辑。</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2026年半年度业绩：营收同比下降，归母净利润和经营现金流增长</w:t>
      </w:r>
    </w:p>
    <w:p>
      <w:pPr>
        <w:spacing w:after="160" w:line="300"/>
      </w:pPr>
      <w:r>
        <w:rPr>
          <w:sz w:val="22"/>
          <w:szCs w:val="22"/>
        </w:rPr>
        <w:t xml:space="preserve">公司于2026年8月8日披露2026年半年度报告。2026年上半年实现营业收入16.4661亿元，同比下降12.19%；归属于上市公司股东的净利润2.3695亿元，同比增长46.53%；扣除非经常性损益后的归母净利润2.4042亿元，同比增长55.49%；经营活动现金流量净额7.1071亿元，上年同期为净流出4559.57万元。公司在2026年8月17日业绩说明会上表示，收入下降主要与调整采销策略、优化产品结构及调整贸易业务有关；利润增长主要受稀土行业供需格局改善、镨钕产品价格同比上涨、采产销协同及高端高值和定制化产品开发等因素影响。</w:t>
      </w:r>
    </w:p>
    <w:p>
      <w:pPr>
        <w:pStyle w:val="Heading2"/>
        <w:spacing w:after="120" w:before="240"/>
      </w:pPr>
      <w:r>
        <w:rPr>
          <w:b/>
          <w:bCs/>
          <w:color w:val="2E74B5"/>
          <w:sz w:val="24"/>
          <w:szCs w:val="24"/>
        </w:rPr>
        <w:t xml:space="preserve">4.2 存货跌价准备转回，对上半年利润形成正向影响</w:t>
      </w:r>
    </w:p>
    <w:p>
      <w:pPr>
        <w:spacing w:after="160" w:line="300"/>
      </w:pPr>
      <w:r>
        <w:rPr>
          <w:sz w:val="22"/>
          <w:szCs w:val="22"/>
        </w:rPr>
        <w:t xml:space="preserve">公司于2026年8月8日披露2026年半年度计提资产减值准备公告。2026年1—6月计入资产减值损失科目的金额为-2464.52万元，全部为存货跌价损失，相关减值准备转回并增加2026年上半年合并利润总额2464.52万元；固定资产减值损失为0。截至2026年6月30日，公司存货账面余额205219.26万元，存货跌价准备余额22524.37万元，存货可收回金额182694.89万元。该项减值数据未经审计。</w:t>
      </w:r>
    </w:p>
    <w:p>
      <w:pPr>
        <w:pStyle w:val="Heading2"/>
        <w:spacing w:after="120" w:before="240"/>
      </w:pPr>
      <w:r>
        <w:rPr>
          <w:b/>
          <w:bCs/>
          <w:color w:val="2E74B5"/>
          <w:sz w:val="24"/>
          <w:szCs w:val="24"/>
        </w:rPr>
        <w:t xml:space="preserve">4.3 广晟控股拟减持不超过公司总股本1%</w:t>
      </w:r>
    </w:p>
    <w:p>
      <w:pPr>
        <w:spacing w:after="160" w:line="300"/>
      </w:pPr>
      <w:r>
        <w:rPr>
          <w:sz w:val="22"/>
          <w:szCs w:val="22"/>
        </w:rPr>
        <w:t xml:space="preserve">公司于2026年8月21日披露持股5%以上股东广东省广晟控股集团有限公司的减持计划。公告披露日，广晟控股持有公司100,587,368股，占公司总股本9.48%；计划在公告披露日起15个交易日后的3个月内，通过集中竞价方式减持不超过10,612,208股，即不超过公司总股本的1%。减持原因为股东经营发展和资金安排需要，股份来源为行政划转取得。按公告日期计算，减持窗口预计自2026年9月11日左右开始，至2026年12月中旬左右结束；具体实施时间、价格和最终减持数量存在不确定性。</w:t>
      </w:r>
    </w:p>
    <w:p>
      <w:pPr>
        <w:pStyle w:val="Heading2"/>
        <w:spacing w:after="120" w:before="240"/>
      </w:pPr>
      <w:r>
        <w:rPr>
          <w:b/>
          <w:bCs/>
          <w:color w:val="2E74B5"/>
          <w:sz w:val="24"/>
          <w:szCs w:val="24"/>
        </w:rPr>
        <w:t xml:space="preserve">4.4 减持计划尚未显示已实际执行</w:t>
      </w:r>
    </w:p>
    <w:p>
      <w:pPr>
        <w:spacing w:after="160" w:line="300"/>
      </w:pPr>
      <w:r>
        <w:rPr>
          <w:sz w:val="22"/>
          <w:szCs w:val="22"/>
        </w:rPr>
        <w:t xml:space="preserve">截至2026年9月13日，检索到的是广晟控股减持计划预披露，未发现其已经完成具体减持数量、减持均价或减持比例的后续公告。目前应按潜在供给增加而非已实际减持处理。广晟控股不是公司控股股东或实际控制人，公司控股股东体系仍为中国稀土集团相关主体；本次减持不会导致控股股东及实际控制人发生变化。</w:t>
      </w:r>
    </w:p>
    <w:p>
      <w:pPr>
        <w:pStyle w:val="Heading2"/>
        <w:spacing w:after="120" w:before="240"/>
      </w:pPr>
      <w:r>
        <w:rPr>
          <w:b/>
          <w:bCs/>
          <w:color w:val="2E74B5"/>
          <w:sz w:val="24"/>
          <w:szCs w:val="24"/>
        </w:rPr>
        <w:t xml:space="preserve">4.5 暂无新的三季度业绩预告、业绩快报及回购公告</w:t>
      </w:r>
    </w:p>
    <w:p>
      <w:pPr>
        <w:spacing w:after="160" w:line="300"/>
      </w:pPr>
      <w:r>
        <w:rPr>
          <w:sz w:val="22"/>
          <w:szCs w:val="22"/>
        </w:rPr>
        <w:t xml:space="preserve">截至2026年9月13日，2026年半年度报告及相关公告检索中未发现新的2026年三季度业绩预告或业绩快报。按公司近期公告列表及“回购”关键词检索，未发现公司在2026年8月至9月披露新的股份回购计划或回购实施公告。</w:t>
      </w:r>
    </w:p>
    <w:p>
      <w:pPr>
        <w:pStyle w:val="Heading2"/>
        <w:spacing w:after="120" w:before="240"/>
      </w:pPr>
      <w:r>
        <w:rPr>
          <w:b/>
          <w:bCs/>
          <w:color w:val="2E74B5"/>
          <w:sz w:val="24"/>
          <w:szCs w:val="24"/>
        </w:rPr>
        <w:t xml:space="preserve">4.6 2025年度现金分红已完成</w:t>
      </w:r>
    </w:p>
    <w:p>
      <w:pPr>
        <w:spacing w:after="160" w:line="300"/>
      </w:pPr>
      <w:r>
        <w:rPr>
          <w:sz w:val="22"/>
          <w:szCs w:val="22"/>
        </w:rPr>
        <w:t xml:space="preserve">公司披露，2025年度利润分配方案为每10股派发现金红利0.29元，合计派发现金红利约3077.54万元；相关权益分派工作截至2026年8月公告时已经完成。公司同时制定了2026—2028年股东分红回报规划。</w:t>
      </w:r>
    </w:p>
    <w:p>
      <w:pPr>
        <w:pStyle w:val="Heading2"/>
        <w:spacing w:after="120" w:before="240"/>
      </w:pPr>
      <w:r>
        <w:rPr>
          <w:b/>
          <w:bCs/>
          <w:color w:val="2E74B5"/>
          <w:sz w:val="24"/>
          <w:szCs w:val="24"/>
        </w:rPr>
        <w:t xml:space="preserve">4.7 公司继续关注稀土资源并购整合机会，但暂无具体交易</w:t>
      </w:r>
    </w:p>
    <w:p>
      <w:pPr>
        <w:spacing w:after="160" w:line="300"/>
      </w:pPr>
      <w:r>
        <w:rPr>
          <w:sz w:val="22"/>
          <w:szCs w:val="22"/>
        </w:rPr>
        <w:t xml:space="preserve">2026年半年度报告显示，公司继续关注稀土资源投资并购机会，并计划结合发展规划适时开展稀土资源并购整合。该表述属于战略方向或风险应对安排，不等同于已经签署具体并购协议。报告期内公司不存在重大股权投资、重大资产出售等事项。截至2026年9月13日，尚未看到明确的交易对手、标的资产、交易金额或董事会审议中的具体并购项目。</w:t>
      </w:r>
    </w:p>
    <w:p>
      <w:pPr>
        <w:pStyle w:val="Heading2"/>
        <w:spacing w:after="120" w:before="240"/>
      </w:pPr>
      <w:r>
        <w:rPr>
          <w:b/>
          <w:bCs/>
          <w:color w:val="2E74B5"/>
          <w:sz w:val="24"/>
          <w:szCs w:val="24"/>
        </w:rPr>
        <w:t xml:space="preserve">4.8 行业政策和稀土价格对经营形成支持，公司加强原料保障</w:t>
      </w:r>
    </w:p>
    <w:p>
      <w:pPr>
        <w:spacing w:after="160" w:line="300"/>
      </w:pPr>
      <w:r>
        <w:rPr>
          <w:sz w:val="22"/>
          <w:szCs w:val="22"/>
        </w:rPr>
        <w:t xml:space="preserve">公司在2026年8月17日业绩说明会上表示，2026年上半年稀土行业供需格局持续调整优化，稀土产业政策及下游需求对市场行情形成支持，镨钕产品价格较2025年同期涨幅明显。公司将结合政策和市场变化开展原料储备，加强与中国稀土集团及相关企业的采销协同，并拓展原料采购渠道和合作模式，以保障生产原料供应。上述内容属于公司对行业环境和经营安排的判断，并非公司获得特定政策补贴或监管豁免。</w:t>
      </w:r>
    </w:p>
    <w:p>
      <w:pPr>
        <w:pStyle w:val="Heading2"/>
        <w:spacing w:after="120" w:before="240"/>
      </w:pPr>
      <w:r>
        <w:rPr>
          <w:b/>
          <w:bCs/>
          <w:color w:val="2E74B5"/>
          <w:sz w:val="24"/>
          <w:szCs w:val="24"/>
        </w:rPr>
        <w:t xml:space="preserve">4.9 “质量回报双提升”行动推进公司治理制度建设</w:t>
      </w:r>
    </w:p>
    <w:p>
      <w:pPr>
        <w:spacing w:after="160" w:line="300"/>
      </w:pPr>
      <w:r>
        <w:rPr>
          <w:sz w:val="22"/>
          <w:szCs w:val="22"/>
        </w:rPr>
        <w:t xml:space="preserve">公司2026年8月披露的“质量回报双提升”行动进展显示，2026年上半年修订或新增了董事、高级管理人员薪酬管理，信息披露暂缓与豁免，董事及高管离职管理，关联交易管理，投资管理及全面预算管理等制度，重点加强公司治理、关联交易、投资决策和信息披露管理。</w:t>
      </w:r>
    </w:p>
    <w:p>
      <w:pPr>
        <w:pStyle w:val="Heading2"/>
        <w:spacing w:after="120" w:before="240"/>
      </w:pPr>
      <w:r>
        <w:rPr>
          <w:b/>
          <w:bCs/>
          <w:color w:val="2E74B5"/>
          <w:sz w:val="24"/>
          <w:szCs w:val="24"/>
        </w:rPr>
        <w:t xml:space="preserve">4.10 截至2026年9月13日未检索到新增监管处罚事项</w:t>
      </w:r>
    </w:p>
    <w:p>
      <w:pPr>
        <w:spacing w:after="160" w:line="300"/>
      </w:pPr>
      <w:r>
        <w:rPr>
          <w:sz w:val="22"/>
          <w:szCs w:val="22"/>
        </w:rPr>
        <w:t xml:space="preserve">截至2026年9月13日，未检索到中国证监会或深圳证券交易所针对中国稀土新增立案调查、行政处罚或纪律处分的公告。该结论仅代表本次公开网页及公告检索结果，不排除存在尚未公开披露或检索遗漏的情况。</w:t>
      </w:r>
    </w:p>
    <w:p>
      <w:pPr>
        <w:pStyle w:val="Heading2"/>
        <w:spacing w:after="120" w:before="240"/>
      </w:pPr>
      <w:r>
        <w:rPr>
          <w:b/>
          <w:bCs/>
          <w:color w:val="2E74B5"/>
          <w:sz w:val="24"/>
          <w:szCs w:val="24"/>
        </w:rPr>
        <w:t xml:space="preserve">4.11 9月截至13日暂未检索到新的重大公司公告</w:t>
      </w:r>
    </w:p>
    <w:p>
      <w:pPr>
        <w:spacing w:after="160" w:line="300"/>
      </w:pPr>
      <w:r>
        <w:rPr>
          <w:sz w:val="22"/>
          <w:szCs w:val="22"/>
        </w:rPr>
        <w:t xml:space="preserve">按2026年9月及2026年8月公告检索，公司在2026年9月截至9月13日暂未检索到新的重大公司公告。近期明确的重要事项包括2026年8月8日披露的半年度报告及资产减值准备公告、2026年8月17日披露的半年度业绩说明会投资者关系活动记录、2026年8月21日披露的持股5%以上股东减持计划预披露公告，以及“质量回报双提升”行动进展公告。</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证券代码/简称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000831，中国稀土；深圳证券交易所主板上市，部分行情页面仍沿用曾用名“五矿稀土”</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51.93元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下跌1.43元，跌幅2.68%</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开盘价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52.40元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最高价/最低价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52.59元 / 51.33元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约21.84万手</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约11.32亿元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2.06%</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总股本约10.61亿股；总市值约551.09亿元，按收盘价×总股本估算</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动态市盈率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约319.37倍；行情页面数据，不同平台的利润预测口径可能不同</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52周高点/低点</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66.88元 / 42.60元；当前收盘价较高点低约22%，较低点高约22%</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近1个月高点/低点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63.20元 / 53.10元；当前价格已跌破近1个月低点</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近5个交易日价格变化</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从2026年9月4日收盘56.21元回落至2026年9月11日收盘51.93元，期间连续下跌</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 52.72元，MA10 53.41元，MA20 54.39元，MA50 56.80元，MA100 57.94元，MA200 54.77元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现价低于主要短中期均线，均线系统整体偏空；短线反弹首先面临约52.7~54.4元一带压力。上述数据采用Investing技术快照。研究纪要按公开收盘价简单计算的MA5约54.09元、MA20约57.82元，与该快照存在差异，可能与更新时间、复权方式或取样口径不同有关。</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-1.32；技术信号为“卖出”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MACD处于负值区域，短期动能偏弱，尚未确认趋势反转。</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19.832；技术状态为“超卖”</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RSI低于30，反映短线卖压较重并存在技术性修复可能，但超卖不等于确认见底，强势下跌中可能持续低位运行。</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基于2026年8月17日至9月11日20个交易日收盘价自行测算：中轨约57.82元，上轨约63.71元，下轨约51.93元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收盘价接近自行测算的布林下轨，短线存在技术性反弹或震荡修复可能，但仍明显低于中轨，趋势层面尚未转强。该数据并非单一行情终端直接披露值，仅作参考。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近期价格结构</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8月27日收盘60.81元，8月31日收盘62.06元；9月7日至9月11日收盘价依次为55.82元、54.96元、54.36元、53.36元、51.93元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股价自8月中下旬上涨后快速回撤，当前处于弱势区间，阶段性空头压力明显。</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主力资金流向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截至2026年9月11日：主力资金合计净流出约1.71亿元，占成交额约15.07%；超大单净流出约1.2939亿元，大单净流出约4122万元，中单净流入约4719.69万元，小单净流入约1.2342亿元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9月7日至9月11日主力资金连续多日整体净流出，资金面偏弱；“主力资金”属于平台按委托金额区间估算的分类，不代表交易所披露的投资者身份。</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近期流动性</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2026年9月4日至9月10日成交额约9.53~14.71亿元，换手率约1.68%~2.51%；近5个交易日成交额大致处于9.5~14.7亿元区间，平均约12亿元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换手率较8月中旬高波动阶段下降，短线交易热度有所退潮；绝对成交额仍较大，整体流动性尚可。</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股东人数与筹码</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截至2026年6月18日，股东人数约17.42万户，较2026年6月10日减少约2.42%，人均流通股约6090股；东方财富页面判断筹码“非常分散”</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股东户数较多且筹码分散，未呈现明显高度集中状态。数据距2026年9月11日已有约两个半月，期间股东结构可能发生变化。</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机构持仓与集中度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截至2026年3月31日，东方财富页面披露十大股东持股合计约44%，但并非最新季度数据；截至2026年6月30日，同花顺披露已有422家主力机构持有约5.15亿股，占流通A股约48.54%</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机构持仓合计不等同于十大股东集中度，研究纪要未明确披露前十大股东中公募基金、社保或QFII的具体构成。上述股东及机构数据存在滞后，不能视为实时筹码数据。</w:t>
            </w:r>
          </w:p>
        </w:tc>
      </w:tr>
    </w:tbl>
    <w:p>
      <w:pPr>
        <w:spacing w:before="200"/>
      </w:pPr>
    </w:p>
    <w:p>
      <w:pPr>
        <w:spacing w:after="160" w:line="300"/>
      </w:pPr>
      <w:r>
        <w:rPr>
          <w:sz w:val="22"/>
          <w:szCs w:val="22"/>
        </w:rPr>
        <w:t xml:space="preserve">截至2026年9月11日，中国稀土股价连续回落，收盘价跌破MA5、MA10、MA20等主要均线，MACD为负且技术信号为卖出，短中期趋势偏弱。与此同时，RSI（14）约19.83并接近自行测算的布林下轨，说明短线已处于超卖和快速回撤后的弱势区间，存在技术性反弹或震荡修复可能，但尚不能据此确认趋势反转。资金面方面，9月7日至9月11日主力资金整体偏向净流出，9月11日主力净流出约1.71亿元，削弱了超卖反弹的可靠性。近期成交额仍处于约10亿至15亿元量级，流动性总体尚可，但换手率约2%，短线资金追涨意愿不强。综合判断，当前呈现“中短期趋势偏弱、指标超卖、存在技术性反弹可能”的状态，技术面多空信号并不一致。</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风险提示：以下内容仅为基于2026年9月11日收盘数据、历史价格和技术指标的主观情景推演，不构成投资建议，也不构成买卖、持有或止损指令。</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52.4~53.5元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52.4元附近对应经典枢轴R1，52.7元附近对应MA5，53.4元附近对应MA10。若放量站稳53.5元，可观察向54.4元附近MA20压力区修复的可能。</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50.9~51.4元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50.96元附近对应经典枢轴S2，51.39元附近对应S1，9月11日盘中最低价为51.33元。若失守该区域，短线可能向更低平台寻找支撑。</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49.8~50.4元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50.36元附近对应经典枢轴S3，49.8~50.0元接近8月初价格平台。若有效跌破49.8元，可能进一步测试更低平台，市场情绪和资金流向或继续转弱。</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权重相对较高，约六成左右；该权重是基于当前技术面和资金流向的主观判断，不是统计概率）：参考区间为50.9~53.5元。触发条件包括股价在50.9~51.4元附近获得支撑，主力资金净流出收窄，成交额维持约10亿至13亿元且不出现持续放量杀跌。RSI超卖可能促成弱反弹或低位横盘，但52.7~54.4元仍有均线压力。</w:t>
      </w:r>
    </w:p>
    <w:p>
      <w:pPr>
        <w:pStyle w:val="ListParagraph"/>
        <w:numPr>
          <w:ilvl w:val="0"/>
          <w:numId w:val="2"/>
        </w:numPr>
        <w:spacing w:after="80" w:line="280"/>
      </w:pPr>
      <w:r>
        <w:rPr>
          <w:sz w:val="22"/>
          <w:szCs w:val="22"/>
        </w:rPr>
        <w:t xml:space="preserve">偏弱下行（主观权重中等；该权重是基于当前技术面和资金流向的主观判断，不是统计概率）：参考区间为49.8~50.9元，极端情况下继续向更低平台寻找支撑。触发条件包括收盘有效跌破50.9元，单日成交额明显放大至15亿元以上，且主力资金继续净流出；若50元附近也无法承接，超卖可能未能转化为有效反弹。</w:t>
      </w:r>
    </w:p>
    <w:p>
      <w:pPr>
        <w:pStyle w:val="ListParagraph"/>
        <w:numPr>
          <w:ilvl w:val="0"/>
          <w:numId w:val="2"/>
        </w:numPr>
        <w:spacing w:after="80" w:line="280"/>
      </w:pPr>
      <w:r>
        <w:rPr>
          <w:sz w:val="22"/>
          <w:szCs w:val="22"/>
        </w:rPr>
        <w:t xml:space="preserve">反弹走强（主观权重偏低；该权重是基于当前技术面和资金流向的主观判断，不是统计概率）：参考区间为53.5~55.0元，强势情况下观察55元上方区域。触发条件包括重新站上53.5元并连续放量，单日成交额至少达到约15亿元，且超大单和大单资金由净流出转为明显净流入；进一步站上54.4元附近MA20，才可观察反弹持续性增强。</w:t>
      </w:r>
    </w:p>
    <w:p>
      <w:pPr>
        <w:pStyle w:val="ListParagraph"/>
        <w:numPr>
          <w:ilvl w:val="0"/>
          <w:numId w:val="2"/>
        </w:numPr>
        <w:spacing w:after="80" w:line="280"/>
      </w:pPr>
      <w:r>
        <w:rPr>
          <w:sz w:val="22"/>
          <w:szCs w:val="22"/>
        </w:rPr>
        <w:t xml:space="preserve">三种情景的共同观察框架（不构成方向性结论）：单纯缩量反抽不足以确认趋势反转；需结合关键价位、成交额变化以及超大单和大单资金流向共同观察。</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为2.06%，成交额约11.32亿元；近5个交易日成交额约9.5~14.7亿元、换手率约1.68%~2.51%，股票整体流动性尚可，研究纪要未显示其具有极端低流动性小盘股的明显盘口滑点特征。资金方向方面，9月7日至9月11日主力资金整体偏流出，9月11日主力净流出约1.71亿元，占成交额约15.07%，当前更接近大资金减仓背景下的弱势调整。筹码方面，截至2026年6月18日股东人数约17.42万户，平台判断筹码“非常分散”；截至2026年6月30日，机构持仓披露合计占流通A股约48.54%，但该数据不等同于十大股东集中度，且不能据此确认公募基金、社保或QFII在前十大股东中的具体构成。东方财富披露的十大股东持股合计约44%截至2026年3月31日，存在季度滞后。上述股东结构和机构持仓数据均距9月11日已有一段时间，期间可能发生变化；实际交易中，筹码分散与机构持仓比例较高并存，可能使大资金流向对短期价格的影响更值得关注。</w:t>
      </w:r>
    </w:p>
    <w:p>
      <w:pPr>
        <w:spacing w:after="160" w:line="300"/>
      </w:pPr>
      <w:r>
        <w:rPr>
          <w:sz w:val="22"/>
          <w:szCs w:val="22"/>
        </w:rPr>
        <w:t xml:space="preserve">可检查的量能确认信号是：若未来一周连续两个交易日成交额达到或超过约15亿元，且超大单、大单资金至少有一天合计转为明显净流入，可视为短线资金面改善的观察信号；若放量同时伴随主力净流出，则更可能属于放量下跌或资金兑现。</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观察思路，非操作指令：关注50.9~51.4元第一支撑区是否获得承接，以及49.8~50.4元强支撑区是否被测试。</w:t>
      </w:r>
    </w:p>
    <w:p>
      <w:pPr>
        <w:pStyle w:val="ListParagraph"/>
        <w:numPr>
          <w:ilvl w:val="0"/>
          <w:numId w:val="2"/>
        </w:numPr>
        <w:spacing w:after="80" w:line="280"/>
      </w:pPr>
      <w:r>
        <w:rPr>
          <w:sz w:val="22"/>
          <w:szCs w:val="22"/>
        </w:rPr>
        <w:t xml:space="preserve">观察思路，非操作指令：关注股价能否重新站上52.7元，并进一步突破52.4~53.5元压力区。</w:t>
      </w:r>
    </w:p>
    <w:p>
      <w:pPr>
        <w:pStyle w:val="ListParagraph"/>
        <w:numPr>
          <w:ilvl w:val="0"/>
          <w:numId w:val="2"/>
        </w:numPr>
        <w:spacing w:after="80" w:line="280"/>
      </w:pPr>
      <w:r>
        <w:rPr>
          <w:sz w:val="22"/>
          <w:szCs w:val="22"/>
        </w:rPr>
        <w:t xml:space="preserve">观察思路，非操作指令：若跌破50.9元且成交额放大至15亿元以上，关注向49.8~50.4元区间寻找支撑的可能。</w:t>
      </w:r>
    </w:p>
    <w:p>
      <w:pPr>
        <w:pStyle w:val="ListParagraph"/>
        <w:numPr>
          <w:ilvl w:val="0"/>
          <w:numId w:val="2"/>
        </w:numPr>
        <w:spacing w:after="80" w:line="280"/>
      </w:pPr>
      <w:r>
        <w:rPr>
          <w:sz w:val="22"/>
          <w:szCs w:val="22"/>
        </w:rPr>
        <w:t xml:space="preserve">观察思路，非操作指令：关注主力资金能否由连续净流出转为净流入；单纯RSI超卖不足以确认反转。</w:t>
      </w:r>
    </w:p>
    <w:p>
      <w:pPr>
        <w:spacing w:after="200"/>
      </w:pPr>
      <w:r>
        <w:rPr>
          <w:i/>
          <w:iCs/>
          <w:color w:val="595959"/>
          <w:sz w:val="18"/>
          <w:szCs w:val="18"/>
        </w:rPr>
        <w:t xml:space="preserve">以上情景推演基于2026年9月11日收盘数据及历史价格、技术指标测算，短期股价还会受消息面、资金面、大盘环境、稀土板块走势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中国稀土行业具有战略资源属性和政策约束特征，稀土开采及冶炼分离受到总量控制、采矿权与环保审批、大型稀土集团整合等因素影响。行业覆盖地质勘探、矿山采选、冶炼分离、精深加工、技术研发和流通贸易。公司年报引用的USGS 2025年数据称，全球稀土矿储量约9000万吨，中国约4400万吨，占比约48%；相关统计口径与资源类别以USGS原始报告为准。</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行业竞争重点包括稀土矿资源获取能力、国家开采及冶炼分离指标、原料自给率、分离工艺和环保成本、高纯稀土产品能力、海外资源和贸易渠道，以及向磁材和功能材料等下游延伸的能力。</w:t>
      </w:r>
    </w:p>
    <w:p>
      <w:pPr>
        <w:pStyle w:val="ListParagraph"/>
        <w:numPr>
          <w:ilvl w:val="0"/>
          <w:numId w:val="2"/>
        </w:numPr>
        <w:spacing w:after="80" w:line="280"/>
      </w:pPr>
      <w:r>
        <w:rPr>
          <w:sz w:val="22"/>
          <w:szCs w:val="22"/>
        </w:rPr>
        <w:t xml:space="preserve">中国稀土集团成立后，行业进一步向大型集团集中；公司背靠中国稀土集团，在国内中重稀土资源整合和央企战略体系方面具有平台属性。</w:t>
      </w:r>
    </w:p>
    <w:p>
      <w:pPr>
        <w:pStyle w:val="ListParagraph"/>
        <w:numPr>
          <w:ilvl w:val="0"/>
          <w:numId w:val="2"/>
        </w:numPr>
        <w:spacing w:after="80" w:line="280"/>
      </w:pPr>
      <w:r>
        <w:rPr>
          <w:sz w:val="22"/>
          <w:szCs w:val="22"/>
        </w:rPr>
        <w:t xml:space="preserve">稀土产品价格周期、下游新能源汽车、节能电机、机器人、风电及电子材料需求，会共同影响行业景气度。</w:t>
      </w:r>
    </w:p>
    <w:p>
      <w:pPr>
        <w:pStyle w:val="ListParagraph"/>
        <w:numPr>
          <w:ilvl w:val="0"/>
          <w:numId w:val="2"/>
        </w:numPr>
        <w:spacing w:after="80" w:line="280"/>
      </w:pPr>
      <w:r>
        <w:rPr>
          <w:sz w:val="22"/>
          <w:szCs w:val="22"/>
        </w:rPr>
        <w:t xml:space="preserve">中国稀土年报称，中国供应全球约90%的稀土冶炼分离产品；该数据为公司年报引用的行业数据，具体统计口径需以原始资料为准。</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北方稀土（600111.SH）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轻稀土龙头，依托包钢集团和白云鄂博资源体系。</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资源供应稳定、冶炼分离规模大、产业链完整，在镨钕等轻稀土产品领域规模和成本优势突出；相较之下，中国稀土偏南方离子型及中重稀土资源，现有在产矿山规模明显较小。</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盛和资源（600392.SH）</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全球化资源配置和稀土综合利用企业。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布局国内外资源，覆盖冶炼分离、贸易、循环利用及部分功能材料，国际采购和销售渠道较强；中国稀土在国内中重稀土资源整合和央企战略体系方面更突出，但海外资源配置和资源多元化相对弱。</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广晟有色（600259.SH）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广东区域稀土资源整合平台，中重稀土和南方稀土竞争者。</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依托广东省稀土资源和地方国资体系，在南方离子型稀土资源、冶炼分离及区域产业链上具有布局；与中国稀土在南方中重稀土资源领域存在直接竞争。</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厦门钨业（600549.SH）</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钨、稀土及新能源材料协同发展的综合材料企业。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拥有稀土分离、稀土功能材料及磁材等业务，深加工和功能材料延伸程度较高；相较之下，中国稀土上游资源和冶炼分离属性更强。</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中科三环（000970）、金力永磁（300748）</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稀土产业链下游磁材企业。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主要竞争重点为钕铁硼磁材、新能源汽车电机、风电和节能电机、工业机器人、消费电子及高端磁材配方和客户认证；与中国稀土既可能存在客户供应关系，也存在产业链延伸和资源保障方面的竞争关系。</w:t>
            </w:r>
          </w:p>
        </w:tc>
      </w:tr>
    </w:tbl>
    <w:p>
      <w:pPr>
        <w:spacing w:before="200"/>
      </w:pPr>
    </w:p>
    <w:p>
      <w:pPr>
        <w:spacing w:after="160" w:line="300"/>
      </w:pPr>
      <w:r>
        <w:rPr>
          <w:sz w:val="22"/>
          <w:szCs w:val="22"/>
        </w:rPr>
        <w:t xml:space="preserve">中国稀土的比较优势主要在于中国稀土集团核心上市平台、南方离子型及中重稀土资源布局和产业整合预期；相较北方稀土，公司现有资源规模、原料自给率和成本控制能力偏弱；相较盛和资源，海外资源配置和国际化程度相对不足；相较广晟有色，公司依托中国稀土集团的全国性产业整合平台属性更强；相较厦门钨业及下游磁材企业，公司业务更集中于上游资源和冶炼分离，受稀土价格周期影响更大。</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稀土价格和盈利波动风险：公司收入和利润主要来自稀土氧化物、稀土金属及冶炼分离业务，产品价格受供需周期、政策调控和下游需求影响较大；2024年归母净利润亏损2.87亿元，2025年第四季度仍亏损1960.70万元，盈利稳定性尚未充分验证。</w:t>
      </w:r>
    </w:p>
    <w:p>
      <w:pPr>
        <w:pStyle w:val="ListParagraph"/>
        <w:numPr>
          <w:ilvl w:val="0"/>
          <w:numId w:val="2"/>
        </w:numPr>
        <w:spacing w:after="80" w:line="280"/>
      </w:pPr>
      <w:r>
        <w:rPr>
          <w:sz w:val="22"/>
          <w:szCs w:val="22"/>
        </w:rPr>
        <w:t xml:space="preserve">原料供应及成本控制风险：江华稀土矿自有供应量尚不能完全覆盖冶炼分离需求，部分原料仍需外部采购；若外购稀土原料价格上涨或供应渠道受限，可能压缩公司冶炼分离业务利润。</w:t>
      </w:r>
    </w:p>
    <w:p>
      <w:pPr>
        <w:pStyle w:val="ListParagraph"/>
        <w:numPr>
          <w:ilvl w:val="0"/>
          <w:numId w:val="2"/>
        </w:numPr>
        <w:spacing w:after="80" w:line="280"/>
      </w:pPr>
      <w:r>
        <w:rPr>
          <w:sz w:val="22"/>
          <w:szCs w:val="22"/>
        </w:rPr>
        <w:t xml:space="preserve">资源项目进展不及预期风险：圣功寨和肥田稀土矿仍处于探转采推进阶段，尚不能视为已经形成生产产能；若相关审批、建设或投产进度低于预期，公司资源自给率和长期产能提升可能受到影响。</w:t>
      </w:r>
    </w:p>
    <w:p>
      <w:pPr>
        <w:pStyle w:val="ListParagraph"/>
        <w:numPr>
          <w:ilvl w:val="0"/>
          <w:numId w:val="2"/>
        </w:numPr>
        <w:spacing w:after="80" w:line="280"/>
      </w:pPr>
      <w:r>
        <w:rPr>
          <w:sz w:val="22"/>
          <w:szCs w:val="22"/>
        </w:rPr>
        <w:t xml:space="preserve">存货减值波动风险：2026年上半年存货跌价损失科目金额为-2464.52万元，相关减值准备转回对利润总额形成正向影响；若后续稀土价格回落或库存价值下降，可能重新计提存货跌价准备并拖累利润。</w:t>
      </w:r>
    </w:p>
    <w:p>
      <w:pPr>
        <w:pStyle w:val="ListParagraph"/>
        <w:numPr>
          <w:ilvl w:val="0"/>
          <w:numId w:val="2"/>
        </w:numPr>
        <w:spacing w:after="80" w:line="280"/>
      </w:pPr>
      <w:r>
        <w:rPr>
          <w:sz w:val="22"/>
          <w:szCs w:val="22"/>
        </w:rPr>
        <w:t xml:space="preserve">产品结构调整风险：2026年上半年稀土金属及合金收入同比下降47.60%，公司主动压缩部分贸易及稀土金属业务；若稀土氧化物价格或销量未能持续改善，产品结构调整可能导致收入承压。</w:t>
      </w:r>
    </w:p>
    <w:p>
      <w:pPr>
        <w:pStyle w:val="ListParagraph"/>
        <w:numPr>
          <w:ilvl w:val="0"/>
          <w:numId w:val="2"/>
        </w:numPr>
        <w:spacing w:after="80" w:line="280"/>
      </w:pPr>
      <w:r>
        <w:rPr>
          <w:sz w:val="22"/>
          <w:szCs w:val="22"/>
        </w:rPr>
        <w:t xml:space="preserve">估值与业绩兑现风险：截至2026年9月11日股价为51.93元，按机构平均预测对应2026—2028年预测市盈率约130倍、111倍和97倍，估值明显依赖稀土价格上涨及盈利修复持续兑现；若实际业绩低于预测，估值波动风险较高。</w:t>
      </w:r>
    </w:p>
    <w:p>
      <w:pPr>
        <w:pStyle w:val="ListParagraph"/>
        <w:numPr>
          <w:ilvl w:val="0"/>
          <w:numId w:val="2"/>
        </w:numPr>
        <w:spacing w:after="80" w:line="280"/>
      </w:pPr>
      <w:r>
        <w:rPr>
          <w:sz w:val="22"/>
          <w:szCs w:val="22"/>
        </w:rPr>
        <w:t xml:space="preserve">股价及资金面风险：公司股价已跌破主要短中期均线，MACD为负，9月7日至9月11日主力资金整体净流出，且股价已跌破近一个月低点；RSI超卖可能带来技术性反弹，但并不意味着下跌趋势已经结束。</w:t>
      </w:r>
    </w:p>
    <w:p>
      <w:pPr>
        <w:pStyle w:val="ListParagraph"/>
        <w:numPr>
          <w:ilvl w:val="0"/>
          <w:numId w:val="2"/>
        </w:numPr>
        <w:spacing w:after="80" w:line="280"/>
      </w:pPr>
      <w:r>
        <w:rPr>
          <w:sz w:val="22"/>
          <w:szCs w:val="22"/>
        </w:rPr>
        <w:t xml:space="preserve">股东减持及市场供给风险：广晟控股计划在公告披露日起15个交易日后的3个月内减持不超过公司总股本1%，截至2026年9月13日尚未显示已实际执行；若减持实施，可能增加阶段性股票供给并对市场情绪形成压力。</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的增长逻辑主要来自稀土供需格局改善、镨钕等产品价格变化、产品结构优化、原料保障能力提升，以及中国稀土集团内部资源整合和矿山探转采的潜在推进。2026年上半年公司主动压缩部分贸易及稀土金属业务，稀土氧化物收入同比增长7.68%，盈利增速高于收入增速，显示阶段性经营重点由规模扩张转向盈利质量改善。</w:t>
      </w:r>
    </w:p>
    <w:p>
      <w:pPr>
        <w:spacing w:after="160" w:line="300"/>
      </w:pPr>
      <w:r>
        <w:rPr>
          <w:sz w:val="22"/>
          <w:szCs w:val="22"/>
        </w:rPr>
        <w:t xml:space="preserve">后续业绩能否持续改善，取决于稀土产品价格能否维持、外购原料占比能否下降、江华矿山产能释放情况，以及高纯氧化物和定制化产品占比提升能否形成稳定利润贡献。圣功寨和肥田稀土矿目前尚未形成可生产产能，资源整合和资产注入也暂无具体交易，因此相关预期仍需通过实际项目进展验证。</w:t>
      </w:r>
    </w:p>
    <w:p>
      <w:pPr>
        <w:spacing w:after="160" w:line="300"/>
      </w:pPr>
      <w:r>
        <w:rPr>
          <w:sz w:val="22"/>
          <w:szCs w:val="22"/>
        </w:rPr>
        <w:t xml:space="preserve">公司当前估值处于较高水平，盈利预测对稀土价格、存货减值、政策调控和产品结构高度敏感；技术面则处于弱势调整与超卖并存状态。未来需重点观察主营盈利是否连续改善、第二季度利润环比走弱是否延续、现金流改善能否转化为稳定经营成果，以及行业价格和集团资源整合预期是否兑现。</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集团概况 | 中国稀土集团有限公司 — https://www.regcc.cn/zgxtjt/gywm/guym.shtml</w:t>
      </w:r>
    </w:p>
    <w:p>
      <w:pPr>
        <w:spacing w:after="200"/>
      </w:pPr>
      <w:r>
        <w:rPr>
          <w:i/>
          <w:iCs/>
          <w:color w:val="595959"/>
          <w:sz w:val="18"/>
          <w:szCs w:val="18"/>
        </w:rPr>
        <w:t xml:space="preserve">https://pdf.dfcfw.com/pdf/H2_AN202604271821642186_1.PDF?t=1777310844541 — https://pdf.dfcfw.com/pdf/H2_AN202604271821642186_1.PDF?t=1777310844541</w:t>
      </w:r>
    </w:p>
    <w:p>
      <w:pPr>
        <w:spacing w:after="200"/>
      </w:pPr>
      <w:r>
        <w:rPr>
          <w:i/>
          <w:iCs/>
          <w:color w:val="595959"/>
          <w:sz w:val="18"/>
          <w:szCs w:val="18"/>
        </w:rPr>
        <w:t xml:space="preserve">中稀（湖南）稀土开发有限公司（原五矿稀土江华公司）_园区招工_ — https://www.jh.gov.cn/jh/yqzg/202303/b5f1a4206b2f47499679892f20301b0e.shtml?utm_source=openai</w:t>
      </w:r>
    </w:p>
    <w:p>
      <w:pPr>
        <w:spacing w:after="200"/>
      </w:pPr>
      <w:r>
        <w:rPr>
          <w:i/>
          <w:iCs/>
          <w:color w:val="595959"/>
          <w:sz w:val="18"/>
          <w:szCs w:val="18"/>
        </w:rPr>
        <w:t xml:space="preserve">中国稀土(000831)_公司公告_中国稀土：深圳中联资产评估有限公司对《关于中国稀土集团资源科技股份有限公司申请向特定对象发行股票的审核问询函》(审核函〔2023〕120062号)评估相关问题的回复之核查意见新浪财经_新浪网 — https://vip.stock.finance.sina.com.cn/corp/view/vCB_AllBulletinDetail.php?id=9203256&amp;stockid=000831&amp;utm_source=openai</w:t>
      </w:r>
    </w:p>
    <w:p>
      <w:pPr>
        <w:spacing w:after="200"/>
      </w:pPr>
      <w:r>
        <w:rPr>
          <w:i/>
          <w:iCs/>
          <w:color w:val="595959"/>
          <w:sz w:val="18"/>
          <w:szCs w:val="18"/>
        </w:rPr>
        <w:t xml:space="preserve">证券研究报告
有色金属| 小金属
非金融|首次覆盖报告
2025 年08 月05 日
中国稀土(00 — https://pdf.dfcfw.com/pdf/H3_AP202508051721902955_1.PDF?utm_source=openai</w:t>
      </w:r>
    </w:p>
    <w:p>
      <w:pPr>
        <w:spacing w:after="200"/>
      </w:pPr>
      <w:r>
        <w:rPr>
          <w:i/>
          <w:iCs/>
          <w:color w:val="595959"/>
          <w:sz w:val="18"/>
          <w:szCs w:val="18"/>
        </w:rPr>
        <w:t xml:space="preserve">中国稀土(000831)_公司公告_中国稀土：2025年年度报告新浪财经_新浪网 — https://money.finance.sina.com.cn/corp/view/vCB_AllBulletinDetail.php?id=12233281&amp;stockid=000831</w:t>
      </w:r>
    </w:p>
    <w:p>
      <w:pPr>
        <w:spacing w:after="200"/>
      </w:pPr>
      <w:r>
        <w:rPr>
          <w:i/>
          <w:iCs/>
          <w:color w:val="595959"/>
          <w:sz w:val="18"/>
          <w:szCs w:val="18"/>
        </w:rPr>
        <w:t xml:space="preserve">中国北方稀土（集团）高科技股份有限公司2025年年度报告 — https://big5.sse.com.cn/site/cht/www.sse.com.cn/disclosure/listedinfo/announcement/c/new/2026-04-18/600111_20260418_EVT0.pdf?utm_source=openai</w:t>
      </w:r>
    </w:p>
    <w:p>
      <w:pPr>
        <w:spacing w:after="200"/>
      </w:pPr>
      <w:r>
        <w:rPr>
          <w:i/>
          <w:iCs/>
          <w:color w:val="595959"/>
          <w:sz w:val="18"/>
          <w:szCs w:val="18"/>
        </w:rPr>
        <w:t xml:space="preserve">公司公告_盛和资源：2025年年度报告新浪财经_新浪网 — https://vip.stock.finance.sina.com.cn/corp/view/vCB_AllBulletinDetail.php?id=12278426&amp;utm_source=openai</w:t>
      </w:r>
    </w:p>
    <w:p>
      <w:pPr>
        <w:spacing w:after="200"/>
      </w:pPr>
      <w:r>
        <w:rPr>
          <w:i/>
          <w:iCs/>
          <w:color w:val="595959"/>
          <w:sz w:val="18"/>
          <w:szCs w:val="18"/>
        </w:rPr>
        <w:t xml:space="preserve">广晟有色金属股份有限公司2024 年年度报告 — https://big5.sse.com.cn/site/cht/www.sse.com.cn/disclosure/listedinfo/announcement/c/new/2025-03-29/600259_20250329_WST5.pdf?utm_source=openai</w:t>
      </w:r>
    </w:p>
    <w:p>
      <w:pPr>
        <w:spacing w:after="200"/>
      </w:pPr>
      <w:r>
        <w:rPr>
          <w:i/>
          <w:iCs/>
          <w:color w:val="595959"/>
          <w:sz w:val="18"/>
          <w:szCs w:val="18"/>
        </w:rPr>
        <w:t xml:space="preserve">2025年稀土产业重点企业发展情况_包头市工业和信息化局 — https://gxj.baotou.gov.cn/ywdt/ywdt_gzdt/202510/t20251028_709403.html?utm_source=openai</w:t>
      </w:r>
    </w:p>
    <w:p>
      <w:pPr>
        <w:spacing w:after="200"/>
      </w:pPr>
      <w:r>
        <w:rPr>
          <w:i/>
          <w:iCs/>
          <w:color w:val="595959"/>
          <w:sz w:val="18"/>
          <w:szCs w:val="18"/>
        </w:rPr>
        <w:t xml:space="preserve">中国稀土集团资源科技股份有限公司 2026 年半年度报告全文 — https://static.cninfo.com.cn/finalpage/2026-08-08/1225464302.PDF?utm_source=openai</w:t>
      </w:r>
    </w:p>
    <w:p>
      <w:pPr>
        <w:spacing w:after="200"/>
      </w:pPr>
      <w:r>
        <w:rPr>
          <w:i/>
          <w:iCs/>
          <w:color w:val="595959"/>
          <w:sz w:val="18"/>
          <w:szCs w:val="18"/>
        </w:rPr>
        <w:t xml:space="preserve">公司公告_中国稀土：2026年半年度报告新浪财经_新浪网 — https://vip.stock.finance.sina.com.cn/corp/view/vCB_AllBulletinDetail.php?id=12483855&amp;utm_source=openai</w:t>
      </w:r>
    </w:p>
    <w:p>
      <w:pPr>
        <w:spacing w:after="200"/>
      </w:pPr>
      <w:r>
        <w:rPr>
          <w:i/>
          <w:iCs/>
          <w:color w:val="595959"/>
          <w:sz w:val="18"/>
          <w:szCs w:val="18"/>
        </w:rPr>
        <w:t xml:space="preserve">中国稀土集团资源科技股份有限公司 2026 年半年度报告全文 — https://disc.static.szse.cn/disc/disk03/finalpage/2026-08-08/845fb369-5f0c-48cb-861f-8558bf59881b.PDF?utm_source=openai</w:t>
      </w:r>
    </w:p>
    <w:p>
      <w:pPr>
        <w:spacing w:after="200"/>
      </w:pPr>
      <w:r>
        <w:rPr>
          <w:i/>
          <w:iCs/>
          <w:color w:val="595959"/>
          <w:sz w:val="18"/>
          <w:szCs w:val="18"/>
        </w:rPr>
        <w:t xml:space="preserve">中国稀土(000831)_公司公告_中国稀土：2026年半年度报告新浪财经_新浪网 — https://money.finance.sina.com.cn/corp/view/vCB_AllBulletinDetail.php?id=12483855&amp;stockid=000831&amp;utm_source=openai</w:t>
      </w:r>
    </w:p>
    <w:p>
      <w:pPr>
        <w:spacing w:after="200"/>
      </w:pPr>
      <w:r>
        <w:rPr>
          <w:i/>
          <w:iCs/>
          <w:color w:val="595959"/>
          <w:sz w:val="18"/>
          <w:szCs w:val="18"/>
        </w:rPr>
        <w:t xml:space="preserve">图解中国稀土中报：第二季度单季净利润同比增长10.45%_股票频道_证券之星 — https://stock.stockstar.com/RB2026080800001053.shtml?utm_source=openai</w:t>
      </w:r>
    </w:p>
    <w:p>
      <w:pPr>
        <w:spacing w:after="200"/>
      </w:pPr>
      <w:r>
        <w:rPr>
          <w:i/>
          <w:iCs/>
          <w:color w:val="595959"/>
          <w:sz w:val="18"/>
          <w:szCs w:val="18"/>
        </w:rPr>
        <w:t xml:space="preserve">中国稀土(000831)_公司公告_中国稀土：2025年年度报告摘要新浪财经_新浪网 — https://money.finance.sina.com.cn/corp/view/vCB_AllBulletinDetail.php?id=12233255&amp;stockid=000831&amp;utm_source=openai</w:t>
      </w:r>
    </w:p>
    <w:p>
      <w:pPr>
        <w:spacing w:after="200"/>
      </w:pPr>
      <w:r>
        <w:rPr>
          <w:i/>
          <w:iCs/>
          <w:color w:val="595959"/>
          <w:sz w:val="18"/>
          <w:szCs w:val="18"/>
        </w:rPr>
        <w:t xml:space="preserve">中国稀土2025年归母净利润1.73亿元同比增160.15%，主业聚焦稀土氧化物净利率转正至5.42% _ 东方财富网 — https://finance.eastmoney.com/a/202604283722095692.html?utm_source=openai</w:t>
      </w:r>
    </w:p>
    <w:p>
      <w:pPr>
        <w:spacing w:after="200"/>
      </w:pPr>
      <w:r>
        <w:rPr>
          <w:i/>
          <w:iCs/>
          <w:color w:val="595959"/>
          <w:sz w:val="18"/>
          <w:szCs w:val="18"/>
        </w:rPr>
        <w:t xml:space="preserve">中国稀土(000831)_公司公告_中国稀土：2025年年度报告新浪财经_新浪网 — https://vip.stock.finance.sina.com.cn/corp/view/vCB_AllBulletinDetail.php?CompanyCode=10001123&amp;gather=1&amp;id=12233281&amp;utm_source=openai</w:t>
      </w:r>
    </w:p>
    <w:p>
      <w:pPr>
        <w:spacing w:after="200"/>
      </w:pPr>
      <w:r>
        <w:rPr>
          <w:i/>
          <w:iCs/>
          <w:color w:val="595959"/>
          <w:sz w:val="18"/>
          <w:szCs w:val="18"/>
        </w:rPr>
        <w:t xml:space="preserve">中国稀土(000831) 盈利预测_F10_同花顺金融服务网 — https://basic.10jqka.com.cn/144/000831/worth.html</w:t>
      </w:r>
    </w:p>
    <w:p>
      <w:pPr>
        <w:spacing w:after="200"/>
      </w:pPr>
      <w:r>
        <w:rPr>
          <w:i/>
          <w:iCs/>
          <w:color w:val="595959"/>
          <w:sz w:val="18"/>
          <w:szCs w:val="18"/>
        </w:rPr>
        <w:t xml:space="preserve">中国稀土(000831)2026年半年报点评：镨钕产品价格上涨 上半年归母净利高增__新浪财经_新浪网 — https://stock.finance.sina.com.cn/stock/go.php/vReport_Show/kind/search/rptid/840386938311/index.phtml?utm_source=openai</w:t>
      </w:r>
    </w:p>
    <w:p>
      <w:pPr>
        <w:spacing w:after="200"/>
      </w:pPr>
      <w:r>
        <w:rPr>
          <w:i/>
          <w:iCs/>
          <w:color w:val="595959"/>
          <w:sz w:val="18"/>
          <w:szCs w:val="18"/>
        </w:rPr>
        <w:t xml:space="preserve">盈利预测 — https://webf10.gw.com.cn/SZ/B16/SZ000831_B16.html</w:t>
      </w:r>
    </w:p>
    <w:p>
      <w:pPr>
        <w:spacing w:after="200"/>
      </w:pPr>
      <w:r>
        <w:rPr>
          <w:i/>
          <w:iCs/>
          <w:color w:val="595959"/>
          <w:sz w:val="18"/>
          <w:szCs w:val="18"/>
        </w:rPr>
        <w:t xml:space="preserve">东莞证券-中国稀土(000831)2025年年报及2026年一季报点评：深度受益行业整合浪潮，公司业绩稳步增长-260519.pdf — https://pdf.dfcfw.com/pdf/H3_AP202605191822438695_1.pdf?1779202514000.pdf=&amp;utm_source=openai</w:t>
      </w:r>
    </w:p>
    <w:p>
      <w:pPr>
        <w:spacing w:after="200"/>
      </w:pPr>
      <w:r>
        <w:rPr>
          <w:i/>
          <w:iCs/>
          <w:color w:val="595959"/>
          <w:sz w:val="18"/>
          <w:szCs w:val="18"/>
        </w:rPr>
        <w:t xml:space="preserve">中国稀土(000831)：产业趋势先行 盈利整体改善_公司研究_新浪财经_新浪网 — https://stock.finance.sina.com.cn/stock/go.php/vReport_Show/kind/company/rptid/841165529193/index.phtml?utm_source=openai</w:t>
      </w:r>
    </w:p>
    <w:p>
      <w:pPr>
        <w:spacing w:after="200"/>
      </w:pPr>
      <w:r>
        <w:rPr>
          <w:i/>
          <w:iCs/>
          <w:color w:val="595959"/>
          <w:sz w:val="18"/>
          <w:szCs w:val="18"/>
        </w:rPr>
        <w:t xml:space="preserve">中国稀土（000831）：2026年半年报点评报告：利润大幅增长现金流显著改善，长期价值有望凸显 - 研报雷达 — https://zc-baogao.com/report.html?id=39593&amp;utm_source=openai</w:t>
      </w:r>
    </w:p>
    <w:p>
      <w:pPr>
        <w:spacing w:after="200"/>
      </w:pPr>
      <w:r>
        <w:rPr>
          <w:i/>
          <w:iCs/>
          <w:color w:val="595959"/>
          <w:sz w:val="18"/>
          <w:szCs w:val="18"/>
        </w:rPr>
        <w:t xml:space="preserve">www.fxbaogao.com — https://www.fxbaogao.com/detail/5602280</w:t>
      </w:r>
    </w:p>
    <w:p>
      <w:pPr>
        <w:spacing w:after="200"/>
      </w:pPr>
      <w:r>
        <w:rPr>
          <w:i/>
          <w:iCs/>
          <w:color w:val="595959"/>
          <w:sz w:val="18"/>
          <w:szCs w:val="18"/>
        </w:rPr>
        <w:t xml:space="preserve">中国稀土(000831)_股票行情，行情首页_中财网 — https://quotewh.cfi.cn/quote368_000831.html?utm_source=openai</w:t>
      </w:r>
    </w:p>
    <w:p>
      <w:pPr>
        <w:spacing w:after="200"/>
      </w:pPr>
      <w:r>
        <w:rPr>
          <w:i/>
          <w:iCs/>
          <w:color w:val="595959"/>
          <w:sz w:val="18"/>
          <w:szCs w:val="18"/>
        </w:rPr>
        <w:t xml:space="preserve">中国稀土(000831)市盈率|估值|基本面 - 理杏仁 — https://www.lixinger.com/equity/company/detail/sz/000831/831/fundamental/valuation/pe-ttm?utm_source=openai</w:t>
      </w:r>
    </w:p>
    <w:p>
      <w:pPr>
        <w:spacing w:after="200"/>
      </w:pPr>
      <w:r>
        <w:rPr>
          <w:i/>
          <w:iCs/>
          <w:color w:val="595959"/>
          <w:sz w:val="18"/>
          <w:szCs w:val="18"/>
        </w:rPr>
        <w:t xml:space="preserve">中国稀土(000831)_公司公告_中国稀土：2026年半年度报告新浪财经_新浪网 — https://money.finance.sina.com.cn/corp/view/vCB_AllBulletinDetail.php?id=12483855&amp;stockid=000831</w:t>
      </w:r>
    </w:p>
    <w:p>
      <w:pPr>
        <w:spacing w:after="200"/>
      </w:pPr>
      <w:r>
        <w:rPr>
          <w:i/>
          <w:iCs/>
          <w:color w:val="595959"/>
          <w:sz w:val="18"/>
          <w:szCs w:val="18"/>
        </w:rPr>
        <w:t xml:space="preserve">中国稀土(000831)公司公告_新浪财经_新浪网 — https://money.finance.sina.com.cn/corp/go.php/vCB_AllBulletin/stockid/000831.phtml</w:t>
      </w:r>
    </w:p>
    <w:p>
      <w:pPr>
        <w:spacing w:after="200"/>
      </w:pPr>
      <w:r>
        <w:rPr>
          <w:i/>
          <w:iCs/>
          <w:color w:val="595959"/>
          <w:sz w:val="18"/>
          <w:szCs w:val="18"/>
        </w:rPr>
        <w:t xml:space="preserve">中国稀土(000831)_公司公告_中国稀土：2026年8月17日投资者关系活动记录表新浪财经_新浪网 — https://vip.stock.finance.sina.com.cn/corp/view/vCB_AllBulletinDetail.php?id=12499254&amp;stockid=000831</w:t>
      </w:r>
    </w:p>
    <w:p>
      <w:pPr>
        <w:spacing w:after="200"/>
      </w:pPr>
      <w:r>
        <w:rPr>
          <w:i/>
          <w:iCs/>
          <w:color w:val="595959"/>
          <w:sz w:val="18"/>
          <w:szCs w:val="18"/>
        </w:rPr>
        <w:t xml:space="preserve">中国稀土(000831)_公司公告_中国稀土：关于2026年半年度计提资产减值准备的公告新浪财经_新浪网 — https://money.finance.sina.com.cn/corp/view/vCB_AllBulletinDetail.php?id=12483851&amp;stockid=000831</w:t>
      </w:r>
    </w:p>
    <w:p>
      <w:pPr>
        <w:spacing w:after="200"/>
      </w:pPr>
      <w:r>
        <w:rPr>
          <w:i/>
          <w:iCs/>
          <w:color w:val="595959"/>
          <w:sz w:val="18"/>
          <w:szCs w:val="18"/>
        </w:rPr>
        <w:t xml:space="preserve">中国稀土(000831)_公司公告_中国稀土：关于持股5%以上股东股份减持计划的预披露公告新浪财经_新浪网 — https://vip.stock.finance.sina.com.cn/corp/view/vCB_AllBulletinDetail.php?id=12511417&amp;stockid=000831</w:t>
      </w:r>
    </w:p>
    <w:p>
      <w:pPr>
        <w:spacing w:after="200"/>
      </w:pPr>
      <w:r>
        <w:rPr>
          <w:i/>
          <w:iCs/>
          <w:color w:val="595959"/>
          <w:sz w:val="18"/>
          <w:szCs w:val="18"/>
        </w:rPr>
        <w:t xml:space="preserve">中国稀土(000831) 公司大事_F10_同花顺金融服务网 — https://basic.10jqka.com.cn/000831/event.html?utm_source=openai</w:t>
      </w:r>
    </w:p>
    <w:p>
      <w:pPr>
        <w:spacing w:after="200"/>
      </w:pPr>
      <w:r>
        <w:rPr>
          <w:i/>
          <w:iCs/>
          <w:color w:val="595959"/>
          <w:sz w:val="18"/>
          <w:szCs w:val="18"/>
        </w:rPr>
        <w:t xml:space="preserve">中国稀土(000831)_公司公告_中国稀土：关于“质量回报双提升”行动方案的进展公告新浪财经_新浪网 — https://money.finance.sina.com.cn/corp/view/vCB_AllBulletinDetail.php?id=12483846&amp;stockid=000831</w:t>
      </w:r>
    </w:p>
    <w:p>
      <w:pPr>
        <w:spacing w:after="200"/>
      </w:pPr>
      <w:r>
        <w:rPr>
          <w:i/>
          <w:iCs/>
          <w:color w:val="595959"/>
          <w:sz w:val="18"/>
          <w:szCs w:val="18"/>
        </w:rPr>
        <w:t xml:space="preserve">https://disc.static.szse.cn/disc/disk03/finalpage/2026-08-08/845fb369-5f0c-48cb-861f-8558bf59881b.PDF — https://disc.static.szse.cn/disc/disk03/finalpage/2026-08-08/845fb369-5f0c-48cb-861f-8558bf59881b.PDF</w:t>
      </w:r>
    </w:p>
    <w:p>
      <w:pPr>
        <w:spacing w:after="200"/>
      </w:pPr>
      <w:r>
        <w:rPr>
          <w:i/>
          <w:iCs/>
          <w:color w:val="595959"/>
          <w:sz w:val="18"/>
          <w:szCs w:val="18"/>
        </w:rPr>
        <w:t xml:space="preserve">深圳证券交易所主板上市公司列表 — https://zh.wikipedia.org/wiki/%E6%B7%B1%E5%9C%B3%E8%AF%81%E5%88%B8%E4%BA%A4%E6%98%93%E6%89%80%E4%B8%BB%E6%9D%BF%E4%B8%8A%E5%B8%82%E5%85%AC%E5%8F%B8%E5%88%97%E8%A1%A8?utm_source=openai</w:t>
      </w:r>
    </w:p>
    <w:p>
      <w:pPr>
        <w:spacing w:after="200"/>
      </w:pPr>
      <w:r>
        <w:rPr>
          <w:i/>
          <w:iCs/>
          <w:color w:val="595959"/>
          <w:sz w:val="18"/>
          <w:szCs w:val="18"/>
        </w:rPr>
        <w:t xml:space="preserve">股票行情快报：中国稀土（000831）9月11日主力资金净卖出1.71亿元_主力研究_股票_证券之星 — https://4g.stockstar.com/detail/RB2026091100047121?utm_source=openai</w:t>
      </w:r>
    </w:p>
    <w:p>
      <w:pPr>
        <w:spacing w:after="200"/>
      </w:pPr>
      <w:r>
        <w:rPr>
          <w:i/>
          <w:iCs/>
          <w:color w:val="595959"/>
          <w:sz w:val="18"/>
          <w:szCs w:val="18"/>
        </w:rPr>
        <w:t xml:space="preserve">中国稀土 (000831) - 历史交易数据 | 打板客网 — https://dabanke.com/hangqing-000831.html</w:t>
      </w:r>
    </w:p>
    <w:p>
      <w:pPr>
        <w:spacing w:after="200"/>
      </w:pPr>
      <w:r>
        <w:rPr>
          <w:i/>
          <w:iCs/>
          <w:color w:val="595959"/>
          <w:sz w:val="18"/>
          <w:szCs w:val="18"/>
        </w:rPr>
        <w:t xml:space="preserve">五矿稀土(000831)股票行情走势技术分析_未来预测_买卖操作建议_英为财情Investing.com — https://cn.investing.com/equities/guanlu-a-technical?utm_source=openai</w:t>
      </w:r>
    </w:p>
    <w:p>
      <w:pPr>
        <w:spacing w:after="200"/>
      </w:pPr>
      <w:r>
        <w:rPr>
          <w:i/>
          <w:iCs/>
          <w:color w:val="595959"/>
          <w:sz w:val="18"/>
          <w:szCs w:val="18"/>
        </w:rPr>
        <w:t xml:space="preserve">中国稀土(000831)_资金流向_证券之星 — https://stock.quote.stockstar.com/capital_000831.shtml?utm_source=openai</w:t>
      </w:r>
    </w:p>
    <w:p>
      <w:pPr>
        <w:spacing w:after="200"/>
      </w:pPr>
      <w:r>
        <w:rPr>
          <w:i/>
          <w:iCs/>
          <w:color w:val="595959"/>
          <w:sz w:val="18"/>
          <w:szCs w:val="18"/>
        </w:rPr>
        <w:t xml:space="preserve">中国稀土(000831.SZ)股东研究-PC_HSF10资料 — https://emweb.eastmoney.com/PC_HSF10/ShareholderResearch/Index?code=SZ000831&amp;type=web&amp;utm_source=openai</w:t>
      </w:r>
    </w:p>
    <w:p>
      <w:pPr>
        <w:spacing w:after="200"/>
      </w:pPr>
      <w:r>
        <w:rPr>
          <w:i/>
          <w:iCs/>
          <w:color w:val="595959"/>
          <w:sz w:val="18"/>
          <w:szCs w:val="18"/>
        </w:rPr>
        <w:t xml:space="preserve">本报告由AI基于公开渠道信息自动检索、整理并生成，信息截至 截至2026年9月11日收盘；部分均线、布林带及资金流向数据存在平台口径或自行测算差异，详见相关指标说明。，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2026-09-13T15:23:08.032Z</dcterms:created>
  <dcterms:modified xsi:type="dcterms:W3CDTF">2026-09-13T15:23:08.032Z</dcterms:modified>
</cp:coreProperties>
</file>

<file path=docProps/custom.xml><?xml version="1.0" encoding="utf-8"?>
<Properties xmlns="http://schemas.openxmlformats.org/officeDocument/2006/custom-properties" xmlns:vt="http://schemas.openxmlformats.org/officeDocument/2006/docPropsVTypes"/>
</file>