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新洋丰农业科技股份有限公司 (000902)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行业：磷复肥与磷化工</w:t>
      </w:r>
    </w:p>
    <w:p>
      <w:pPr>
        <w:jc w:val="center"/>
      </w:pPr>
      <w:r>
        <w:rPr>
          <w:color w:val="595959"/>
          <w:sz w:val="22"/>
          <w:szCs w:val="22"/>
        </w:rPr>
        <w:t xml:space="preserve">报告日期：2026年9月13日</w:t>
      </w:r>
    </w:p>
    <w:p>
      <w:pPr>
        <w:jc w:val="center"/>
      </w:pPr>
      <w:r>
        <w:rPr>
          <w:color w:val="595959"/>
          <w:sz w:val="20"/>
          <w:szCs w:val="20"/>
        </w:rPr>
        <w:t xml:space="preserve">截至2026年9月11日收盘；行情、技术指标及资金流向数据以该日收盘为准，股东结构数据截至2026年6月30日，存在季度滞后。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新洋丰仍是一家以磷复肥为核心的中游磷化工企业，2025年磷复肥收入170.48亿元，占营业收入94.45%；公司拥有约1,034万吨/年的高浓度磷复肥产能、约195万吨/年的磷酸一铵及工业级磷酸一铵产能，并形成品牌、渠道、配方和农技服务相结合的竞争优势。2025年公司实现营业收入180.48亿元，同比增长15.97%，归母净利润16.12亿元，同比增长22.61%，毛利率提升至17.41%。</w:t>
      </w:r>
    </w:p>
    <w:p>
      <w:pPr>
        <w:spacing w:after="160" w:line="300"/>
      </w:pPr>
      <w:r>
        <w:rPr>
          <w:sz w:val="22"/>
          <w:szCs w:val="22"/>
        </w:rPr>
        <w:t xml:space="preserve">盈利改善主要来自磷复肥销量增长、产品结构升级及产业链配套能力增强。2025年新型复合肥收入49.57亿元，同比增长16.10%，毛利率23.40%，较常规复合肥高10.11个百分点；精细化工与新能源材料收入5.19亿元，同比增长50.78%，但其收入占比仅2.88%，目前尚未改变公司以磷复肥为主的业务属性。公司磷石膏年处理能力超过700万吨，也具备硫酸、合成氨、钾肥进口及多基地物流配套能力。</w:t>
      </w:r>
    </w:p>
    <w:p>
      <w:pPr>
        <w:spacing w:after="160" w:line="300"/>
      </w:pPr>
      <w:r>
        <w:rPr>
          <w:sz w:val="22"/>
          <w:szCs w:val="22"/>
        </w:rPr>
        <w:t xml:space="preserve">2026年上半年公司收入增长延续，实现营业收入112.81亿元，同比增长20.03%，但归母净利润仅增长1.01%至9.61亿元，扣非归母净利润增长4.63%；经营活动现金流净额4.67亿元，同比下降53.51%。硫磺等原材料价格上涨压制磷肥盈利，较高的新型复合肥毛利率及磷酸铁业务同比扭亏形成部分支撑，显示收入扩张向利润和现金流传导仍面临压力。</w:t>
      </w:r>
    </w:p>
    <w:p>
      <w:pPr>
        <w:spacing w:after="160" w:line="300"/>
      </w:pPr>
      <w:r>
        <w:rPr>
          <w:sz w:val="22"/>
          <w:szCs w:val="22"/>
        </w:rPr>
        <w:t xml:space="preserve">截至2026年9月11日，股价为14.18元，动态市盈率约10.97倍、市净率约1.36倍，估值处于公司历史相对偏低位置；但股价在9月8日放量上冲后连续回落，已低于MA5和MA10，仅略高于MA20，主力资金承接有所减弱。公司还处于推进磷酸铁锂及配套磷酸铁项目的阶段，项目投资、建设进度和市场回报仍存在不确定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000902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注册地址及主要经营基地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湖北荆门、钟祥、宜昌，并在四川雷波、山东菏泽、河北徐水、广西宾阳、江西瑞昌、吉林扶余、新疆昌吉、甘肃永昌、安徽蚌埠等地布局生产基地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业务结构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截至2025年12月31日，公司形成“磷复肥+磷系新能源新材料”双主业结构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截至2025年年报披露，公司拥有14个生产基地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主要产能</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各类高浓度磷复肥约1,034万吨/年；磷酸一铵及工业级磷酸一铵约195万吨/年；磷矿石约90万吨/年；磷酸铁约10万吨/年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磷石膏处理能力</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超过700万吨/年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资源口径提示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年报明确披露磷矿石产能约90万吨/年，但未在核心经营数据中给出可直接确认的上市公司口径磷矿保有储量，不宜直接表述为拥有超大规模磷矿储量或完全资源自给</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磷复肥业务：2025年收入170.48亿元，占营业收入94.45%，仍为绝对核心业务；其中磷肥收入47.09亿元，占营业收入26.09%，主要产品为磷酸一铵，兼有工业级磷酸一铵；常规复合肥收入73.81亿元，占营业收入40.90%；新型复合肥收入49.57亿元，占营业收入27.46%。</w:t>
      </w:r>
    </w:p>
    <w:p>
      <w:pPr>
        <w:pStyle w:val="ListParagraph"/>
        <w:numPr>
          <w:ilvl w:val="0"/>
          <w:numId w:val="2"/>
        </w:numPr>
        <w:spacing w:after="80" w:line="280"/>
      </w:pPr>
      <w:r>
        <w:rPr>
          <w:sz w:val="22"/>
          <w:szCs w:val="22"/>
        </w:rPr>
        <w:t xml:space="preserve">磷复肥产销：2025年磷复肥销量592.13万吨，同比增长7.93%；产量689.43万吨，同比增长7.61%。其中磷肥产量212.49万吨、销量127.17万吨；复合肥产量476.94万吨、销量464.96万吨。</w:t>
      </w:r>
    </w:p>
    <w:p>
      <w:pPr>
        <w:pStyle w:val="ListParagraph"/>
        <w:numPr>
          <w:ilvl w:val="0"/>
          <w:numId w:val="2"/>
        </w:numPr>
        <w:spacing w:after="80" w:line="280"/>
      </w:pPr>
      <w:r>
        <w:rPr>
          <w:sz w:val="22"/>
          <w:szCs w:val="22"/>
        </w:rPr>
        <w:t xml:space="preserve">新型复合肥：产品覆盖专用配方肥、硝硫基复合肥、缓控释复合肥、水溶肥、生物有机肥等，面向水稻、玉米、小麦、蔬菜、果树、花卉等作物。2025年毛利率23.40%，高于常规复合肥13.29%。</w:t>
      </w:r>
    </w:p>
    <w:p>
      <w:pPr>
        <w:pStyle w:val="ListParagraph"/>
        <w:numPr>
          <w:ilvl w:val="0"/>
          <w:numId w:val="2"/>
        </w:numPr>
        <w:spacing w:after="80" w:line="280"/>
      </w:pPr>
      <w:r>
        <w:rPr>
          <w:sz w:val="22"/>
          <w:szCs w:val="22"/>
        </w:rPr>
        <w:t xml:space="preserve">精细化工与新能源材料：2025年收入5.19亿元，占营业收入2.88%，同比增长50.78%；相关业务包括磷酸铁、精制磷酸、精细氟化工、精细硅化工等。公司磷酸铁产能约10万吨/年，磷酸铁位于磷化工产业链中游，是磷酸铁锂正极材料的重要前驱体。</w:t>
      </w:r>
    </w:p>
    <w:p>
      <w:pPr>
        <w:pStyle w:val="ListParagraph"/>
        <w:numPr>
          <w:ilvl w:val="0"/>
          <w:numId w:val="2"/>
        </w:numPr>
        <w:spacing w:after="80" w:line="280"/>
      </w:pPr>
      <w:r>
        <w:rPr>
          <w:sz w:val="22"/>
          <w:szCs w:val="22"/>
        </w:rPr>
        <w:t xml:space="preserve">磷石膏综合利用：磷石膏是湿法磷酸生产过程中的副产物，公司已建设多个综合利用项目，年处理能力超过700万吨，产品及用途涉及建材、石膏类产品及其他综合利用方向。</w:t>
      </w:r>
    </w:p>
    <w:p>
      <w:pPr>
        <w:pStyle w:val="ListParagraph"/>
        <w:numPr>
          <w:ilvl w:val="0"/>
          <w:numId w:val="2"/>
        </w:numPr>
        <w:spacing w:after="80" w:line="280"/>
      </w:pPr>
      <w:r>
        <w:rPr>
          <w:sz w:val="22"/>
          <w:szCs w:val="22"/>
        </w:rPr>
        <w:t xml:space="preserve">资源与配套：公司具备配套硫酸、合成氨等基础化工能力，拥有钾肥自营进口权；部分基地临近长江，可通过水运降低磷矿石、硫磺、肥料等大宗物资的物流成本。</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新洋丰位于“磷矿—磷酸—磷铵—复合肥—农资渠道”产业链中，整体属于中游磷复肥龙头，而非纯粹的上游资源型企业。公司通过磷矿、硫酸、合成氨、磷石膏处理及多基地布局增强一体化能力，同时依靠复合肥品牌、渠道和产品结构升级改善盈利。</w:t>
      </w:r>
    </w:p>
    <w:p>
      <w:pPr>
        <w:pStyle w:val="ListParagraph"/>
        <w:numPr>
          <w:ilvl w:val="0"/>
          <w:numId w:val="2"/>
        </w:numPr>
        <w:spacing w:after="80" w:line="280"/>
      </w:pPr>
      <w:r>
        <w:rPr>
          <w:sz w:val="22"/>
          <w:szCs w:val="22"/>
        </w:rPr>
        <w:t xml:space="preserve">主要投入包括磷矿石、硫磺、硫铁矿、合成氨、钾肥，以及燃料、电力和运输服务。2025年磷复肥营业成本中，材料成本121.55亿元，占磷复肥营业成本86.89%；人工成本占3.62%，制造费用占3.97%，燃料及动力占3.78%，运输费用等占1.74%。</w:t>
      </w:r>
    </w:p>
    <w:p>
      <w:pPr>
        <w:pStyle w:val="ListParagraph"/>
        <w:numPr>
          <w:ilvl w:val="0"/>
          <w:numId w:val="2"/>
        </w:numPr>
        <w:spacing w:after="80" w:line="280"/>
      </w:pPr>
      <w:r>
        <w:rPr>
          <w:sz w:val="22"/>
          <w:szCs w:val="22"/>
        </w:rPr>
        <w:t xml:space="preserve">公司对磷矿、钾肥、硫磺、合成氨等大宗原料并不完全拥有定价权，相关原料具有较强周期属性，公司仍是部分价格接受者。</w:t>
      </w:r>
    </w:p>
    <w:p>
      <w:pPr>
        <w:pStyle w:val="ListParagraph"/>
        <w:numPr>
          <w:ilvl w:val="0"/>
          <w:numId w:val="2"/>
        </w:numPr>
        <w:spacing w:after="80" w:line="280"/>
      </w:pPr>
      <w:r>
        <w:rPr>
          <w:sz w:val="22"/>
          <w:szCs w:val="22"/>
        </w:rPr>
        <w:t xml:space="preserve">公司通过自有磷矿、自产合成氨、硫酸配套、钾肥进口权和多基地布局，降低外购比例、物流成本及供应中断风险；但不能据此认定公司已实现磷矿资源完全自给。</w:t>
      </w:r>
    </w:p>
    <w:p>
      <w:pPr>
        <w:pStyle w:val="ListParagraph"/>
        <w:numPr>
          <w:ilvl w:val="0"/>
          <w:numId w:val="2"/>
        </w:numPr>
        <w:spacing w:after="80" w:line="280"/>
      </w:pPr>
      <w:r>
        <w:rPr>
          <w:sz w:val="22"/>
          <w:szCs w:val="22"/>
        </w:rPr>
        <w:t xml:space="preserve">截至2025年，前五大供应商采购额24.98亿元，占采购总额20.70%。年报未披露具体供应商名称，无法进一步判断磷矿、钾肥、硫磺等关键原料分别由哪些供应商提供；该集中度未达到纪要所述的高度依赖水平，但供应商结构分析存在信息限制。</w:t>
      </w:r>
    </w:p>
    <w:p>
      <w:pPr>
        <w:pStyle w:val="ListParagraph"/>
        <w:numPr>
          <w:ilvl w:val="0"/>
          <w:numId w:val="2"/>
        </w:numPr>
        <w:spacing w:after="80" w:line="280"/>
      </w:pPr>
      <w:r>
        <w:rPr>
          <w:sz w:val="22"/>
          <w:szCs w:val="22"/>
        </w:rPr>
        <w:t xml:space="preserve">公司年报披露磷矿石产能约90万吨/年，但未给出可直接核验的上市公司口径磷矿保有储量；控股股东体系内部分矿权存在地质条件复杂、品位偏低、开采难度较大或资源探明不确定等情况，不能全部视为上市公司当前可采、可用资源。</w:t>
      </w:r>
    </w:p>
    <w:p>
      <w:pPr>
        <w:pStyle w:val="ListParagraph"/>
        <w:numPr>
          <w:ilvl w:val="0"/>
          <w:numId w:val="2"/>
        </w:numPr>
        <w:spacing w:after="80" w:line="280"/>
      </w:pPr>
      <w:r>
        <w:rPr>
          <w:sz w:val="22"/>
          <w:szCs w:val="22"/>
        </w:rPr>
        <w:t xml:space="preserve">下游主要包括经销商、农资零售终端、种植户及海外客户。公司拥有6000多家一级经销商、70000多家终端零售商，销售网络覆盖全国大部分省市及县级市场，产品出口至约40个国家和地区。</w:t>
      </w:r>
    </w:p>
    <w:p>
      <w:pPr>
        <w:pStyle w:val="ListParagraph"/>
        <w:numPr>
          <w:ilvl w:val="0"/>
          <w:numId w:val="2"/>
        </w:numPr>
        <w:spacing w:after="80" w:line="280"/>
      </w:pPr>
      <w:r>
        <w:rPr>
          <w:sz w:val="22"/>
          <w:szCs w:val="22"/>
        </w:rPr>
        <w:t xml:space="preserve">2025年境外收入12.76亿元，占营业收入7.07%，较2024年的5.98亿元增长113.34%；国内市场仍主要依赖农资经销商、零售商和种植户需求，境外业务目前不是收入主体。</w:t>
      </w:r>
    </w:p>
    <w:p>
      <w:pPr>
        <w:pStyle w:val="ListParagraph"/>
        <w:numPr>
          <w:ilvl w:val="0"/>
          <w:numId w:val="2"/>
        </w:numPr>
        <w:spacing w:after="80" w:line="280"/>
      </w:pPr>
      <w:r>
        <w:rPr>
          <w:sz w:val="22"/>
          <w:szCs w:val="22"/>
        </w:rPr>
        <w:t xml:space="preserve">2025年前五大客户销售额合计14.48亿元，占年度销售总额8.02%，无关联方销售。该数据对应2025年，纪要未提供其他年度客户集中度数据；年报对客户采用匿名名称，无法进一步判断具体客户的行业属性和合作稳定性。</w:t>
      </w:r>
    </w:p>
    <w:p>
      <w:pPr>
        <w:pStyle w:val="ListParagraph"/>
        <w:numPr>
          <w:ilvl w:val="0"/>
          <w:numId w:val="2"/>
        </w:numPr>
        <w:spacing w:after="80" w:line="280"/>
      </w:pPr>
      <w:r>
        <w:rPr>
          <w:sz w:val="22"/>
          <w:szCs w:val="22"/>
        </w:rPr>
        <w:t xml:space="preserve">复合肥客户较为分散，单一客户集中度低；经销商会根据农资价格、种植季节和库存水平调整采购节奏，化肥销售具有明显季节性，价格下跌期经销商通常趋于谨慎备货。</w:t>
      </w:r>
    </w:p>
    <w:p>
      <w:pPr>
        <w:pStyle w:val="ListParagraph"/>
        <w:numPr>
          <w:ilvl w:val="0"/>
          <w:numId w:val="2"/>
        </w:numPr>
        <w:spacing w:after="80" w:line="280"/>
      </w:pPr>
      <w:r>
        <w:rPr>
          <w:sz w:val="22"/>
          <w:szCs w:val="22"/>
        </w:rPr>
        <w:t xml:space="preserve">具备品牌、配方、农技服务和渠道覆盖优势的龙头企业，相比小厂具有更强的终端动销和渠道黏性；但复合肥总体仍属于竞争性产品，公司不能完全将原料价格上涨转嫁给下游。</w:t>
      </w:r>
    </w:p>
    <w:p>
      <w:pPr>
        <w:pStyle w:val="ListParagraph"/>
        <w:numPr>
          <w:ilvl w:val="0"/>
          <w:numId w:val="2"/>
        </w:numPr>
        <w:spacing w:after="80" w:line="280"/>
      </w:pPr>
      <w:r>
        <w:rPr>
          <w:sz w:val="22"/>
          <w:szCs w:val="22"/>
        </w:rPr>
        <w:t xml:space="preserve">公司还需持续承担渠道维护、品牌推广、农技服务和库存管理成本。</w:t>
      </w:r>
    </w:p>
    <w:p>
      <w:pPr>
        <w:pStyle w:val="ListParagraph"/>
        <w:numPr>
          <w:ilvl w:val="0"/>
          <w:numId w:val="2"/>
        </w:numPr>
        <w:spacing w:after="80" w:line="280"/>
      </w:pPr>
      <w:r>
        <w:rPr>
          <w:sz w:val="22"/>
          <w:szCs w:val="22"/>
        </w:rPr>
        <w:t xml:space="preserve">截至2025年12月31日，应收账款3.88亿元，占总资产1.89%，约占2025年营业收入2.15%，应收账款周转天数约6.95天；存货45.52亿元，占总资产22.15%，存货周转天数约99.69天。应收账款占收入比例和周转天数较低，显示销售回款整体较快、经销商体系未明显形成大额长期赊销占用；但存货占比较高、周转天数接近100天，反映季节性备货、原料价格波动和产销错配带来的资金占用风险。</w:t>
      </w:r>
    </w:p>
    <w:p>
      <w:pPr>
        <w:pStyle w:val="ListParagraph"/>
        <w:numPr>
          <w:ilvl w:val="0"/>
          <w:numId w:val="2"/>
        </w:numPr>
        <w:spacing w:after="80" w:line="280"/>
      </w:pPr>
      <w:r>
        <w:rPr>
          <w:sz w:val="22"/>
          <w:szCs w:val="22"/>
        </w:rPr>
        <w:t xml:space="preserve">2025年供应商前五大采购额占采购总额20.70%，客户前五大销售额占年度销售总额8.02%；供应商集中度高于客户集中度，但纪要未提供具体供应商和客户名称，且客户集中度仅提供2025年数据，具体以最新年报为准。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14.54%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约8.21%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原材料价格和磷肥周期波动较大，材料成本压力较高，产品结构升级尚未充分体现。</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磷复肥销量增长，但行业价格及原料价格波动压制利润率。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15.64%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8.48%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磷复肥销量同比增长8.25%，新型复合肥销量占比提升；常规复合肥和新型复合肥毛利率分别提升至12.33%和21.22%。</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约8.93%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型复合肥收入增长16.10%，毛利率提升至23.40%；产业链配套能力增强，规模、产品结构和精细化管理共同改善盈利能力。该净利率按归母净利润16.12亿元除以营业收入180.48亿元计算，属于简化口径，不完全等同于利润表口径的销售净利率。</w:t>
            </w:r>
          </w:p>
        </w:tc>
      </w:tr>
    </w:tbl>
    <w:p>
      <w:pPr>
        <w:spacing w:before="200"/>
      </w:pPr>
    </w:p>
    <w:p>
      <w:pPr>
        <w:spacing w:after="160" w:line="300"/>
      </w:pPr>
      <w:r>
        <w:rPr>
          <w:sz w:val="22"/>
          <w:szCs w:val="22"/>
        </w:rPr>
        <w:t xml:space="preserve">公司处于中游磷复肥加工与品牌渠道环节，整体属于中游加工型、材料成本敏感型企业，而非上游资源型或下游消费品牌型高毛利企业。进一步提升利润率主要取决于磷矿及核心原料自给率提升、产业链一体化和规模化降低成本与物流风险，以及新型复合肥、专用肥、精细磷化工和新能源材料占比提升；其中新型复合肥2025年毛利率较常规复合肥高10.11个百分点，是当前产品结构升级改善利润的直接证据。</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112.81亿元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同比增长20.03%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归属于上市公司股东的净利润9.61亿元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同比增长1.01%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180.48亿元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同比增长15.97%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归属于上市公司股东的净利润16.12亿元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同比增长22.61%</w:t>
            </w:r>
          </w:p>
        </w:tc>
      </w:tr>
    </w:tbl>
    <w:p>
      <w:pPr>
        <w:spacing w:after="200"/>
      </w:pPr>
      <w:r>
        <w:rPr>
          <w:i/>
          <w:iCs/>
          <w:color w:val="595959"/>
          <w:sz w:val="18"/>
          <w:szCs w:val="18"/>
        </w:rPr>
        <w:t xml:space="preserve">2026年半年度报告于2026年8月18日披露，报告期为2026年1月1日至2026年6月30日，未经审计。2026年上半年扣非归母净利润9.54亿元，同比增长4.63%；基本每股收益0.7659元，同比增长1.02%。经营活动产生的现金流量净额为4.67亿元，同比下降53.51%；加权平均净资产收益率为7.81%，同比下降0.84个百分点。2025年扣非归母净利润15.36亿元，同比增长23.79%；基本每股收益1.28元。</w:t>
      </w:r>
    </w:p>
    <w:p>
      <w:pPr>
        <w:spacing w:after="160" w:line="300"/>
      </w:pPr>
      <w:r>
        <w:rPr>
          <w:sz w:val="22"/>
          <w:szCs w:val="22"/>
        </w:rPr>
        <w:t xml:space="preserve">2026年上半年营业收入保持较快增长，但归母净利润增速明显低于收入增速，经营活动现金流同比下降，显示原材料成本和盈利质量仍需关注。产品方面，磷肥收入约26.05亿元，同比增长12.75%，毛利率约13.63%；常规复合肥收入约44.20亿元，同比增长15.53%，毛利率约12.66%；新型复合肥收入约33.30亿元，同比增长16.87%，毛利率约24.91%。硫磺等原材料价格上涨对磷肥盈利形成压制，新型复合肥和产业链一体化对整体盈利形成支撑。</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来自同花顺盈利预测页面及公开展示的机构样本。截至2026年9月11日，同花顺页面显示近6个月内共有16家机构预测，2026年预测归母净利润为17.12亿元，同比增长约6.21%，预测EPS为1.36元，营业收入平均预测约205.92亿元。2027年至2028年数据为页面可直接读取的10家机构预测简单平均，不等同于同花顺完整16家机构的官方共识。机构预测受原材料价格、磷肥毛利率、项目投产进度、产品价格及行业竞争变化影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约205.92亿元（同花顺平台汇总值；10家可见机构简单平均约205.92亿元）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17.12亿元（同花顺平台汇总值；10家可见机构简单平均约17.32亿元）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同比增长约6.21%（同花顺平台汇总值）</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1.36元（同花顺平台汇总值；10家可见机构简单平均约1.38元）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10家可见机构简单平均约223.83亿元，区间约210.66亿至246.55亿元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10家可见机构简单平均约20.24亿元，区间约18.08亿至21.93亿元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纪要未披露统一同比增速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10家可见机构简单平均约1.68元，区间约1.44至1.75元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10家可见机构简单平均约243.00亿元，区间约223.67亿至262.95亿元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10家可见机构简单平均约22.94亿元，区间约20.78亿至25.21亿元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纪要未披露统一同比增速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10家可见机构简单平均约1.83元，区间约1.66至1.97元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预测2026年至2028年归母净利润分别为18.02亿元、21.11亿元和23.43亿元；按2026年12倍市盈率估值，目标价17.28元。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预测2026年至2028年归母净利润分别为18.69亿元、21.93亿元和23.23亿元；对应预测市盈率约为9.3倍、7.9倍和7.4倍；公开摘要未显示目标价。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预计2026年至2028年EPS分别为1.45元、1.66元和1.93元，给予2026年13.5倍PE，目标价19.58元。目标价发布时间较早，尚未完全反映2026年半年度报告后的盈利调整。</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近期机构研报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给出18.00元目标价；报告认为公司2026年、2027年对应当前股价的市盈率约为10.5倍和9.7倍，目标价对应市盈率约为13.7倍和12.7倍。</w:t>
            </w:r>
          </w:p>
        </w:tc>
      </w:tr>
    </w:tbl>
    <w:p>
      <w:pPr>
        <w:spacing w:before="200"/>
      </w:pPr>
    </w:p>
    <w:p>
      <w:pPr>
        <w:spacing w:after="160" w:line="300"/>
      </w:pPr>
      <w:r>
        <w:rPr>
          <w:sz w:val="22"/>
          <w:szCs w:val="22"/>
        </w:rPr>
        <w:t xml:space="preserve">截至2026年9月11日收盘，公司股价约14.18元，总市值约178亿至180亿元，动态市盈率约10.97倍，扣非市盈率约11.28倍，市净率约1.36倍。理杏仁截至2026年9月10日数据显示，股价14.40元，PE-TTM约11.14倍，PB约1.46倍，PE-TTM历史分位点约10.88%，处于自身历史估值相对偏低位置。按机构预测EPS计算，14.18元股价对应2026年预测PE约10.4倍（EPS 1.36元）或约10.3倍（10家机构平均EPS 1.38元），对应2027年和2028年简单平均预测PE约8.4倍和7.8倍。以2026年9月11日收盘价计算，17.28元、18.00元和19.58元目标价对应潜在上涨空间约21.9%、26.9%和38.1%。上述估值数据受收盘时间、TTM口径、是否扣非及股本处理方式影响，目标价来自单家或个别机构研报，不构成统一口径的多机构目标价共识。</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2026年半年度报告：收入增长但净利润增速较低</w:t>
      </w:r>
    </w:p>
    <w:p>
      <w:pPr>
        <w:spacing w:after="160" w:line="300"/>
      </w:pPr>
      <w:r>
        <w:rPr>
          <w:sz w:val="22"/>
          <w:szCs w:val="22"/>
        </w:rPr>
        <w:t xml:space="preserve">新洋丰于2026年8月18日披露2026年半年度报告。2026年上半年实现营业收入112.81亿元，同比增长20.03%；归属于上市公司股东的净利润9.61亿元，同比增长1.01%；扣除非经常性损益后的净利润约9.54亿元，同比增长4.63%；经营活动产生的现金流量净额约4.67亿元，同比下降53.51%。公司管理层表示，硫磺等原材料价格上涨对磷肥盈利能力形成压力，复合肥销量增长、新型肥料占比提升、钾肥进口增加及磷酸铁业务同比扭亏对业绩形成一定支撑。</w:t>
      </w:r>
    </w:p>
    <w:p>
      <w:pPr>
        <w:pStyle w:val="Heading2"/>
        <w:spacing w:after="120" w:before="240"/>
      </w:pPr>
      <w:r>
        <w:rPr>
          <w:b/>
          <w:bCs/>
          <w:color w:val="2E74B5"/>
          <w:sz w:val="24"/>
          <w:szCs w:val="24"/>
        </w:rPr>
        <w:t xml:space="preserve">4.2 实施2026年中期现金分红</w:t>
      </w:r>
    </w:p>
    <w:p>
      <w:pPr>
        <w:spacing w:after="160" w:line="300"/>
      </w:pPr>
      <w:r>
        <w:rPr>
          <w:sz w:val="22"/>
          <w:szCs w:val="22"/>
        </w:rPr>
        <w:t xml:space="preserve">公司董事会于2026年8月14日审议中期分红方案，并于2026年8月18日至8月19日披露相关公告。分配方案为每10股派发现金红利1元（含税），不送红股，不进行资本公积金转增。公告披露的实施基数为1,254,734,262股，预计现金分红总额约1.25亿元。股权登记日为2026年8月25日，除权除息日及红利发放日为2026年8月26日。</w:t>
      </w:r>
    </w:p>
    <w:p>
      <w:pPr>
        <w:pStyle w:val="Heading2"/>
        <w:spacing w:after="120" w:before="240"/>
      </w:pPr>
      <w:r>
        <w:rPr>
          <w:b/>
          <w:bCs/>
          <w:color w:val="2E74B5"/>
          <w:sz w:val="24"/>
          <w:szCs w:val="24"/>
        </w:rPr>
        <w:t xml:space="preserve">4.3 洋丰转债转股价格因分红下调</w:t>
      </w:r>
    </w:p>
    <w:p>
      <w:pPr>
        <w:spacing w:after="160" w:line="300"/>
      </w:pPr>
      <w:r>
        <w:rPr>
          <w:sz w:val="22"/>
          <w:szCs w:val="22"/>
        </w:rPr>
        <w:t xml:space="preserve">因公司实施中期现金分红，“洋丰转债”转股价格由16.89元/股调整为16.79元/股，调整后的转股价格自2026年8月26日起生效。中期权益分派期间可转债曾暂停转股，相关公告显示其后恢复转股。转股价格下调可能提高可转债转股的可能性，但实际转股仍取决于正股价格、转债溢价率、市场利率及投资者选择。</w:t>
      </w:r>
    </w:p>
    <w:p>
      <w:pPr>
        <w:pStyle w:val="Heading2"/>
        <w:spacing w:after="120" w:before="240"/>
      </w:pPr>
      <w:r>
        <w:rPr>
          <w:b/>
          <w:bCs/>
          <w:color w:val="2E74B5"/>
          <w:sz w:val="24"/>
          <w:szCs w:val="24"/>
        </w:rPr>
        <w:t xml:space="preserve">4.4 暂未发现新的独立业绩预告</w:t>
      </w:r>
    </w:p>
    <w:p>
      <w:pPr>
        <w:spacing w:after="160" w:line="300"/>
      </w:pPr>
      <w:r>
        <w:rPr>
          <w:sz w:val="22"/>
          <w:szCs w:val="22"/>
        </w:rPr>
        <w:t xml:space="preserve">截至2026年9月13日，检索到的最新正式业绩文件为2026年半年度报告，暂未发现公司在2026年9月单独发布新的半年度业绩预告、前三季度业绩预告或业绩快报。公告搜索可能存在平台收录延迟，后续应以巨潮资讯网和深交所公告为最终依据。</w:t>
      </w:r>
    </w:p>
    <w:p>
      <w:pPr>
        <w:pStyle w:val="Heading2"/>
        <w:spacing w:after="120" w:before="240"/>
      </w:pPr>
      <w:r>
        <w:rPr>
          <w:b/>
          <w:bCs/>
          <w:color w:val="2E74B5"/>
          <w:sz w:val="24"/>
          <w:szCs w:val="24"/>
        </w:rPr>
        <w:t xml:space="preserve">4.5 股东户数增加，半年末机构持仓有所变动</w:t>
      </w:r>
    </w:p>
    <w:p>
      <w:pPr>
        <w:spacing w:after="160" w:line="300"/>
      </w:pPr>
      <w:r>
        <w:rPr>
          <w:sz w:val="22"/>
          <w:szCs w:val="22"/>
        </w:rPr>
        <w:t xml:space="preserve">截至2026年6月30日，公司普通股股东总数为39,109户，较2026年3月31日的36,354户增加2,755户，增幅约7.58%，同期户均持股数量下降。2026年半年度报告显示，控股股东洋丰集团持股约6.20亿股，持股比例49.42%；实际控制人杨才学持股约5,930万股，持股比例4.73%；全国社保基金一零二组合持股比例3.23%，较期初增加约356.39万股；香港中央结算有限公司持股比例2.07%，较期初减少约410.85万股。上述持仓数据截至2026年6月30日，不代表截至2026年9月13日仍保持相同持仓。</w:t>
      </w:r>
    </w:p>
    <w:p>
      <w:pPr>
        <w:pStyle w:val="Heading2"/>
        <w:spacing w:after="120" w:before="240"/>
      </w:pPr>
      <w:r>
        <w:rPr>
          <w:b/>
          <w:bCs/>
          <w:color w:val="2E74B5"/>
          <w:sz w:val="24"/>
          <w:szCs w:val="24"/>
        </w:rPr>
        <w:t xml:space="preserve">4.6 董事、高管发生增持</w:t>
      </w:r>
    </w:p>
    <w:p>
      <w:pPr>
        <w:spacing w:after="160" w:line="300"/>
      </w:pPr>
      <w:r>
        <w:rPr>
          <w:sz w:val="22"/>
          <w:szCs w:val="22"/>
        </w:rPr>
        <w:t xml:space="preserve">同花顺大事记录显示，2026年7月1日，董事、高管杨华锋通过竞价交易增持12.69万股，成交价约11.91元/股，占流通股本比例约0.01%。该信息主要来自第三方行情及事件数据库，尚需以公司正式权益变动公告或深交所披露为最终核验依据。</w:t>
      </w:r>
    </w:p>
    <w:p>
      <w:pPr>
        <w:pStyle w:val="Heading2"/>
        <w:spacing w:after="120" w:before="240"/>
      </w:pPr>
      <w:r>
        <w:rPr>
          <w:b/>
          <w:bCs/>
          <w:color w:val="2E74B5"/>
          <w:sz w:val="24"/>
          <w:szCs w:val="24"/>
        </w:rPr>
        <w:t xml:space="preserve">4.7 暂未发现新的股份回购方案或进展公告</w:t>
      </w:r>
    </w:p>
    <w:p>
      <w:pPr>
        <w:spacing w:after="160" w:line="300"/>
      </w:pPr>
      <w:r>
        <w:rPr>
          <w:sz w:val="22"/>
          <w:szCs w:val="22"/>
        </w:rPr>
        <w:t xml:space="preserve">截至2026年9月13日，未检索到新洋丰在2026年9月或2026年8月发布新的股份回购方案、回购进展公告或注销回购股份公告。公司2026年半年度报告中，股份回购实施进展列为“不适用”。公司2018年至2021年间曾实施三轮回购，累计回购约4,979.97万股、累计金额约4.78亿元，该事项属于历史回购。</w:t>
      </w:r>
    </w:p>
    <w:p>
      <w:pPr>
        <w:pStyle w:val="Heading2"/>
        <w:spacing w:after="120" w:before="240"/>
      </w:pPr>
      <w:r>
        <w:rPr>
          <w:b/>
          <w:bCs/>
          <w:color w:val="2E74B5"/>
          <w:sz w:val="24"/>
          <w:szCs w:val="24"/>
        </w:rPr>
        <w:t xml:space="preserve">4.8 收到监管函及湖北证监局警示函</w:t>
      </w:r>
    </w:p>
    <w:p>
      <w:pPr>
        <w:spacing w:after="160" w:line="300"/>
      </w:pPr>
      <w:r>
        <w:rPr>
          <w:sz w:val="22"/>
          <w:szCs w:val="22"/>
        </w:rPr>
        <w:t xml:space="preserve">2026年7月17日，深交所披露《关于对新洋丰农业科技股份有限公司及相关当事人的监管函》；公司随后披露，公司及相关人员收到湖北证监局警示函。相关事项涉及部分贸易业务收入确认依据不充分，导致2018年至2020年分别多确认收入约1.53亿元、1.11亿元和0.15亿元，监管部门认为相关年度财务信息披露不准确。湖北证监局对公司、时任董事长杨才学、时任总裁黄斌、财务总监杨小红采取出具警示函的行政监管措施，并记入证券期货诚信档案。该事项属于监管措施而非行政处罚。</w:t>
      </w:r>
    </w:p>
    <w:p>
      <w:pPr>
        <w:pStyle w:val="Heading2"/>
        <w:spacing w:after="120" w:before="240"/>
      </w:pPr>
      <w:r>
        <w:rPr>
          <w:b/>
          <w:bCs/>
          <w:color w:val="2E74B5"/>
          <w:sz w:val="24"/>
          <w:szCs w:val="24"/>
        </w:rPr>
        <w:t xml:space="preserve">4.9 前期会计差错更正事项仍需关注</w:t>
      </w:r>
    </w:p>
    <w:p>
      <w:pPr>
        <w:spacing w:after="160" w:line="300"/>
      </w:pPr>
      <w:r>
        <w:rPr>
          <w:sz w:val="22"/>
          <w:szCs w:val="22"/>
        </w:rPr>
        <w:t xml:space="preserve">公司于2026年4月披露前期会计差错更正事项，涉及2018年至2024年度财务报表及附注部分数据的追溯调整。该事项与2026年7月监管函及警示函具有一定关联背景，后续需关注公司整改说明、监管后续措施以及是否出现新的问询或处罚文件。</w:t>
      </w:r>
    </w:p>
    <w:p>
      <w:pPr>
        <w:pStyle w:val="Heading2"/>
        <w:spacing w:after="120" w:before="240"/>
      </w:pPr>
      <w:r>
        <w:rPr>
          <w:b/>
          <w:bCs/>
          <w:color w:val="2E74B5"/>
          <w:sz w:val="24"/>
          <w:szCs w:val="24"/>
        </w:rPr>
        <w:t xml:space="preserve">4.10 推进磷系新能源新材料项目</w:t>
      </w:r>
    </w:p>
    <w:p>
      <w:pPr>
        <w:spacing w:after="160" w:line="300"/>
      </w:pPr>
      <w:r>
        <w:rPr>
          <w:sz w:val="22"/>
          <w:szCs w:val="22"/>
        </w:rPr>
        <w:t xml:space="preserve">公司于2026年4月披露拟与荆门市东宝区人民政府签署项目合同，计划总投资约30亿元，建设30万吨/年磷酸铁锂生产线及配套20万吨/年磷酸铁等上游装置；一期计划投资约8亿元，建设10万吨/年磷酸铁锂项目，计划在取得开工许可后18个月内投产。该项目在2026年半年度报告中仍被列为重要战略事项，但仍存在立项核准、备案、环评、施工许可、市场需求、产品价格及建设周期等不确定性，投资金额、建设周期和产能均为计划或预估数据，不构成业绩承诺。</w:t>
      </w:r>
    </w:p>
    <w:p>
      <w:pPr>
        <w:pStyle w:val="Heading2"/>
        <w:spacing w:after="120" w:before="240"/>
      </w:pPr>
      <w:r>
        <w:rPr>
          <w:b/>
          <w:bCs/>
          <w:color w:val="2E74B5"/>
          <w:sz w:val="24"/>
          <w:szCs w:val="24"/>
        </w:rPr>
        <w:t xml:space="preserve">4.11 暂未发现近期重大并购公告</w:t>
      </w:r>
    </w:p>
    <w:p>
      <w:pPr>
        <w:spacing w:after="160" w:line="300"/>
      </w:pPr>
      <w:r>
        <w:rPr>
          <w:sz w:val="22"/>
          <w:szCs w:val="22"/>
        </w:rPr>
        <w:t xml:space="preserve">截至2026年9月13日，未检索到新洋丰在2026年8月至9月披露新的重大资产收购、股权并购、资产出售或重大资产重组公告。当前较重要的外延扩张事项仍是磷系新能源新材料项目建设，而非已经完成的并购交易。</w:t>
      </w:r>
    </w:p>
    <w:p>
      <w:pPr>
        <w:pStyle w:val="Heading2"/>
        <w:spacing w:after="120" w:before="240"/>
      </w:pPr>
      <w:r>
        <w:rPr>
          <w:b/>
          <w:bCs/>
          <w:color w:val="2E74B5"/>
          <w:sz w:val="24"/>
          <w:szCs w:val="24"/>
        </w:rPr>
        <w:t xml:space="preserve">4.12 披露对子公司提供担保等事项</w:t>
      </w:r>
    </w:p>
    <w:p>
      <w:pPr>
        <w:spacing w:after="160" w:line="300"/>
      </w:pPr>
      <w:r>
        <w:rPr>
          <w:sz w:val="22"/>
          <w:szCs w:val="22"/>
        </w:rPr>
        <w:t xml:space="preserve">公司于2026年8月18日披露对子公司提供担保等公告。公开信息中可见的担保对象包括湖北洋丰美新能源科技有限公司、湖北楚乾氟硅材料有限公司等，部分单笔担保金额包括3,600万元、4,200万元、1,275万元、531.25万元及3,187.5万元。由于不同公告可能涉及新增、续期、存量担保或担保期限调整，不能将公开页面列示金额直接相加，具体担保余额及担保责任应以公司完整担保公告及半年报“重大担保”章节为准。</w:t>
      </w:r>
    </w:p>
    <w:p>
      <w:pPr>
        <w:pStyle w:val="Heading2"/>
        <w:spacing w:after="120" w:before="240"/>
      </w:pPr>
      <w:r>
        <w:rPr>
          <w:b/>
          <w:bCs/>
          <w:color w:val="2E74B5"/>
          <w:sz w:val="24"/>
          <w:szCs w:val="24"/>
        </w:rPr>
        <w:t xml:space="preserve">4.13 获批三项湖北省省级科技计划项目</w:t>
      </w:r>
    </w:p>
    <w:p>
      <w:pPr>
        <w:spacing w:after="160" w:line="300"/>
      </w:pPr>
      <w:r>
        <w:rPr>
          <w:sz w:val="22"/>
          <w:szCs w:val="22"/>
        </w:rPr>
        <w:t xml:space="preserve">2026年8月23日，公司披露获批三项湖北省省级科技计划项目，包括公司主持的两项湖北省科技人才服务企业项目，以及参与的一项湖北省重点研发计划项目。项目涉及绿色高效新型肥料、农业废弃物资源化利用、土壤改良及农产品提质增产等方向。目前公告未披露该事项对短期收入和利润的量化贡献。</w:t>
      </w:r>
    </w:p>
    <w:p>
      <w:pPr>
        <w:pStyle w:val="Heading2"/>
        <w:spacing w:after="120" w:before="240"/>
      </w:pPr>
      <w:r>
        <w:rPr>
          <w:b/>
          <w:bCs/>
          <w:color w:val="2E74B5"/>
          <w:sz w:val="24"/>
          <w:szCs w:val="24"/>
        </w:rPr>
        <w:t xml:space="preserve">4.14 2026年9月暂未发现新的重大公告</w:t>
      </w:r>
    </w:p>
    <w:p>
      <w:pPr>
        <w:spacing w:after="160" w:line="300"/>
      </w:pPr>
      <w:r>
        <w:rPr>
          <w:sz w:val="22"/>
          <w:szCs w:val="22"/>
        </w:rPr>
        <w:t xml:space="preserve">截至2026年9月13日，公开公告列表中暂未发现新洋丰在2026年9月披露新的业绩预告、股份回购、重大股东增减持、并购或重大监管公告。近期最新集中披露主要发生在2026年8月18日至8月23日。部分股东户数及高管增持信息来自第三方数据平台，涉及持仓变化或事件标签时，应以巨潮资讯网、深交所及公司正式公告为最终依据。</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14.18元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-0.22元，跌幅-1.53%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14.22元/14.42元/13.88元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约1,408.89万股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约177.92亿元/约162.05亿元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动态市盈率约10.97倍，扣除后市盈率约11.28倍；市净率约1.36倍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每股收益</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约1.29元，口径为截至2026年6月30日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11.32~19.45元；具体高低点日期未找到可靠、一致的静态记录</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9月8日收盘14.88元，9月9日14.82元，9月10日14.40元，9月11日14.18元；较9月8日收盘价累计回落约4.70%</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约14.53元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收盘价低于MA5约2.4%，短线价格走弱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约14.42元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收盘价低于MA10约1.7%，短线调整尚未结束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MA20/布林中轨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约14.11元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收盘价略高于MA20约0.5%，20日均线附近存在一定支撑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处于中性偏强区间，尚未进入超买或超卖区域；为基于近14个交易日收盘价的简单测算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截至2026年9月11日的日线DIF、DEA及柱值缺少可靠、明确对应的静态数据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不能据此确认是否已形成日线死叉；从价格行为看，9月8日放量上涨后连续回落，短线动能较前期减弱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上轨约15.00元，中轨约14.11元，下轨约13.22元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当前价格接近中轨并处于中轨下方窄幅区域；重新站回14.4~14.6元可能重新测试上轨附近，跌破14.0元并持续走弱则可能考验13.2~13.8元区域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阶段成交量与资金流向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9月8日成交量约2,642万股、成交额约3.90亿元；9月11日主力资金按超大单加大单口径净流出约1,868.50万元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呈现放量冲高后资金承接减弱的特征；资金流向为第三方主动买卖单分类统计，仅作辅助参考</w:t>
            </w:r>
          </w:p>
        </w:tc>
      </w:tr>
    </w:tbl>
    <w:p>
      <w:pPr>
        <w:spacing w:before="200"/>
      </w:pPr>
    </w:p>
    <w:p>
      <w:pPr>
        <w:spacing w:after="160" w:line="300"/>
      </w:pPr>
      <w:r>
        <w:rPr>
          <w:sz w:val="22"/>
          <w:szCs w:val="22"/>
        </w:rPr>
        <w:t xml:space="preserve">截至2026年9月11日，股价在9月8日放量上冲至14.88元后连续三个交易日回落，收盘价已跌破MA5和MA10，但仍略高于MA20，走势表现为放量冲高后的回吐与确认，尚未形成明确的短线反转结构。RSI14约58，未进入极端区域；MACD最新日线数值缺少可靠核验。资金面上，9月8日主力资金明显流入，随后转为流出，9月11日主力净流出约1,868.50万元，短线承接力度有所下降。股价仍高于8月下旬13.5~13.9元区域，但14元附近及13.75~14.00元区域的支撑有效性需要进一步观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14.65~14.95元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对应近期冲高区域及9月8日至9月9日高点附近。若放量有效突破14.95元，才有机会进一步观察15.00元附近的布林上轨区域。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14.05~14.25元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对应MA20约14.11元及近期价格密集区域。若在该区间企稳，短线可能维持震荡；若有效跌破14.05元，技术形态将进一步转弱。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13.75~14.00元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对应8月27日低点13.78元、9月2日低点13.99元及前期短线平台。若放量跌破该区域，可能打开向13.2~13.5元区域、即布林下轨及前期成交密集区附近回落的空间。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较高，约六成左右；为基于当前技术与资金流向的主观判断，不是统计学概率）：价格区间约14.05~14.70元。触发条件包括14.05~14.25元附近出现止跌、成交额维持约1亿~2亿元、14.65元附近仍有抛压，且化肥、磷化工板块未出现明显单边下跌。</w:t>
      </w:r>
    </w:p>
    <w:p>
      <w:pPr>
        <w:pStyle w:val="ListParagraph"/>
        <w:numPr>
          <w:ilvl w:val="0"/>
          <w:numId w:val="2"/>
        </w:numPr>
        <w:spacing w:after="80" w:line="280"/>
      </w:pPr>
      <w:r>
        <w:rPr>
          <w:sz w:val="22"/>
          <w:szCs w:val="22"/>
        </w:rPr>
        <w:t xml:space="preserve">偏弱下行（主观权重中等；为基于当前技术与资金流向的主观判断，不是统计学概率）：价格区间约13.70~14.10元。若收盘价有效跌破14.05元，同时成交额放大但价格继续走低、主力资金连续净流出且板块同步走弱，偏弱情景的特征将增强；若进一步跌破13.75元，可能打开向13.2~13.5元区域回落的空间。</w:t>
      </w:r>
    </w:p>
    <w:p>
      <w:pPr>
        <w:pStyle w:val="ListParagraph"/>
        <w:numPr>
          <w:ilvl w:val="0"/>
          <w:numId w:val="2"/>
        </w:numPr>
        <w:spacing w:after="80" w:line="280"/>
      </w:pPr>
      <w:r>
        <w:rPr>
          <w:sz w:val="22"/>
          <w:szCs w:val="22"/>
        </w:rPr>
        <w:t xml:space="preserve">反弹走强（主观权重偏低至中等；为基于当前技术与资金流向的主观判断，不是统计学概率）：价格区间约14.65~15.00元。触发条件包括股价重新站上14.45~14.55元，随后放量突破14.70~14.95元，单日成交额明显高于近期常态，且主力资金由连续净流出转为持续净流入。只有在14.95元附近出现放量突破并保持收盘，短线反弹强度才可能明显提升，否则更可能是区间内技术性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1.23%，成交额约1.99亿元，处于近期正常偏上水平，但明显低于9月8日约3.90亿元的放量水平。9月4日至9月11日已披露成交额约为0.98亿~3.90亿元，日常多数处于1亿~2亿元附近。9月11日主力资金按超大单加大单口径净流出约1,868.50万元，显示冲高后的资金承接并不稳定。股东结构数据截至2026年6月30日：前十大流通股东合计持股约7.09亿股，占流通股62.07%；前十大股东合计持股约8.12亿股，占总股本约64.69%。其中控股股东洋丰集团占流通股49.18%，全国社保基金、博时成长领航混合A、保险资金及香港中央结算等机构均有持仓；共有180家机构持仓，176家基金持股约占流通盘11.35%。截至6月30日股东户数较3月31日增加7.58%，说明季度层面筹码集中度有所下降。上述股东数据滞后于9月11日行情约两个半月，不能直接确认当前实时筹码结构。就交易层面而言，控股股东及机构持股占比较高，但近期换手率和成交额未体现持续性强资金集中交易特征，价格突破仍需成交量配合。</w:t>
      </w:r>
    </w:p>
    <w:p>
      <w:pPr>
        <w:spacing w:after="160" w:line="300"/>
      </w:pPr>
      <w:r>
        <w:rPr>
          <w:sz w:val="22"/>
          <w:szCs w:val="22"/>
        </w:rPr>
        <w:t xml:space="preserve">可检查的量能确认信号是：若未来一周连续两个交易日成交额达到约2.5亿元以上，且股价收盘站稳14.65元上方，同时主力资金不再连续净流出，可视为短线资金承接增强的确认信号；若成交额放大至2.5亿元以上但股价仍跌破14.05元，则更偏向放量出逃或分歧加剧，而非有效上攻。</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观察14.05~14.25元第一支撑区域能否守住，以及13.75~14.00元强支撑是否被放量跌破。</w:t>
      </w:r>
    </w:p>
    <w:p>
      <w:pPr>
        <w:pStyle w:val="ListParagraph"/>
        <w:numPr>
          <w:ilvl w:val="0"/>
          <w:numId w:val="2"/>
        </w:numPr>
        <w:spacing w:after="80" w:line="280"/>
      </w:pPr>
      <w:r>
        <w:rPr>
          <w:sz w:val="22"/>
          <w:szCs w:val="22"/>
        </w:rPr>
        <w:t xml:space="preserve">观察股价能否重新站上14.45~14.55元，并进一步突破14.65~14.95元压力区。</w:t>
      </w:r>
    </w:p>
    <w:p>
      <w:pPr>
        <w:pStyle w:val="ListParagraph"/>
        <w:numPr>
          <w:ilvl w:val="0"/>
          <w:numId w:val="2"/>
        </w:numPr>
        <w:spacing w:after="80" w:line="280"/>
      </w:pPr>
      <w:r>
        <w:rPr>
          <w:sz w:val="22"/>
          <w:szCs w:val="22"/>
        </w:rPr>
        <w:t xml:space="preserve">观察成交额能否连续两个交易日达到约2.5亿元以上，并与价格上涨同步。</w:t>
      </w:r>
    </w:p>
    <w:p>
      <w:pPr>
        <w:pStyle w:val="ListParagraph"/>
        <w:numPr>
          <w:ilvl w:val="0"/>
          <w:numId w:val="2"/>
        </w:numPr>
        <w:spacing w:after="80" w:line="280"/>
      </w:pPr>
      <w:r>
        <w:rPr>
          <w:sz w:val="22"/>
          <w:szCs w:val="22"/>
        </w:rPr>
        <w:t xml:space="preserve">观察主力资金是否从9月10日、9月11日的净流出状态转为连续净流入。以上均为观察思路，非操作指令。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公司所处行业涵盖复合肥、磷酸一铵及磷肥、磷酸铁和磷石膏综合利用。行业竞争正从单纯产能竞争转向资源、成本、品牌、渠道、配方、农技服务及环保能力的综合竞争。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复合肥行业过去较为分散，近年来行业集中度逐步提升，主要原因包括磷矿、钾肥、硫磺、合成氨等原材料价格波动，环保及磷石膏治理要求趋严，小型企业抗周期能力较弱，以及规模化种植和专业种植户对品牌、配方和技术服务的需求提升。</w:t>
      </w:r>
    </w:p>
    <w:p>
      <w:pPr>
        <w:pStyle w:val="ListParagraph"/>
        <w:numPr>
          <w:ilvl w:val="0"/>
          <w:numId w:val="2"/>
        </w:numPr>
        <w:spacing w:after="80" w:line="280"/>
      </w:pPr>
      <w:r>
        <w:rPr>
          <w:sz w:val="22"/>
          <w:szCs w:val="22"/>
        </w:rPr>
        <w:t xml:space="preserve">龙头企业通过并购、异地建厂和纵向一体化降低成本。新洋丰的主要优势体现为规模、品牌和渠道，复合肥产销量连续多年位居全国前列或第一，营销及农技人员超过1300人，拥有“洋丰”“澳特尔”“力赛诺”“乐开怀”等品牌。</w:t>
      </w:r>
    </w:p>
    <w:p>
      <w:pPr>
        <w:pStyle w:val="ListParagraph"/>
        <w:numPr>
          <w:ilvl w:val="0"/>
          <w:numId w:val="2"/>
        </w:numPr>
        <w:spacing w:after="80" w:line="280"/>
      </w:pPr>
      <w:r>
        <w:rPr>
          <w:sz w:val="22"/>
          <w:szCs w:val="22"/>
        </w:rPr>
        <w:t xml:space="preserve">磷酸一铵及磷肥行业受到粮食安全、化肥保供、磷矿资源约束和环保政策影响。“三磷整治”、磷石膏治理和新增产能控制推动落后产能退出，供给逐步向资源、环保和规模优势企业集中。</w:t>
      </w:r>
    </w:p>
    <w:p>
      <w:pPr>
        <w:pStyle w:val="ListParagraph"/>
        <w:numPr>
          <w:ilvl w:val="0"/>
          <w:numId w:val="2"/>
        </w:numPr>
        <w:spacing w:after="80" w:line="280"/>
      </w:pPr>
      <w:r>
        <w:rPr>
          <w:sz w:val="22"/>
          <w:szCs w:val="22"/>
        </w:rPr>
        <w:t xml:space="preserve">新洋丰磷铵产能约195万吨/年，磷肥产销量连续多年位居全国前列，但在资源规模和磷肥总产能方面仍明显小于云天化等超大型磷化工企业。</w:t>
      </w:r>
    </w:p>
    <w:p>
      <w:pPr>
        <w:pStyle w:val="ListParagraph"/>
        <w:numPr>
          <w:ilvl w:val="0"/>
          <w:numId w:val="2"/>
        </w:numPr>
        <w:spacing w:after="80" w:line="280"/>
      </w:pPr>
      <w:r>
        <w:rPr>
          <w:sz w:val="22"/>
          <w:szCs w:val="22"/>
        </w:rPr>
        <w:t xml:space="preserve">磷酸铁行业受磷酸铁锂电池需求拉动，但经历过集中扩产和阶段性供给过剩。2025年行业竞争仍较激烈，新洋丰通过工艺优化、降低单位成本并启动二期产线提升竞争力；目前精细化工和新能源材料收入占比较低，尚不能改变公司以磷复肥为主的业务属性。</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云天化（600096）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国内大型磷化工和化肥综合企业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资源规模、磷矿产能和磷肥产能均明显高于新洋丰；纪要列示其拥有近亿吨级磷矿资源、约1450万吨/年的磷矿采选规模及约555万吨/年的磷肥产能。新洋丰则在复合肥品牌、渠道和终端农技服务方面更突出。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湖北宜化（000422）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以氮肥、磷肥、氯碱和煤化工为主的综合化工企业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拥有尿素、磷铵、复合肥、烧碱、PVC等多元产品，氮肥和基础化工属性更强；其2025年报披露磷铵产能约165万吨/年、复合肥产能约70万吨/年。新洋丰更聚焦磷复肥和农资渠道。</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川发龙蟒（002312）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磷酸一铵、饲料级磷酸氢钙、复合肥、磷酸铁和磷酸铁锂综合企业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更重视精细磷酸盐、饲料级磷酸钙盐以及磷酸铁锂等高附加值产品，布局“硫—磷—钛—铁—锂—钙”循环产业链；新洋丰则以复合肥和磷铵为核心，新能源材料仍处于扩张和培育阶段。</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川恒股份（002895）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以磷矿采选、湿法磷酸、磷酸一铵、磷酸二氢钙和磷酸铁等为主的资源型磷化工企业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核心竞争力更集中于贵州磷矿资源和矿化一体化；新洋丰的竞争力更多体现为湖北及全国基地布局、复合肥品牌、经销商网络和终端服务。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云图控股（002539）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复合肥、磷化工、盐化工及矿产资源综合企业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具有复合肥与磷化工一体化特征，并布局磷矿和盐化工资源；新洋丰的复合肥品牌、渠道覆盖和产品服务体系更成熟，磷酸一铵及新型复合肥规模较大。</w:t>
            </w:r>
          </w:p>
        </w:tc>
      </w:tr>
    </w:tbl>
    <w:p>
      <w:pPr>
        <w:spacing w:before="200"/>
      </w:pPr>
    </w:p>
    <w:p>
      <w:pPr>
        <w:spacing w:after="160" w:line="300"/>
      </w:pPr>
      <w:r>
        <w:rPr>
          <w:sz w:val="22"/>
          <w:szCs w:val="22"/>
        </w:rPr>
        <w:t xml:space="preserve">新洋丰的核心竞争力在于复合肥规模、品牌、经销商网络及终端农技服务，并通过磷矿、硫酸、合成氨和磷石膏处理等配套能力增强成本与环保能力。相较云天化，公司上游资源和综合化工规模较弱；相较川发龙蟒、川恒股份，公司精细磷化工及资源型业务占比相对较低；相较湖北宜化，公司氮肥和基础化工属性较弱但复合肥渠道更突出；相较云图控股，公司复合肥品牌、渠道和服务体系更成熟。上述公司业务口径差异较大，适合作为产业链和业务模式可比对象，不宜简单进行单一毛利率或市占率横向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材料价格上涨导致利润承压：公司磷复肥营业成本中材料成本占比达86.89%，2026年上半年硫磺等原材料价格上涨已使磷肥毛利率约为13.63%；由于公司对磷矿、钾肥、硫磺和合成氨等原料并不完全拥有定价权，原料上涨未必能够充分向下游传导。</w:t>
      </w:r>
    </w:p>
    <w:p>
      <w:pPr>
        <w:pStyle w:val="ListParagraph"/>
        <w:numPr>
          <w:ilvl w:val="0"/>
          <w:numId w:val="2"/>
        </w:numPr>
        <w:spacing w:after="80" w:line="280"/>
      </w:pPr>
      <w:r>
        <w:rPr>
          <w:sz w:val="22"/>
          <w:szCs w:val="22"/>
        </w:rPr>
        <w:t xml:space="preserve">磷矿资源自给能力有限且存在口径不确定性：公司年报披露磷矿石产能约90万吨/年，但未提供可直接核验的上市公司口径磷矿保有储量，不能据此认定公司已实现磷矿完全自给；上游资源保障不足可能使公司继续暴露于磷矿价格和供应波动。</w:t>
      </w:r>
    </w:p>
    <w:p>
      <w:pPr>
        <w:pStyle w:val="ListParagraph"/>
        <w:numPr>
          <w:ilvl w:val="0"/>
          <w:numId w:val="2"/>
        </w:numPr>
        <w:spacing w:after="80" w:line="280"/>
      </w:pPr>
      <w:r>
        <w:rPr>
          <w:sz w:val="22"/>
          <w:szCs w:val="22"/>
        </w:rPr>
        <w:t xml:space="preserve">主营业务集中于磷复肥：2025年磷复肥收入占营业收入94.45%，精细化工与新能源材料收入占比仅2.88%。若磷肥、复合肥价格或销量受原料、农业需求、库存周期及行业竞争影响，公司整体收入和利润仍会受到较大影响。</w:t>
      </w:r>
    </w:p>
    <w:p>
      <w:pPr>
        <w:pStyle w:val="ListParagraph"/>
        <w:numPr>
          <w:ilvl w:val="0"/>
          <w:numId w:val="2"/>
        </w:numPr>
        <w:spacing w:after="80" w:line="280"/>
      </w:pPr>
      <w:r>
        <w:rPr>
          <w:sz w:val="22"/>
          <w:szCs w:val="22"/>
        </w:rPr>
        <w:t xml:space="preserve">盈利和现金流传导存在压力：2026年上半年收入同比增长20.03%，但归母净利润仅增长1.01%，经营活动现金流净额同比下降53.51%；若收入增长继续依赖规模扩张而毛利率和现金回款未同步改善，业绩质量可能承压。</w:t>
      </w:r>
    </w:p>
    <w:p>
      <w:pPr>
        <w:pStyle w:val="ListParagraph"/>
        <w:numPr>
          <w:ilvl w:val="0"/>
          <w:numId w:val="2"/>
        </w:numPr>
        <w:spacing w:after="80" w:line="280"/>
      </w:pPr>
      <w:r>
        <w:rPr>
          <w:sz w:val="22"/>
          <w:szCs w:val="22"/>
        </w:rPr>
        <w:t xml:space="preserve">存货占用较高带来减值和资金风险：截至2025年末存货45.52亿元，占总资产22.15%，存货周转天数约99.69天。化肥销售的季节性、原料价格波动及产销错配，可能导致库存资金占用增加，甚至带来存货跌价压力。</w:t>
      </w:r>
    </w:p>
    <w:p>
      <w:pPr>
        <w:pStyle w:val="ListParagraph"/>
        <w:numPr>
          <w:ilvl w:val="0"/>
          <w:numId w:val="2"/>
        </w:numPr>
        <w:spacing w:after="80" w:line="280"/>
      </w:pPr>
      <w:r>
        <w:rPr>
          <w:sz w:val="22"/>
          <w:szCs w:val="22"/>
        </w:rPr>
        <w:t xml:space="preserve">新能源材料项目存在建设和市场化风险：公司计划投资约30亿元建设30万吨/年磷酸铁锂生产线及配套20万吨/年磷酸铁装置，一期计划投资约8亿元；项目仍面临立项核准、环评、施工许可、建设周期、产品价格、市场需求及行业竞争等不确定性，投资金额和产能均不构成业绩承诺。</w:t>
      </w:r>
    </w:p>
    <w:p>
      <w:pPr>
        <w:pStyle w:val="ListParagraph"/>
        <w:numPr>
          <w:ilvl w:val="0"/>
          <w:numId w:val="2"/>
        </w:numPr>
        <w:spacing w:after="80" w:line="280"/>
      </w:pPr>
      <w:r>
        <w:rPr>
          <w:sz w:val="22"/>
          <w:szCs w:val="22"/>
        </w:rPr>
        <w:t xml:space="preserve">财务信息披露及治理整改风险：公司及相关人员因部分贸易业务收入确认依据不充分，收到深交所监管函和湖北证监局警示函，涉及2018年至2020年收入确认问题；公司此前还披露了涉及2018年至2024年度财务报表及附注的前期会计差错更正，后续整改、监管措施或新的问询事项仍需关注。</w:t>
      </w:r>
    </w:p>
    <w:p>
      <w:pPr>
        <w:pStyle w:val="ListParagraph"/>
        <w:numPr>
          <w:ilvl w:val="0"/>
          <w:numId w:val="2"/>
        </w:numPr>
        <w:spacing w:after="80" w:line="280"/>
      </w:pPr>
      <w:r>
        <w:rPr>
          <w:sz w:val="22"/>
          <w:szCs w:val="22"/>
        </w:rPr>
        <w:t xml:space="preserve">对外担保可能形成或有负债：公司已披露向包括湖北洋丰美新能源科技有限公司、湖北楚乾氟硅材料有限公司在内的子公司提供担保，公开信息列示了多笔担保事项，但部分可能涉及新增、续期或存量调整，具体余额和责任范围需以完整担保公告及半年报披露为准。</w:t>
      </w:r>
    </w:p>
    <w:p>
      <w:pPr>
        <w:pStyle w:val="ListParagraph"/>
        <w:numPr>
          <w:ilvl w:val="0"/>
          <w:numId w:val="2"/>
        </w:numPr>
        <w:spacing w:after="80" w:line="280"/>
      </w:pPr>
      <w:r>
        <w:rPr>
          <w:sz w:val="22"/>
          <w:szCs w:val="22"/>
        </w:rPr>
        <w:t xml:space="preserve">短期交易面承接不稳定：股价在9月8日放量上涨后连续回落，9月11日收盘低于MA5和MA10，主力资金按超大单加大单口径净流出约1,868.50万元；若股价有效跌破14.05元及13.75至14.00元支撑区域，短线波动和下行压力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中期增长逻辑主要在于磷复肥销量扩张、新型复合肥和专用肥占比提升、品牌渠道与农技服务优势，以及磷矿、硫酸、合成氨、磷石膏处理等配套能力对成本和环保约束的缓释。新型复合肥毛利率显著高于常规产品，说明产品结构升级已对盈利形成直接贡献；境外收入2025年增长较快，但占比仍较低，国内农资渠道和种植需求仍是基本盘。</w:t>
      </w:r>
    </w:p>
    <w:p>
      <w:pPr>
        <w:spacing w:after="160" w:line="300"/>
      </w:pPr>
      <w:r>
        <w:rPr>
          <w:sz w:val="22"/>
          <w:szCs w:val="22"/>
        </w:rPr>
        <w:t xml:space="preserve">展望未来，机构样本预计公司2026年归母净利润约17.12亿元，2027年至2028年机构简单平均预测分别约20.24亿元和22.94亿元，但2026年上半年利润增速明显低于收入增速，预测兑现仍取决于硫磺等原材料价格、磷肥及复合肥毛利率、产品结构改善和新能源材料项目进展。磷酸铁锂及配套项目若顺利推进，可能拓展磷系新能源新材料业务；不过该项目尚处计划和建设推进阶段，短期对业绩的贡献尚不能确定。</w:t>
      </w:r>
    </w:p>
    <w:p>
      <w:pPr>
        <w:spacing w:after="160" w:line="300"/>
      </w:pPr>
      <w:r>
        <w:rPr>
          <w:sz w:val="22"/>
          <w:szCs w:val="22"/>
        </w:rPr>
        <w:t xml:space="preserve">公司当前需要同时验证盈利质量、现金流改善、原料成本传导能力及治理整改成效。技术面上，14.05至14.25元附近对应短期支撑，14.65至14.95元为近期压力区域，价格和成交量能否形成同步改善仍需观察。上述基本面与技术面信息反映的是公司经营和市场交易状态，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关于我们-新洋丰农业科技股份有限公司 — https://yonfer.com/about</w:t>
      </w:r>
    </w:p>
    <w:p>
      <w:pPr>
        <w:spacing w:after="200"/>
      </w:pPr>
      <w:r>
        <w:rPr>
          <w:i/>
          <w:iCs/>
          <w:color w:val="595959"/>
          <w:sz w:val="18"/>
          <w:szCs w:val="18"/>
        </w:rPr>
        <w:t xml:space="preserve">新洋丰(000902)_公司公告_新洋丰：2025年年度报告新浪财经_新浪网 — https://money.finance.sina.com.cn/corp/view/vCB_AllBulletinDetail.php?id=12208573&amp;stockid=000902</w:t>
      </w:r>
    </w:p>
    <w:p>
      <w:pPr>
        <w:spacing w:after="200"/>
      </w:pPr>
      <w:r>
        <w:rPr>
          <w:i/>
          <w:iCs/>
          <w:color w:val="595959"/>
          <w:sz w:val="18"/>
          <w:szCs w:val="18"/>
        </w:rPr>
        <w:t xml:space="preserve">新洋丰: 2025年年度报告_股票频道_证券之星 — https://stock.stockstar.com/notice/SN2026042700030933.shtml</w:t>
      </w:r>
    </w:p>
    <w:p>
      <w:pPr>
        <w:spacing w:after="200"/>
      </w:pPr>
      <w:r>
        <w:rPr>
          <w:i/>
          <w:iCs/>
          <w:color w:val="595959"/>
          <w:sz w:val="18"/>
          <w:szCs w:val="18"/>
        </w:rPr>
        <w:t xml:space="preserve">云天化(600096)_公司公告_云天化：2025年年度报告新浪财经_新浪网 — https://money.finance.sina.com.cn/corp/view/vCB_AllBulletinDetail.php?id=12012198&amp;stockid=600096&amp;utm_source=openai</w:t>
      </w:r>
    </w:p>
    <w:p>
      <w:pPr>
        <w:spacing w:after="200"/>
      </w:pPr>
      <w:r>
        <w:rPr>
          <w:i/>
          <w:iCs/>
          <w:color w:val="595959"/>
          <w:sz w:val="18"/>
          <w:szCs w:val="18"/>
        </w:rPr>
        <w:t xml:space="preserve">湖北宜化(000422)_公司公告_湖北宜化：2025年年度报告新浪财经_新浪网 — https://vip.stock.finance.sina.com.cn/corp/view/vCB_AllBulletinDetail.php?id=12190431&amp;stockid=000422&amp;utm_source=openai</w:t>
      </w:r>
    </w:p>
    <w:p>
      <w:pPr>
        <w:spacing w:after="200"/>
      </w:pPr>
      <w:r>
        <w:rPr>
          <w:i/>
          <w:iCs/>
          <w:color w:val="595959"/>
          <w:sz w:val="18"/>
          <w:szCs w:val="18"/>
        </w:rPr>
        <w:t xml:space="preserve">川发龙蟒(002312)_公司公告_川发龙蟒：2025年年度报告新浪财经_新浪网 — https://money.finance.sina.com.cn/corp/view/vCB_AllBulletinDetail.php?id=12223832&amp;stockid=002312&amp;utm_source=openai</w:t>
      </w:r>
    </w:p>
    <w:p>
      <w:pPr>
        <w:spacing w:after="200"/>
      </w:pPr>
      <w:r>
        <w:rPr>
          <w:i/>
          <w:iCs/>
          <w:color w:val="595959"/>
          <w:sz w:val="18"/>
          <w:szCs w:val="18"/>
        </w:rPr>
        <w:t xml:space="preserve">川恒股份(002895)_公司公告_川恒股份：2025年年度报告新浪财经_新浪网 — https://money.finance.sina.com.cn/corp/view/vCB_AllBulletinDetail.php?id=12073441&amp;stockid=002895&amp;utm_source=openai</w:t>
      </w:r>
    </w:p>
    <w:p>
      <w:pPr>
        <w:spacing w:after="200"/>
      </w:pPr>
      <w:r>
        <w:rPr>
          <w:i/>
          <w:iCs/>
          <w:color w:val="595959"/>
          <w:sz w:val="18"/>
          <w:szCs w:val="18"/>
        </w:rPr>
        <w:t xml:space="preserve">我国磷化工行业竞争：云天化处于第一梯队 兴发集团、湖北宜化等处第二梯队_观研报告网 — https://www.chinabaogao.com/jingzheng/202401/685991.html?utm_source=openai</w:t>
      </w:r>
    </w:p>
    <w:p>
      <w:pPr>
        <w:spacing w:after="200"/>
      </w:pPr>
      <w:r>
        <w:rPr>
          <w:i/>
          <w:iCs/>
          <w:color w:val="595959"/>
          <w:sz w:val="18"/>
          <w:szCs w:val="18"/>
        </w:rPr>
        <w:t xml:space="preserve">新洋丰(000902)_公司公告_新洋丰：2026年半年度报告摘要新浪财经_新浪网 — https://money.finance.sina.com.cn/corp/view/vCB_AllBulletinDetail.php?id=12499784&amp;stockid=000902&amp;utm_source=openai</w:t>
      </w:r>
    </w:p>
    <w:p>
      <w:pPr>
        <w:spacing w:after="200"/>
      </w:pPr>
      <w:r>
        <w:rPr>
          <w:i/>
          <w:iCs/>
          <w:color w:val="595959"/>
          <w:sz w:val="18"/>
          <w:szCs w:val="18"/>
        </w:rPr>
        <w:t xml:space="preserve">新洋丰农业科技股份有限公司 2026 年半年度报告全文 — https://static.cninfo.com.cn/finalpage/2026-08-18/1225478152.PDF?utm_source=openai</w:t>
      </w:r>
    </w:p>
    <w:p>
      <w:pPr>
        <w:spacing w:after="200"/>
      </w:pPr>
      <w:r>
        <w:rPr>
          <w:i/>
          <w:iCs/>
          <w:color w:val="595959"/>
          <w:sz w:val="18"/>
          <w:szCs w:val="18"/>
        </w:rPr>
        <w:t xml:space="preserve">https://static.cninfo.com.cn/finalpage/2026-08-18/1225478152.PDF — https://static.cninfo.com.cn/finalpage/2026-08-18/1225478152.PDF</w:t>
      </w:r>
    </w:p>
    <w:p>
      <w:pPr>
        <w:spacing w:after="200"/>
      </w:pPr>
      <w:r>
        <w:rPr>
          <w:i/>
          <w:iCs/>
          <w:color w:val="595959"/>
          <w:sz w:val="18"/>
          <w:szCs w:val="18"/>
        </w:rPr>
        <w:t xml:space="preserve">新洋丰(000902)：受原材料价格影响毛利率小幅下滑 新产能布局助力未来成长__新浪财经_新浪网 — https://stock.finance.sina.com.cn/stock/go.php/vReport_Show/kind/search/rptid/840481496091/index.phtml?utm_source=openai</w:t>
      </w:r>
    </w:p>
    <w:p>
      <w:pPr>
        <w:spacing w:after="200"/>
      </w:pPr>
      <w:r>
        <w:rPr>
          <w:i/>
          <w:iCs/>
          <w:color w:val="595959"/>
          <w:sz w:val="18"/>
          <w:szCs w:val="18"/>
        </w:rPr>
        <w:t xml:space="preserve">新洋丰(000902)_公司公告_新洋丰：2025年年度报告摘要新浪财经_新浪网 — https://money.finance.sina.com.cn/corp/view/vCB_AllBulletinDetail.php?id=12208535&amp;stockid=000902&amp;utm_source=openai</w:t>
      </w:r>
    </w:p>
    <w:p>
      <w:pPr>
        <w:spacing w:after="200"/>
      </w:pPr>
      <w:r>
        <w:rPr>
          <w:i/>
          <w:iCs/>
          <w:color w:val="595959"/>
          <w:sz w:val="18"/>
          <w:szCs w:val="18"/>
        </w:rPr>
        <w:t xml:space="preserve">新洋丰：2025年净利润16.12亿元 同比增长22.61% 拟10派2元 _ 东方财富网 — https://finance.eastmoney.com/a/202604273720415370.html?utm_source=openai</w:t>
      </w:r>
    </w:p>
    <w:p>
      <w:pPr>
        <w:spacing w:after="200"/>
      </w:pPr>
      <w:r>
        <w:rPr>
          <w:i/>
          <w:iCs/>
          <w:color w:val="595959"/>
          <w:sz w:val="18"/>
          <w:szCs w:val="18"/>
        </w:rPr>
        <w:t xml:space="preserve">新洋丰(000902) 盈利预测_F10_同花顺金融服务网 — https://basic.10jqka.com.cn/000902/worth.html?utm_source=openai</w:t>
      </w:r>
    </w:p>
    <w:p>
      <w:pPr>
        <w:spacing w:after="200"/>
      </w:pPr>
      <w:r>
        <w:rPr>
          <w:i/>
          <w:iCs/>
          <w:color w:val="595959"/>
          <w:sz w:val="18"/>
          <w:szCs w:val="18"/>
        </w:rPr>
        <w:t xml:space="preserve">新洋丰(000902) 盈利预测_F10_同花顺金融服务网 — https://basic.10jqka.com.cn/000902/worth.html</w:t>
      </w:r>
    </w:p>
    <w:p>
      <w:pPr>
        <w:spacing w:after="200"/>
      </w:pPr>
      <w:r>
        <w:rPr>
          <w:i/>
          <w:iCs/>
          <w:color w:val="595959"/>
          <w:sz w:val="18"/>
          <w:szCs w:val="18"/>
        </w:rPr>
        <w:t xml:space="preserve">盈利预测 — https://webf10.gw.com.cn/SZ/B16/SZ000902_B16.html</w:t>
      </w:r>
    </w:p>
    <w:p>
      <w:pPr>
        <w:spacing w:after="200"/>
      </w:pPr>
      <w:r>
        <w:rPr>
          <w:i/>
          <w:iCs/>
          <w:color w:val="595959"/>
          <w:sz w:val="18"/>
          <w:szCs w:val="18"/>
        </w:rPr>
        <w:t xml:space="preserve">新洋丰(000902)跟踪报告：25年归母净利润同比上升22.6% 深化产业链垂直一体化战略_公司研究_新浪财经_新浪网 — https://stock.finance.sina.com.cn/stock/go.php/vReport_Show/kind/company/rptid/830781085881/index.phtml?utm_source=openai</w:t>
      </w:r>
    </w:p>
    <w:p>
      <w:pPr>
        <w:spacing w:after="200"/>
      </w:pPr>
      <w:r>
        <w:rPr>
          <w:i/>
          <w:iCs/>
          <w:color w:val="595959"/>
          <w:sz w:val="18"/>
          <w:szCs w:val="18"/>
        </w:rPr>
        <w:t xml:space="preserve">新洋丰(000902)：业绩符合预期 复合肥盈利保持较强稳定性__新浪财经_新浪网 — https://stock.finance.sina.com.cn/stock/go.php/vReport_Show/kind/lastest/rptid/840444680195/index.phtml?utm_source=openai</w:t>
      </w:r>
    </w:p>
    <w:p>
      <w:pPr>
        <w:spacing w:after="200"/>
      </w:pPr>
      <w:r>
        <w:rPr>
          <w:i/>
          <w:iCs/>
          <w:color w:val="595959"/>
          <w:sz w:val="18"/>
          <w:szCs w:val="18"/>
        </w:rPr>
        <w:t xml:space="preserve">新洋丰(000902)_股票行情，行情首页_中财网 — https://quote.cfi.cn/quote_000902.html</w:t>
      </w:r>
    </w:p>
    <w:p>
      <w:pPr>
        <w:spacing w:after="200"/>
      </w:pPr>
      <w:r>
        <w:rPr>
          <w:i/>
          <w:iCs/>
          <w:color w:val="595959"/>
          <w:sz w:val="18"/>
          <w:szCs w:val="18"/>
        </w:rPr>
        <w:t xml:space="preserve">新洋丰(000902)市盈率|估值|基本面 - 理杏仁 — https://www.lixinger.com/equity/company/detail/sz/000902/902/fundamental/valuation/pe-ttm?utm_source=openai</w:t>
      </w:r>
    </w:p>
    <w:p>
      <w:pPr>
        <w:spacing w:after="200"/>
      </w:pPr>
      <w:r>
        <w:rPr>
          <w:i/>
          <w:iCs/>
          <w:color w:val="595959"/>
          <w:sz w:val="18"/>
          <w:szCs w:val="18"/>
        </w:rPr>
        <w:t xml:space="preserve">新洋丰(000902)公司公告_新浪财经_新浪网 — https://vip.stock.finance.sina.com.cn/corp/go.php/vCB_AllBulletin/stockid/000902.phtml?utm_source=openai</w:t>
      </w:r>
    </w:p>
    <w:p>
      <w:pPr>
        <w:spacing w:after="200"/>
      </w:pPr>
      <w:r>
        <w:rPr>
          <w:i/>
          <w:iCs/>
          <w:color w:val="595959"/>
          <w:sz w:val="18"/>
          <w:szCs w:val="18"/>
        </w:rPr>
        <w:t xml:space="preserve">新洋丰：2026年上半年净利润同比增长1.01% 拟10派1元 _ 东方财富网 — https://finance.eastmoney.com/a/202608173843551430.html?utm_source=openai</w:t>
      </w:r>
    </w:p>
    <w:p>
      <w:pPr>
        <w:spacing w:after="200"/>
      </w:pPr>
      <w:r>
        <w:rPr>
          <w:i/>
          <w:iCs/>
          <w:color w:val="595959"/>
          <w:sz w:val="18"/>
          <w:szCs w:val="18"/>
        </w:rPr>
        <w:t xml:space="preserve">新洋丰(000902)_公司公告_新洋丰：2026年8月18日投资者关系活动记录表新浪财经_新浪网 — https://vip.stock.finance.sina.com.cn/corp/view/vCB_AllBulletinDetail.php?id=12505304&amp;stockid=000902&amp;utm_source=openai</w:t>
      </w:r>
    </w:p>
    <w:p>
      <w:pPr>
        <w:spacing w:after="200"/>
      </w:pPr>
      <w:r>
        <w:rPr>
          <w:i/>
          <w:iCs/>
          <w:color w:val="595959"/>
          <w:sz w:val="18"/>
          <w:szCs w:val="18"/>
        </w:rPr>
        <w:t xml:space="preserve">证券代码：000902  证券简称：新洋丰  编号：2026-047 — https://static.cninfo.com.cn/finalpage/2026-08-19/1225479873.PDF?utm_source=openai</w:t>
      </w:r>
    </w:p>
    <w:p>
      <w:pPr>
        <w:spacing w:after="200"/>
      </w:pPr>
      <w:r>
        <w:rPr>
          <w:i/>
          <w:iCs/>
          <w:color w:val="595959"/>
          <w:sz w:val="18"/>
          <w:szCs w:val="18"/>
        </w:rPr>
        <w:t xml:space="preserve">新洋丰(000902) 公司大事_F10_同花顺金融服务网 — https://basic.10jqka.com.cn/000902/event.html?utm_source=openai</w:t>
      </w:r>
    </w:p>
    <w:p>
      <w:pPr>
        <w:spacing w:after="200"/>
      </w:pPr>
      <w:r>
        <w:rPr>
          <w:i/>
          <w:iCs/>
          <w:color w:val="595959"/>
          <w:sz w:val="18"/>
          <w:szCs w:val="18"/>
        </w:rPr>
        <w:t xml:space="preserve">新洋丰(000902)_公司公告_新洋丰：2026年半年度报告新浪财经_新浪网 — https://money.finance.sina.com.cn/corp/view/vCB_AllBulletinDetail.php?id=12499790&amp;stockid=000902&amp;utm_source=openai</w:t>
      </w:r>
    </w:p>
    <w:p>
      <w:pPr>
        <w:spacing w:after="200"/>
      </w:pPr>
      <w:r>
        <w:rPr>
          <w:i/>
          <w:iCs/>
          <w:color w:val="595959"/>
          <w:sz w:val="18"/>
          <w:szCs w:val="18"/>
        </w:rPr>
        <w:t xml:space="preserve">关于对新洋丰农业科技股份有限公司及相关当事人的监管函 | 中国投资者网 — https://www.investor.org.cn/xxcx/integritys/ssgswgxx/202607/t20260720_923823.shtml?utm_source=openai</w:t>
      </w:r>
    </w:p>
    <w:p>
      <w:pPr>
        <w:spacing w:after="200"/>
      </w:pPr>
      <w:r>
        <w:rPr>
          <w:i/>
          <w:iCs/>
          <w:color w:val="595959"/>
          <w:sz w:val="18"/>
          <w:szCs w:val="18"/>
        </w:rPr>
        <w:t xml:space="preserve">新洋豐(000902.SZ)及相關人員收到湖北證監局警示函 作者 智通財經 — https://hk.investing.com/news/stock-market-news/article-1557541?utm_source=openai</w:t>
      </w:r>
    </w:p>
    <w:p>
      <w:pPr>
        <w:spacing w:after="200"/>
      </w:pPr>
      <w:r>
        <w:rPr>
          <w:i/>
          <w:iCs/>
          <w:color w:val="595959"/>
          <w:sz w:val="18"/>
          <w:szCs w:val="18"/>
        </w:rPr>
        <w:t xml:space="preserve">证券代码：000902  证券简称：新洋丰  编号：2026-025 — https://disc.static.szse.cn/download/disc/disk03/finalpage/2026-04-28/8b129091-0803-46e4-97c9-b2cd3d6cfc85.PDF?utm_source=openai</w:t>
      </w:r>
    </w:p>
    <w:p>
      <w:pPr>
        <w:spacing w:after="200"/>
      </w:pPr>
      <w:r>
        <w:rPr>
          <w:i/>
          <w:iCs/>
          <w:color w:val="595959"/>
          <w:sz w:val="18"/>
          <w:szCs w:val="18"/>
        </w:rPr>
        <w:t xml:space="preserve">证券代码：000902  证券简称：新洋丰  编号：2026-023 — https://static.cninfo.com.cn/finalpage/2026-04-28/1225209712.PDF?utm_source=openai</w:t>
      </w:r>
    </w:p>
    <w:p>
      <w:pPr>
        <w:spacing w:after="200"/>
      </w:pPr>
      <w:r>
        <w:rPr>
          <w:i/>
          <w:iCs/>
          <w:color w:val="595959"/>
          <w:sz w:val="18"/>
          <w:szCs w:val="18"/>
        </w:rPr>
        <w:t xml:space="preserve">新洋丰(000902)对外担保_新浪财经_新浪网 — https://money.finance.sina.com.cn/corp/go.php/vGP_Assurance/stockid/000902.phtml?utm_source=openai</w:t>
      </w:r>
    </w:p>
    <w:p>
      <w:pPr>
        <w:spacing w:after="200"/>
      </w:pPr>
      <w:r>
        <w:rPr>
          <w:i/>
          <w:iCs/>
          <w:color w:val="595959"/>
          <w:sz w:val="18"/>
          <w:szCs w:val="18"/>
        </w:rPr>
        <w:t xml:space="preserve">科技创新再突破！新洋丰获批三项省级科技计划项目_新浪财经_新浪网 — https://finance.sina.com.cn/stock/s/2026-08-23/doc-inipucst5930228.shtml?utm_source=openai</w:t>
      </w:r>
    </w:p>
    <w:p>
      <w:pPr>
        <w:spacing w:after="200"/>
      </w:pPr>
      <w:r>
        <w:rPr>
          <w:i/>
          <w:iCs/>
          <w:color w:val="595959"/>
          <w:sz w:val="18"/>
          <w:szCs w:val="18"/>
        </w:rPr>
        <w:t xml:space="preserve">新洋丰(000902)_股票行情，行情首页_中财网 — https://quotewh.cfi.cn/000902.html</w:t>
      </w:r>
    </w:p>
    <w:p>
      <w:pPr>
        <w:spacing w:after="200"/>
      </w:pPr>
      <w:r>
        <w:rPr>
          <w:i/>
          <w:iCs/>
          <w:color w:val="595959"/>
          <w:sz w:val="18"/>
          <w:szCs w:val="18"/>
        </w:rPr>
        <w:t xml:space="preserve">YONFER Agricultural Technology Co Ltd (000902)歷史價格 - Investing.com — https://hk.investing.com/equities/china-garments-a-historical-data?utm_source=openai</w:t>
      </w:r>
    </w:p>
    <w:p>
      <w:pPr>
        <w:spacing w:after="200"/>
      </w:pPr>
      <w:r>
        <w:rPr>
          <w:i/>
          <w:iCs/>
          <w:color w:val="595959"/>
          <w:sz w:val="18"/>
          <w:szCs w:val="18"/>
        </w:rPr>
        <w:t xml:space="preserve">YONFER Agricultural Technology Co Ltd (000902)歷史價格 - Investing.com — https://hk.investing.com/equities/china-garments-a-historical-data</w:t>
      </w:r>
    </w:p>
    <w:p>
      <w:pPr>
        <w:spacing w:after="200"/>
      </w:pPr>
      <w:r>
        <w:rPr>
          <w:i/>
          <w:iCs/>
          <w:color w:val="595959"/>
          <w:sz w:val="18"/>
          <w:szCs w:val="18"/>
        </w:rPr>
        <w:t xml:space="preserve">集友银行 — https://content5.etninfo.com/content/cyuwebV2/asharecontent/sc/ashare_quote.php?code=000902&amp;utm_source=openai</w:t>
      </w:r>
    </w:p>
    <w:p>
      <w:pPr>
        <w:spacing w:after="200"/>
      </w:pPr>
      <w:r>
        <w:rPr>
          <w:i/>
          <w:iCs/>
          <w:color w:val="595959"/>
          <w:sz w:val="18"/>
          <w:szCs w:val="18"/>
        </w:rPr>
        <w:t xml:space="preserve">新洋丰 (000902.SZ) - 沪港通详细行情 Detail Quote — https://m.aastocks.com/sc/cnhk/quote/detail-quote.aspx?shsymbol=000902&amp;utm_source=openai</w:t>
      </w:r>
    </w:p>
    <w:p>
      <w:pPr>
        <w:spacing w:after="200"/>
      </w:pPr>
      <w:r>
        <w:rPr>
          <w:i/>
          <w:iCs/>
          <w:color w:val="595959"/>
          <w:sz w:val="18"/>
          <w:szCs w:val="18"/>
        </w:rPr>
        <w:t xml:space="preserve">新洋丰(000902)_资金流向_证券之星 — https://stock.quote.stockstar.com/capital_000902.shtml?utm_source=openai</w:t>
      </w:r>
    </w:p>
    <w:p>
      <w:pPr>
        <w:spacing w:after="200"/>
      </w:pPr>
      <w:r>
        <w:rPr>
          <w:i/>
          <w:iCs/>
          <w:color w:val="595959"/>
          <w:sz w:val="18"/>
          <w:szCs w:val="18"/>
        </w:rPr>
        <w:t xml:space="preserve">新洋丰(000902) 股东研究_F10_同花顺金融服务网 — https://basic.10jqka.com.cn/000902/holder.html</w:t>
      </w:r>
    </w:p>
    <w:p>
      <w:pPr>
        <w:spacing w:after="200"/>
      </w:pPr>
      <w:r>
        <w:rPr>
          <w:i/>
          <w:iCs/>
          <w:color w:val="595959"/>
          <w:sz w:val="18"/>
          <w:szCs w:val="18"/>
        </w:rPr>
        <w:t xml:space="preserve">本报告由AI基于公开渠道信息自动检索、整理并生成，信息截至 截至2026年9月11日收盘；行情、技术指标及资金流向数据以该日收盘为准，股东结构数据截至2026年6月30日，存在季度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2026-09-13T15:56:12.064Z</dcterms:created>
  <dcterms:modified xsi:type="dcterms:W3CDTF">2026-09-13T15:56:12.064Z</dcterms:modified>
</cp:coreProperties>
</file>

<file path=docProps/custom.xml><?xml version="1.0" encoding="utf-8"?>
<Properties xmlns="http://schemas.openxmlformats.org/officeDocument/2006/custom-properties" xmlns:vt="http://schemas.openxmlformats.org/officeDocument/2006/docPropsVTypes"/>
</file>