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魅视科技 (001229)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行业：专业视听设备与AI产品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报告日期：2026年10月17日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行情截至2026-10-16收盘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核心结论：AI放量尚未补上利润缺口，高估值要求盈利质量尽快兑现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40.83元（+3.73%）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约58.56亿元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107.25倍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5.86倍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22.34～50.19元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2.50亿元／8.21%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行情数据截至：2026-10-16收盘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收入回升仍未转化为利润</w:t>
      </w:r>
      <w:r>
        <w:rPr>
          <w:sz w:val="22"/>
          <w:szCs w:val="22"/>
        </w:rPr>
        <w:t xml:space="preserve">：2026年上半年营收同比增长48.92%，归母净利润下降77.95%、扣非净利润下降85.26%，毛利率降至46.67%。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AI高增与传统业务缓增并存</w:t>
      </w:r>
      <w:r>
        <w:rPr>
          <w:sz w:val="22"/>
          <w:szCs w:val="22"/>
        </w:rPr>
        <w:t xml:space="preserve">：2025年AI产品收入增长212.59%、占比11.05%，但毛利率同比下降30.66个百分点；专用视听产品收入仅增长2.22%。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股价估值处于高位且缺少一致预期锚</w:t>
      </w:r>
      <w:r>
        <w:rPr>
          <w:sz w:val="22"/>
          <w:szCs w:val="22"/>
        </w:rPr>
        <w:t xml:space="preserve">：10月16日收盘40.83元，PE-TTM 107.25倍、PB-MRQ 5.86倍；近六个月无机构盈利预测及一致预期。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：当前估值更像是在定价AI业务持续放量及盈利修复；近六个月无一致预期。市场隐含EPS增速约31.5%仅为低利润基数下的算术结果，不宜视为市场预期。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：AI收入高速增长，但占比仍有限且毛利率明显下滑；上半年收入增长伴随利润和毛利率走弱。盈利修复尚未兑现，需验证AI放量能否改善利润质量。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证据倾向：偏空；置信度：中（无机构盈利预测、部分财务字段仍缺官方核验或披露日期）</w:t>
      </w:r>
    </w:p>
    <w:p>
      <w:pPr>
        <w:spacing w:after="160" w:line="300"/>
      </w:pPr>
      <w:r>
        <w:rPr>
          <w:sz w:val="22"/>
          <w:szCs w:val="22"/>
        </w:rPr>
        <w:t xml:space="preserve">利润下滑与高估值方向一致；AI高增长及剔除股份支付后的利润表现提供反向证据，后续仍待验证。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向政务、公共安全、交通、能源及企业等客户销售视音频软硬件产品和解决方案，依靠产品技术与项目交付定价。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专用视听产品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84.06%（2025年）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71.60%（2025年）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2.22%（2025年同比）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传统基本盘，核心为分布式系统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AI系列产品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11.05%（2025年）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51.90%（2025年）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212.59%（2025年同比）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收入快速增长，毛利率同比下降30.66个百分点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4.89%（2025年）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年报未单独披露毛利率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分布式视听技术积累；披露项目近千路信号并发、延时不高于2毫秒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2025年专用视听产品毛利率71.60%，但同比下降2.07个百分点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研发投入2,043.99万元，占2025年营收8.91%；核心产品完成国产适配</w:t>
      </w:r>
    </w:p>
    <w:p>
      <w:pPr>
        <w:spacing w:after="160" w:line="300"/>
      </w:pPr>
      <w:r>
        <w:rPr>
          <w:sz w:val="22"/>
          <w:szCs w:val="22"/>
        </w:rPr>
        <w:t xml:space="preserve">主要威胁：传统产品需求放缓、招投标竞争加剧；AI产品毛利率较低且明显下滑，扩张投入可能继续压制利润。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采购包括控制器、存储器、HDMI采集、通信、电源管理、以太网等芯片，以及电路板、机箱和结构件；2025年专业视听直接材料占该业务成本70.03%。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2025年前五大供应商采购占比24.19%、最大供应商占5.43%；年报未披露对应物料，不能据此判断关键芯片来源分散度。公司对芯片及电子元件整体议价能力有限。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客户覆盖政务、公共安全、应急、交通、能源及企业园区；直接客户主要为集成商，项目预算、招标、验收及集成商议价影响售价和回款。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2025年年报披露前五大客户销售占比13.05%、最大客户4.23%；客户名称匿名，集中度数字以年报披露口径为准。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2025年末应收账款8,270.10万元，占营收约36.0%、为归母净利润1.19倍；近两年末均值估算约127天收入。经营现金流净额1.191亿元，高于净利润。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76.43%（主营业务）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41.04%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招股书将高毛利与分布式技术、自产品及服务体系联系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77.47%（主营业务）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43.30%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毛利率升1.04个百分点；分布式系统收入占比升至80.19%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76.03%（主营业务）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41.14%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毛利率降1.44个百分点，分布式占比及其他产品结构变化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74.91%（主营业务）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40.65%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分布式系统毛利率同比下降3.19个百分点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69.31%（专业视听行业）；66.46%（整体估算）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30.28%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行业成本增速快于收入；AI毛利下滑，股份支付及扩张投入增加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公司处于专业视听设备与系统方案中游，以软硬件结合和项目交付获取较高毛利；利润改善取决于稳定传统产品毛利、提升AI业务收入质量并控制扩张成本。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公司处于专业视听与视频处理相关市场，业务以专用视听产品为主、AI产品为增量。传统产品收入增长较慢且毛利率下行，AI收入增速快但毛利率显著低于传统业务。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淳中科技（603516）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显示控制及专业视听产品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2025营收3.292亿元；专业视听毛利率57.40%；PE(TTM) 29.04倍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产品结构含虚拟现实、芯片等；魅视专用视听毛利率较高，业务并非完全同质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兴图新科（688081）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智能视频指挥及视频智算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2025营收1.427亿元；主营毛利率57.11%；归母净亏损；PE(TTM) 亏损，不适用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与魅视在指挥调度、视频处理场景重叠，终端行业结构不同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苏州科达（603660）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视频会议、监控及行业方案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2025营收10.461亿元；主营毛利率52.48%；归母净亏损；PE(TTM) 亏损，不适用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收入规模更大、业务范围更宽，不能据规模推定细分市场份额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魅视2025年专用视听产品毛利率高于所列可比公司的相关口径，但产品结构和统计口径不同，不能据此直接排序竞争力。其优势在分布式产品技术积累与较高产品毛利，短板是传统收入增长偏慢、毛利率回落，AI业务盈利质量仍待验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1.05亿元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+48.92%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0.04亿元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-77.95%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-85.26%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46.67%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2.29亿元人民币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+16.58%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0.69亿元人民币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-13.16%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-10.87%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66.46%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1.97亿元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-7.06%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-8.15%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-6.27%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74.04%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5项，5项与发行人定期报告原文逐项比对一致。同比增速按原文本期、上期数推算了5项，5项与表中一致。</w:t>
      </w:r>
    </w:p>
    <w:p>
      <w:pPr>
        <w:spacing w:after="160" w:line="300"/>
      </w:pPr>
      <w:r>
        <w:rPr>
          <w:sz w:val="22"/>
          <w:szCs w:val="22"/>
        </w:rPr>
        <w:t xml:space="preserve">上半年收入增长未转化为利润，毛利率降至46.67%。销售费用同比增63.46%，报告期确认股份支付费用1683.99万元；剔除其影响后净利润同比增长10.32%。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0.42%（2026年中报）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中报盈利明显下滑，阶段性股东回报偏低。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9.80%（2026年中报）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负债率低，短期偿债压力较小。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6.06（2026年中报）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流动资产对短期负债覆盖较充足。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142.0天（2026年中报）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较2025年报的125.2天延长，需关注回款。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107.25倍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近4.1年99%分位（中位数39.56倍）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淳中科技29.04倍；兴图新科、苏州科达亏损，不适用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5.86倍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近4.1年94%分位（中位数3.54倍）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中位数7.23倍（淳中科技7.23、兴图新科6.69、苏州科达8.11）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22.18倍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近4.1年96%分位（中位数16.23倍）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中位数17.88倍（淳中科技41.22、兴图新科17.88、苏州科达5.09）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估值倍数由程序按2026-10-16收盘数据计算（滚动十二个月口径）；同行倍数按2026-10-16收盘数据同口径计算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107.25倍市盈率计，若投资者要求年化8%的回报、10年后按15倍市盈率估值，每股收益需年均增长约31.5%（不计分红，偏保守）。当前利润基数偏低、市盈率失真，这一增速只是算术结果，不宜直接当作市场预期。</w:t>
      </w:r>
    </w:p>
    <w:p>
      <w:pPr>
        <w:spacing w:after="160" w:line="300"/>
      </w:pPr>
      <w:r>
        <w:rPr>
          <w:sz w:val="22"/>
          <w:szCs w:val="22"/>
        </w:rPr>
        <w:t xml:space="preserve">PE-TTM 107.25倍、PB-MRQ 5.86倍、PS-TTM 22.18倍，分别处于近4.1年99%、94%、96%分位，均高于各自中位数。市场隐含增速为低利润基数下的算术结果，不作预期比较；高估值要求AI增长最终转化为利润改善。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机构观点</w:t>
      </w:r>
    </w:p>
    <w:p>
      <w:pPr>
        <w:spacing w:after="160" w:line="300"/>
      </w:pPr>
      <w:r>
        <w:rPr>
          <w:sz w:val="22"/>
          <w:szCs w:val="22"/>
        </w:rPr>
        <w:t xml:space="preserve">无（近六个月无机构覆盖）。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关注收入增长能否转化为利润，以及InP前期费用对利润的影响。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2026-12-11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171.61万股限售股解禁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占总股本1.20%、流通股本约2.33%；关注激励对象减持及实际抛压。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2026-08-05 启动磷化铟项目准备（中性）</w:t>
      </w:r>
      <w:r>
        <w:rPr>
          <w:sz w:val="22"/>
          <w:szCs w:val="22"/>
        </w:rPr>
        <w:t xml:space="preserve">：公司授权全资子公司开展InP实验室前期工作，首阶段投资1200万元；后续2.0亿—2.6亿元投资须经验证及董事会批准，且不构成实质承诺。公告前股价三日涨33%、两连板，主题预期已有反应。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2026-08-24 半年报呈现增收不增利（利空）</w:t>
      </w:r>
      <w:r>
        <w:rPr>
          <w:sz w:val="22"/>
          <w:szCs w:val="22"/>
        </w:rPr>
        <w:t xml:space="preserve">：上半年营收增长48.92%，归母净利润同比下降77.95%，毛利率下滑17.24个百分点，显示收入增长尚未转化为利润；中期不分红、不转增。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2026-10-16 互动答复更新InP进展（中性）</w:t>
      </w:r>
      <w:r>
        <w:rPr>
          <w:sz w:val="22"/>
          <w:szCs w:val="22"/>
        </w:rPr>
        <w:t xml:space="preserve">：公司互动答复称InP研发实验室建设正在推进，尚未对经营业绩产生实质影响，并提示研发失败风险；未披露完工或验证时间。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AI产品2025年收入增长212.59%，若收入占比提升且毛利率企稳，有望形成传统业务之外的增量。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2025年经营现金流净额1.191亿元，高于净利润；2026年中报资产负债率9.80%，财务承压相对有限。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2025年整体毛利率66.46%，低于上年74.04%；2026年上半年进一步降至46.67%，盈利能力承压。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2026年上半年销售费用同比增长63.46%，应收账款周转天数升至142天，费用扩张与回款放缓可能拖累利润和现金转化。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InP研发仍处实验室建设阶段，后续2.0亿—2.6亿元投资尚待验证及董事会批准；若项目推进或验证不及预期，可能增加费用并削弱估值支撑。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芯片及电子元件议价能力有限，专业视听直接材料占该业务成本70.03%；若采购成本上升，可能进一步压缩产品毛利率。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12月11日171.61万股限售股解禁，占总股本1.20%；若解禁股份减持，可能增加供给并压制估值。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三季报利润转化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10月26日披露；上半年增收不增利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收入增长同时归母及扣非利润降幅收窄或转正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收入继续增长但利润同比降幅扩大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AI产品毛利率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2025年51.90%，同比下降30.66个百分点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收入占比提升且毛利率止跌回升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收入占比提升但毛利率继续下滑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2026年中报142天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周转天数回落至125天附近或更低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周转天数继续上升且经营现金流转弱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InP研发进展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实验室建设推进，尚未影响业绩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披露明确验证节点及阶段性成果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研发延期、验证失败或投入显著增加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⚠️以下为主观技术情景推演，权重非统计概率，不构成投资建议。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股价站在均线簇上方，MACD柱体扩大，短线动能偏强；但已接近42.16~43.98元压力区，近5日涨幅较快，突破需量能确认。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MA5/MA10/MA20/MA60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40.37 / MA10 38.68 / MA20 38.37 / MA60 39.12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收盘价高于各均线，短线偏强。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MACD(12,26,9)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0.239 / DEA -0.168 / 柱 0.813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DIF高于DEA，柱体较前日扩大。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59.7 / RSI14 55.0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动能偏强，尚未进入明显超买区。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42.16 / 中轨 38.37 / 下轨 34.58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股价处于中轨与上轨之间。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近5/20个交易日涨幅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+11.37%/+2.08%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短线反弹明显，近20日涨幅相对温和。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42.16~43.98元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布林上轨与近20日高点；有效突破后可看向52周高点50.19元。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38.37~39.12元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布林中轨及MA20、MA60附近；失守则下看34.20~34.58元。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34.20~34.58元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近20日低点与布林下轨；跌破后下方参考52周低点22.34元。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以2026-10-16价格40.83元为基准，用近300个交易日的收益分布（按当前指数加权日波动率约4.6%缩放，保留这只股票自身的大涨大跌频率）推算未来5个交易日的收盘价范围：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37.24～45.79元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-8.8%～+12.1%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33.46～53.57元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-18.1%～+31.2%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震荡整理（相对权重较高，约四成）</w:t>
      </w:r>
      <w:r>
        <w:rPr>
          <w:sz w:val="22"/>
          <w:szCs w:val="22"/>
        </w:rPr>
        <w:t xml:space="preserve">：收盘维持38.37~42.16元，未有效突破布林上轨或跌破均线支撑。按历史波动率测算，一周后收盘落在该区间的概率约35%。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：若放量失守38.37元，可能回测34.20~38.37元支撑区。按历史波动率测算，一周后收盘落在该区间的概率约20%。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反弹走强（权重中等，约三成）</w:t>
      </w:r>
      <w:r>
        <w:rPr>
          <w:sz w:val="22"/>
          <w:szCs w:val="22"/>
        </w:rPr>
        <w:t xml:space="preserve">：若放量站上42.16元，或继续挑战42.16~43.98元压力区。按历史波动率测算，一周后收盘落在该区间的概率约15%。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日成交额约0.93亿~3.62亿元、换手率3.32%~11.69%，最新为2.50亿元、8.21%。截至2026-06-30，前十大流通股东合计持股54.68%，以个人及合伙企业为主，含QFII高盛国际1.82%；数据披露有滞后，结构可能已变化。近期换手活跃，股价仍可能随成交变化放大波动。</w:t>
      </w:r>
    </w:p>
    <w:p>
      <w:pPr>
        <w:spacing w:after="160" w:line="300"/>
      </w:pPr>
      <w:r>
        <w:rPr>
          <w:sz w:val="22"/>
          <w:szCs w:val="22"/>
        </w:rPr>
        <w:t xml:space="preserve">若单日成交额超过近10日上沿3.62亿元且收盘站上42.16元，可作为突破获量能确认的信号。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-16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魅视科技(001229)_公司公告_魅视科技：2025年年度报告新浪财经_新浪网 — https://money.finance.sina.com.cn/corp/view/vCB_AllBulletinDetail.php?id=12204379&amp;stockid=001229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魅视科技(001229)_公司公告_魅视科技：2025年年度报告摘要新浪财经_新浪网 — https://money.finance.sina.com.cn/corp/view/vCB_AllBulletinDetail.php?id=12204378&amp;stockid=001229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魅视科技(001229)_公司公告_魅视科技：首次公开发行股票招股说明书新浪财经_新浪网 — https://money.finance.sina.com.cn/corp/view/vCB_AllBulletinDetail.php?id=8384293&amp;stockid=001229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魅视科技(001229)_公司公告_魅视科技：2022年年度报告新浪财经_新浪网 — https://money.finance.sina.com.cn/corp/view/vCB_AllBulletinDetail.php?id=9067593&amp;stockid=001229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魅视科技(001229)_公司公告_魅视科技：2023年年度报告新浪财经_新浪网 — https://money.finance.sina.com.cn/corp/view/vCB_AllBulletinDetail.php?id=10141110&amp;stockid=001229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魅视科技(001229)_公司公告_魅视科技：2024年年度报告新浪财经_新浪网 — https://money.finance.sina.com.cn/corp/view/vCB_AllBulletinDetail.php?id=10998703&amp;stockid=001229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淳中科技(603516)_公司公告_淳中科技：2025年年度报告新浪财经_新浪网 — https://vip.stock.finance.sina.com.cn/corp/view/vCB_AllBulletinDetail.php?id=12258504&amp;stockid=603516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武汉兴图新科电子股份有限公司2025年年度报告 — https://static.cninfo.com.cn/finalpage/2026-04-25/1225188902.PDF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2026年半年度报告 — https://static.cninfo.com.cn/finalpage/2026-08-24/1225492292.PDF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2025年年度报告 — https://static.cninfo.com.cn/finalpage/2026-04-27/1225189031.PDF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2024年年度报告 — https://static.cninfo.com.cn/finalpage/2025-04-26/1223309035.PDF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2023年年度报告 — https://static.cninfo.com.cn/finalpage/2024-04-29/1219870471.PDF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腾讯财经行情（2026-10-16） — https://gu.qq.com/sz001229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https://emweb.securities.eastmoney.com/pc_hsf10/pages/index.html?type=web&amp;code=SZ001229#/cwfx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https://emweb.securities.eastmoney.com/pc_hsf10/pages/index.html?type=web&amp;code=SZ001229#/ylyc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魅视科技:2026年半年度报告 — https://pdf.dfcfw.com/pdf/H2_AN202608230006746215_1.pdf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中国股票股东大会通知 - 广东魅视科技股份有限公司 - 2026年10月13日 - 同花顺 — https://basic.10jqka.com.cn/001229/capital.html#5359960967578603933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魅视科技:第三届董事会第一次会议决议公告 _ 魅视科技(001229) _ 公告正文 — https://data.eastmoney.com/notices/detail/001229/AN202610131830415340.html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魅视科技：关于董事会换届完成及聘任高级管理人员、证券事务代表的公告 — https://finance.eastmoney.com/a/202610133894403965.html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魅视科技:关于董事会换届完成及聘任高级管理人员、证券事务代表的公告 _ 魅视科技(001229) _ 公告正文 — https://data.eastmoney.com/notices/detail/001229/AN202610131830415326.html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魅视科技：关于召开2026年第三次临时股东会的通知 — https://finance.sina.cn/2026-09-27/detail-inithqpv9321322.d.html?vt=4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魅视科技：关于召开2026年第三次临时股东会的通知 - 魅视科技：关于召开2026年第三次临时股东会的通知 — http://stock.10jqka.com.cn/20260927/c680288758.shtml#1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魅视科技：推进磷化铟半导体材料研发实验室建设 — https://www.laoyaoba.com/n/1119763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魅视科技:关于召开2026年第三次临时股东会的通知 - 首页 &gt; — https://www.cnfin.com/announ/detail/index.html?id=843838594654&amp;code=001229&amp;dannoun=lcdetail&amp;announ=lc#1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https://data.eastmoney.com/zjlx/001229.html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https://emweb.securities.eastmoney.com/pc_hsf10/pages/index.html?type=web&amp;code=SZ001229#/gdyj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2026-10-16收盘，可能存在时效性差异，具体数据请以公司正式公告及权威数据终端为准。本报告仅为信息整理与研究参考，不构成任何投资建议，投资者应独立判断并自行承担投资风险。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2026-10-17T12:05:25.135Z</dcterms:created>
  <dcterms:modified xsi:type="dcterms:W3CDTF">2026-10-17T12:05:25.135Z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