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重庆宗申动力机械股份有限公司（宗申动力） (001696)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行业：中小型动力机械与动力系统制造</w:t>
      </w:r>
    </w:p>
    <w:p>
      <w:pPr>
        <w:jc w:val="center"/>
      </w:pPr>
      <w:r>
        <w:rPr>
          <w:color w:val="595959"/>
          <w:sz w:val="22"/>
          <w:szCs w:val="22"/>
        </w:rPr>
        <w:t xml:space="preserve">报告日期：2026年9月13日</w:t>
      </w:r>
    </w:p>
    <w:p>
      <w:pPr>
        <w:jc w:val="center"/>
      </w:pPr>
      <w:r>
        <w:rPr>
          <w:color w:val="595959"/>
          <w:sz w:val="20"/>
          <w:szCs w:val="20"/>
        </w:rPr>
        <w:t xml:space="preserve">行情及技术指标截至2026年9月11日收盘；股东结构数据截至2026年6月30日；融资数据截至2026年9月10日。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宗申动力2025年实现营业收入123.10亿元、归母净利润6.66亿元，分别同比增长18.55%和44.25%；但2026年上半年业绩出现回落，营业收入65.65亿元，同比下降1.35%，归母净利润4.19亿元，同比下降17.22%，扣非归母净利润同比下降21.62%。同期经营活动现金流净额为9.53亿元，同比增长68.80%，显示现金回收状况有所改善，但利润端仍受到通用机械业务承压、毛利率下降及汇兑损失增加影响。</w:t>
      </w:r>
    </w:p>
    <w:p>
      <w:pPr>
        <w:spacing w:after="160" w:line="300"/>
      </w:pPr>
      <w:r>
        <w:rPr>
          <w:sz w:val="22"/>
          <w:szCs w:val="22"/>
        </w:rPr>
        <w:t xml:space="preserve">公司当前收入和利润仍主要由通用机械及摩托车发动机贡献。2025年通用机械收入60.11亿元、净利润4.57亿元，摩托车发动机收入45.93亿元；新能源收入7.92亿元，同比增长36.77%，2026年上半年新能源收入进一步同比增长约125.8%，但其收入规模及盈利贡献仍相对有限。航空动力已取得CA500发动机适航批准并实现业务增长，但尚缺乏产能利用率及下半年批量订单等量化数据验证。</w:t>
      </w:r>
    </w:p>
    <w:p>
      <w:pPr>
        <w:spacing w:after="160" w:line="300"/>
      </w:pPr>
      <w:r>
        <w:rPr>
          <w:sz w:val="22"/>
          <w:szCs w:val="22"/>
        </w:rPr>
        <w:t xml:space="preserve">公司正在筹划与关联方隆鑫通用进行重大资产置换，拟置出摩托车发动机相关资产、置入通用机械相关资产。截至2026年9月12日，交易仍处于尽职调查、审计、评估和方案论证阶段，尚未签署正式协议，标的范围、交易价格、现金补足金额及最终方案均未确定，因此不能提前确认其对业务结构、利润或估值的影响。</w:t>
      </w:r>
    </w:p>
    <w:p>
      <w:pPr>
        <w:spacing w:after="160" w:line="300"/>
      </w:pPr>
      <w:r>
        <w:rPr>
          <w:sz w:val="22"/>
          <w:szCs w:val="22"/>
        </w:rPr>
        <w:t xml:space="preserve">截至2026年9月11日，股价收于15.24元，较9月3日的17.04元回落，收盘价低于MA5、MA10和MA20，MACD处于负值区间，短线技术面偏弱；RSI约34.24，接近传统超卖参考区域但尚未形成明确反转信号。按公开数据，公司总市值约174.5亿元，估值对未来盈利增长已有一定预期定价，而2026年上半年利润下滑增加了预测兑现的不确定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001696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宗申动力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注册地址及主要经营基地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重庆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中小型动力机械产品及部分终端产品的研发、制造和销售企业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主要数据时点</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业务构成、产品收入、产销量、客户供应商集中度及产能数据主要截至2025年12月31日，来自公司2025年年度报告口径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重大资产置换进展</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12日，公司正在筹划将摩托车发动机业务相关资产及负债，与隆鑫通用持有的通用机械业务相关资产及负债进行置换；交易仍处于尽职调查、审计、评估和方案论证阶段，尚未签署正式协议，交易范围、交易价格和最终方案尚未确定</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通用机械：包括31CC至999CC通用汽油机、小型发电机组、驻车发电机、房车发电机、高压清洗机、水泵、舷外机、微耕机、田园管理机、割草机、搬运车、便携式储能及户外电动工具等。2025年营业收入60.11亿元，同比增长15.11%；净利润4.57亿元，同比增长27.34%，为收入和利润第一大业务。产品销售覆盖北美、欧洲、非洲、亚洲、大洋洲等70多个国家和地区</w:t>
      </w:r>
    </w:p>
    <w:p>
      <w:pPr>
        <w:pStyle w:val="ListParagraph"/>
        <w:numPr>
          <w:ilvl w:val="0"/>
          <w:numId w:val="2"/>
        </w:numPr>
        <w:spacing w:after="80" w:line="280"/>
      </w:pPr>
      <w:r>
        <w:rPr>
          <w:sz w:val="22"/>
          <w:szCs w:val="22"/>
        </w:rPr>
        <w:t xml:space="preserve">摩托车发动机：包括汽油发动机、柴油发动机、混合动力发动机及相关动力系统，主要面向摩托车整车厂商及相关终端客户。2025年发动机产品营业收入45.93亿元，占公司营业收入37.33%，同比增长20.30%。该业务未来是否继续保留在上市公司体内，取决于与隆鑫通用的资产置换进展</w:t>
      </w:r>
    </w:p>
    <w:p>
      <w:pPr>
        <w:pStyle w:val="ListParagraph"/>
        <w:numPr>
          <w:ilvl w:val="0"/>
          <w:numId w:val="2"/>
        </w:numPr>
        <w:spacing w:after="80" w:line="280"/>
      </w:pPr>
      <w:r>
        <w:rPr>
          <w:sz w:val="22"/>
          <w:szCs w:val="22"/>
        </w:rPr>
        <w:t xml:space="preserve">航空动力：包括中小型航空活塞发动机、螺旋桨、热管理系统和发电系统，覆盖固定翼、旋翼无人机和轻型通航飞机等市场。公司已构建五大航空动力平台，推出20余款衍生产品及螺旋桨产品，并取得法国、德国相关适航认证。2025年CA500型航空活塞发动机搭载山河星航Aurora SA60L轻型运动飞机获得中国民航局适航批准，但该业务仍处于成长阶段</w:t>
      </w:r>
    </w:p>
    <w:p>
      <w:pPr>
        <w:pStyle w:val="ListParagraph"/>
        <w:numPr>
          <w:ilvl w:val="0"/>
          <w:numId w:val="2"/>
        </w:numPr>
        <w:spacing w:after="80" w:line="280"/>
      </w:pPr>
      <w:r>
        <w:rPr>
          <w:sz w:val="22"/>
          <w:szCs w:val="22"/>
        </w:rPr>
        <w:t xml:space="preserve">新能源：包括发卡电机、绕线电机、智能控制器、便携式及户用和工商业储能、集装箱式储能、动力电池、50kW及以下氢燃料电池系统、氢能叉车、园区供氢系统，以及BMS、EMS和双向逆变器等。2025年新能源产品收入7.92亿元，占公司营业收入6.43%，同比增长36.77%</w:t>
      </w:r>
    </w:p>
    <w:p>
      <w:pPr>
        <w:pStyle w:val="ListParagraph"/>
        <w:numPr>
          <w:ilvl w:val="0"/>
          <w:numId w:val="2"/>
        </w:numPr>
        <w:spacing w:after="80" w:line="280"/>
      </w:pPr>
      <w:r>
        <w:rPr>
          <w:sz w:val="22"/>
          <w:szCs w:val="22"/>
        </w:rPr>
        <w:t xml:space="preserve">高端零部件：以铝合金铸造和精密加工为主，应用于汽车四驱系统和变速箱、新能源汽车电驱动系统、发动机和摩托车动力系统及通用动力机械。2025年产品零部件收入5.63亿元，占营业收入4.57%，同比增长11.22%。公司披露铝合金铸造年产能约2.2万吨、铝合金零部件机加工年产能约2,000万件</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宗申动力目前处于“中游动力机械制造加部分终端集成”的位置，核心传统业务依靠规模制造、供应链整合、产品结构和成本控制，航空动力、新能源及高端零部件为成长型或升级型业务。公司不属于拥有资源定价权的上游资源企业，也不完全属于具备强品牌溢价的下游消费品企业。</w:t>
      </w:r>
    </w:p>
    <w:p>
      <w:pPr>
        <w:pStyle w:val="ListParagraph"/>
        <w:numPr>
          <w:ilvl w:val="0"/>
          <w:numId w:val="2"/>
        </w:numPr>
        <w:spacing w:after="80" w:line="280"/>
      </w:pPr>
      <w:r>
        <w:rPr>
          <w:sz w:val="22"/>
          <w:szCs w:val="22"/>
        </w:rPr>
        <w:t xml:space="preserve">通用机械和发动机主要采购铝合金、钢材、铜材、塑料、橡胶、轴承、齿轮及电子控制元件等；高端铝合金零部件还需要铝锭、铝合金材料及机加工辅料。</w:t>
      </w:r>
    </w:p>
    <w:p>
      <w:pPr>
        <w:pStyle w:val="ListParagraph"/>
        <w:numPr>
          <w:ilvl w:val="0"/>
          <w:numId w:val="2"/>
        </w:numPr>
        <w:spacing w:after="80" w:line="280"/>
      </w:pPr>
      <w:r>
        <w:rPr>
          <w:sz w:val="22"/>
          <w:szCs w:val="22"/>
        </w:rPr>
        <w:t xml:space="preserve">储能、电驱动和氢能源业务所需投入包括锂离子电池、电芯、BMS、PCS、EMS、功率器件及其他电子元器件。</w:t>
      </w:r>
    </w:p>
    <w:p>
      <w:pPr>
        <w:pStyle w:val="ListParagraph"/>
        <w:numPr>
          <w:ilvl w:val="0"/>
          <w:numId w:val="2"/>
        </w:numPr>
        <w:spacing w:after="80" w:line="280"/>
      </w:pPr>
      <w:r>
        <w:rPr>
          <w:sz w:val="22"/>
          <w:szCs w:val="22"/>
        </w:rPr>
        <w:t xml:space="preserve">2025年年报披露，发动机产品成本中原材料占比94.17%，新能源产品成本中原材料占比82.91%；公司成本结构对原材料价格、外协加工价格、汇率和物流费用较敏感。</w:t>
      </w:r>
    </w:p>
    <w:p>
      <w:pPr>
        <w:pStyle w:val="ListParagraph"/>
        <w:numPr>
          <w:ilvl w:val="0"/>
          <w:numId w:val="2"/>
        </w:numPr>
        <w:spacing w:after="80" w:line="280"/>
      </w:pPr>
      <w:r>
        <w:rPr>
          <w:sz w:val="22"/>
          <w:szCs w:val="22"/>
        </w:rPr>
        <w:t xml:space="preserve">2025年前五大供应商采购金额14.07亿元，占年度采购总额14.91%。该数据为2025年度单一披露口径，未发现同口径多年度交叉数据，具体应以最新年报为准。</w:t>
      </w:r>
    </w:p>
    <w:p>
      <w:pPr>
        <w:pStyle w:val="ListParagraph"/>
        <w:numPr>
          <w:ilvl w:val="0"/>
          <w:numId w:val="2"/>
        </w:numPr>
        <w:spacing w:after="80" w:line="280"/>
      </w:pPr>
      <w:r>
        <w:rPr>
          <w:sz w:val="22"/>
          <w:szCs w:val="22"/>
        </w:rPr>
        <w:t xml:space="preserve">公司对大宗原材料和标准化零部件的议价能力有限，更接近价格接受者；可通过规模采购、供应链整合、自动化和产品结构升级降低单位成本，但难以完全转嫁原材料价格上涨。</w:t>
      </w:r>
    </w:p>
    <w:p>
      <w:pPr>
        <w:pStyle w:val="ListParagraph"/>
        <w:numPr>
          <w:ilvl w:val="0"/>
          <w:numId w:val="2"/>
        </w:numPr>
        <w:spacing w:after="80" w:line="280"/>
      </w:pPr>
      <w:r>
        <w:rPr>
          <w:sz w:val="22"/>
          <w:szCs w:val="22"/>
        </w:rPr>
        <w:t xml:space="preserve">下游客户包括摩托车整车厂及动力系统客户、通用机械品牌商和经销商、农业及园林机械客户、建筑和应急救援等终端用户、汽车及新能源汽车零部件一级供应商、储能系统集成商、家庭及工商业客户，以及轻型运动飞机、无人机和通航飞机厂商。</w:t>
      </w:r>
    </w:p>
    <w:p>
      <w:pPr>
        <w:pStyle w:val="ListParagraph"/>
        <w:numPr>
          <w:ilvl w:val="0"/>
          <w:numId w:val="2"/>
        </w:numPr>
        <w:spacing w:after="80" w:line="280"/>
      </w:pPr>
      <w:r>
        <w:rPr>
          <w:sz w:val="22"/>
          <w:szCs w:val="22"/>
        </w:rPr>
        <w:t xml:space="preserve">2025年内销收入64.88亿元，占比52.71%；外销收入58.21亿元，占比47.29%。外销收入接近一半，公司面临汇率、关税、贸易摩擦、海外认证及区域需求波动风险。</w:t>
      </w:r>
    </w:p>
    <w:p>
      <w:pPr>
        <w:pStyle w:val="ListParagraph"/>
        <w:numPr>
          <w:ilvl w:val="0"/>
          <w:numId w:val="2"/>
        </w:numPr>
        <w:spacing w:after="80" w:line="280"/>
      </w:pPr>
      <w:r>
        <w:rPr>
          <w:sz w:val="22"/>
          <w:szCs w:val="22"/>
        </w:rPr>
        <w:t xml:space="preserve">2025年前五大客户销售金额26.95亿元，占年度销售总额21.90%；第一大客户占比5.85%。公司未披露全部客户名称，部分客户结构和具体议价关系无法完全核实；该数据为2025年单年度披露口径，具体以最新年报为准。</w:t>
      </w:r>
    </w:p>
    <w:p>
      <w:pPr>
        <w:pStyle w:val="ListParagraph"/>
        <w:numPr>
          <w:ilvl w:val="0"/>
          <w:numId w:val="2"/>
        </w:numPr>
        <w:spacing w:after="80" w:line="280"/>
      </w:pPr>
      <w:r>
        <w:rPr>
          <w:sz w:val="22"/>
          <w:szCs w:val="22"/>
        </w:rPr>
        <w:t xml:space="preserve">通用机械标准化产品竞争较充分，海外大型渠道商和品牌商具有较强议价能力；摩托车发动机整车厂客户对价格、交付、质量和定制化开发要求较高。</w:t>
      </w:r>
    </w:p>
    <w:p>
      <w:pPr>
        <w:pStyle w:val="ListParagraph"/>
        <w:numPr>
          <w:ilvl w:val="0"/>
          <w:numId w:val="2"/>
        </w:numPr>
        <w:spacing w:after="80" w:line="280"/>
      </w:pPr>
      <w:r>
        <w:rPr>
          <w:sz w:val="22"/>
          <w:szCs w:val="22"/>
        </w:rPr>
        <w:t xml:space="preserve">高端汽车零部件业务通常存在客户年度降价和成本转移压力；储能及新能源业务可通过系统集成、软件控制、认证和海外渠道形成一定溢价，但电芯、功率器件等核心投入仍可能带来较大成本压力。</w:t>
      </w:r>
    </w:p>
    <w:p>
      <w:pPr>
        <w:pStyle w:val="ListParagraph"/>
        <w:numPr>
          <w:ilvl w:val="0"/>
          <w:numId w:val="2"/>
        </w:numPr>
        <w:spacing w:after="80" w:line="280"/>
      </w:pPr>
      <w:r>
        <w:rPr>
          <w:sz w:val="22"/>
          <w:szCs w:val="22"/>
        </w:rPr>
        <w:t xml:space="preserve">航空动力具有适航认证、可靠性验证、配套适配、维修售后及批量交付壁垒，若形成商业化批量交付，客户黏性和议价能力可能高于传统通用机械，但目前业务规模仍有限。</w:t>
      </w:r>
    </w:p>
    <w:p>
      <w:pPr>
        <w:pStyle w:val="ListParagraph"/>
        <w:numPr>
          <w:ilvl w:val="0"/>
          <w:numId w:val="2"/>
        </w:numPr>
        <w:spacing w:after="80" w:line="280"/>
      </w:pPr>
      <w:r>
        <w:rPr>
          <w:sz w:val="22"/>
          <w:szCs w:val="22"/>
        </w:rPr>
        <w:t xml:space="preserve">截至2025年12月31日，应收账款账面余额19.31亿元，占2025年营业收入约15.69%；其中一年以内应收账款余额19.09亿元，占应收账款绝大部分。同期应付账款余额17.31亿元，合同负债余额1.23亿元。应收账款规模略高于应付账款，表明公司需要向下游提供一定信用账期，但尚未显示出异常严重的长期应收账款问题。上述比例根据年报账面数据计算，不能替代完整的应收账款周转率和现金转换周期分析。</w:t>
      </w:r>
    </w:p>
    <w:p>
      <w:pPr>
        <w:pStyle w:val="ListParagraph"/>
        <w:numPr>
          <w:ilvl w:val="0"/>
          <w:numId w:val="2"/>
        </w:numPr>
        <w:spacing w:after="80" w:line="280"/>
      </w:pPr>
      <w:r>
        <w:rPr>
          <w:sz w:val="22"/>
          <w:szCs w:val="22"/>
        </w:rPr>
        <w:t xml:space="preserve">2025年前五大客户占销售总额21.90%，前五大供应商占采购总额14.91%，客户和供应商结构整体较分散。但公司业务依赖海外市场、整车厂商和大型渠道，不能仅根据集中度判断公司拥有强定价权。客户集中度、供应商集中度及应收账款数据均为单年度披露口径，部分未获得连续多年或第三方独立来源交叉验证。</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机械制造业14.49%；发动机产品11.74%；通用机械产品15.86%；产品零部件22.30%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通用机械收入同比下降但毛利率提升，主要与产品结构调整、高附加值细分市场拓展、降本增效和智能制造有关；零部件毛利率较高，体现铝合金铸造和精密加工的工艺及客户认证壁垒</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机械制造业约13.17%；通用机械产品14.54%；发动机产品10.19%；高端零部件约16.66%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收入快速增长但部分业务毛利率下降，主要受到原材料、人工、物流成本及产品结构变化影响；通用机械产品原材料占成本约91.08%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机械制造业13.28%；通用机械产品15.30%；发动机产品10.50%；产品零部件13.87%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通用机械和发动机产品毛利率分别同比提升0.76和0.31个百分点，受销量增长、产品结构改善、规模效应和海外销售增长带动；零部件毛利率同比下降2.79个百分点，反映客户降价、原材料及加工成本压力</w:t>
            </w:r>
          </w:p>
        </w:tc>
      </w:tr>
    </w:tbl>
    <w:p>
      <w:pPr>
        <w:spacing w:before="200"/>
      </w:pPr>
    </w:p>
    <w:p>
      <w:pPr>
        <w:spacing w:after="160" w:line="300"/>
      </w:pPr>
      <w:r>
        <w:rPr>
          <w:sz w:val="22"/>
          <w:szCs w:val="22"/>
        </w:rPr>
        <w:t xml:space="preserve">公司处于微笑曲线中段偏下的动力机械制造与系统集成环节，传统发动机和通用机械业务毛利率处于中低水平，主要依靠规模制造和成本控制；未来利润率改善主要依赖通用机械终端整机、自主品牌和差异化产品占比提升，航空活塞发动机商业化，储能、电驱动和氢能源规模化交付，高端零部件的精密加工及系统集成能力提升，以及原材料、汇率、物流和海外关税压力缓解。</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65.6477亿元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归属于上市公司股东的净利润4.1858亿元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同比下降17.22%</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123.0954亿元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同比增长18.55%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归属于上市公司股东的净利润6.6551亿元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同比增长44.25%</w:t>
            </w:r>
          </w:p>
        </w:tc>
      </w:tr>
    </w:tbl>
    <w:p>
      <w:pPr>
        <w:spacing w:after="200"/>
      </w:pPr>
      <w:r>
        <w:rPr>
          <w:i/>
          <w:iCs/>
          <w:color w:val="595959"/>
          <w:sz w:val="18"/>
          <w:szCs w:val="18"/>
        </w:rPr>
        <w:t xml:space="preserve">2026年半年度报告于2026年8月29日披露；2026年上半年扣非归母净利润3.8227亿元，同比下降21.62%，基本每股收益0.3656元，同比下降17.21%。2026年上半年经营活动现金流净额为9.5342亿元，同比增长68.80%。2025年度扣非归母净利润6.2918亿元，同比增长42.44%，基本每股收益0.5812元，同比增长44.25%。</w:t>
      </w:r>
    </w:p>
    <w:p>
      <w:pPr>
        <w:spacing w:after="160" w:line="300"/>
      </w:pPr>
      <w:r>
        <w:rPr>
          <w:sz w:val="22"/>
          <w:szCs w:val="22"/>
        </w:rPr>
        <w:t xml:space="preserve">2025年公司收入和利润均实现较快增长；2026年上半年收入小幅下降、利润明显下降，传统通机业务承压、毛利率下降及汇兑损失增加对业绩形成拖累。2026年上半年通机类收入29.3976亿元，同比下降约19.3%；发动机类收入25.2580亿元，同比增长约8.7%；新能源类收入5.9157亿元，同比增长约125.8%；产品零部件类收入2.4791亿元，同比下降约13.5%。新能源业务增速较快但体量仍较小，盈利贡献和持续性仍需后续财报验证。</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截至2026年9月10日同花顺盈利预测页面显示的华创证券和国信证券两家机构平均预测，样本数量较少，不能视为广泛意义上的多机构一致预期。华创证券个别预测为：2026—2028年营业收入139.39亿元、158.91亿元和180.36亿元，归母净利润8.92亿元、11.02亿元和13.11亿元，EPS为0.78元、0.96元和1.15元；国信证券个别预测为：营业收入145.50亿元、157.64亿元和186.64亿元，归母净利润8.68亿元、11.92亿元和14.60亿元，EPS为0.76元、1.04元和1.27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约142.44亿元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约8.80亿元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约0.77元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约158.28亿元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约183.50亿元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约13.86亿元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约1.21元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半年报点评；维持2026—2028年归母净利润约8.9亿元、11.0亿元和13.1亿元预测；未披露明确绝对目标价，披露预测市盈率约19倍、16倍和13倍。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2026年5月22日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年报及一季报点评；预测2026—2028年归母净利润约8.68亿元、11.92亿元和14.60亿元；可检索研报摘要未披露明确目标价。</w:t>
            </w:r>
          </w:p>
        </w:tc>
      </w:tr>
    </w:tbl>
    <w:p>
      <w:pPr>
        <w:spacing w:before="200"/>
      </w:pPr>
    </w:p>
    <w:p>
      <w:pPr>
        <w:spacing w:after="160" w:line="300"/>
      </w:pPr>
      <w:r>
        <w:rPr>
          <w:sz w:val="22"/>
          <w:szCs w:val="22"/>
        </w:rPr>
        <w:t xml:space="preserve">截至2026年9月11日收盘，公司股价为15.23元，按总股本约11.4503亿股计算，总市值约174.4亿元；公开行情数据显示市盈率TTM约30.16倍、市净率约3.15倍、总市值约174亿元。按两家机构平均预测EPS计算，当前股价对应2026—2028年预测市盈率约为19.8倍、15.2倍和12.6倍。当前TTM市盈率约30倍，而2026年预测市盈率约20倍，市场对未来盈利增长已有一定预期定价。近期券商报告普遍未披露明确目标价，不宜将预测PE倒推出的理论价格作为正式目标价；此前国信证券2025年4月报告给出的21.09—24.10元目标价发布时间较早，不宜作为截至2026年9月的最新目标价。估值数据截至2026年9月11日，财务数据截至2026年6月30日，时间点不同，PE和PB会随股价及财报更新而变化。公司2025年营业收入存在123.0954亿元与部分数据库约123.96亿元两种口径，正式报告建议优先采用公司年报披露的营业收入口径。机构预测仅覆盖华创证券和国信证券两家，且2026年上半年实际利润同比下降，预测兑现存在不确定性；若传统通机业务持续低迷或航空动力、AIDC电源及新能源业务放量不及预期，当前估值安全边际相对有限。</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筹划重大资产置换暨关联交易，仍处于方案论证阶段</w:t>
      </w:r>
    </w:p>
    <w:p>
      <w:pPr>
        <w:spacing w:after="160" w:line="300"/>
      </w:pPr>
      <w:r>
        <w:rPr>
          <w:sz w:val="22"/>
          <w:szCs w:val="22"/>
        </w:rPr>
        <w:t xml:space="preserve">2026年9月12日，公司披露重大资产置换暨关联交易进展公告。宗申动力拟将所持摩托车发动机业务相关资产及负债，核心标的为重庆宗申发动机制造有限公司股权，与隆鑫通用动力股份有限公司持有的通用机械业务相关资产及负债，核心标的为重庆新隆鑫机电有限公司股权进行资产置换，交易作价差额由一方向另一方现金补足。隆鑫通用由公司实际控制人左宗申控制，本次交易构成关联交易，预计构成重大资产重组，但不会导致公司控股股东和实际控制人变更。截至2026年9月12日，标的资产范围、交易价格等核心要素尚未最终确定，交易双方尚未签署协议，尽职调查、审计、评估及方案论证仍在推进，后续还需履行决策和审批程序。该事项存在较大不确定性，暂不能确认利润增厚或业务协同效果。来源：https://vip.stock.finance.sina.com.cn/corp/view/vCB_AllBulletinDetail.php?id=12597133&amp;stockid=001696</w:t>
      </w:r>
    </w:p>
    <w:p>
      <w:pPr>
        <w:pStyle w:val="Heading2"/>
        <w:spacing w:after="120" w:before="240"/>
      </w:pPr>
      <w:r>
        <w:rPr>
          <w:b/>
          <w:bCs/>
          <w:color w:val="2E74B5"/>
          <w:sz w:val="24"/>
          <w:szCs w:val="24"/>
        </w:rPr>
        <w:t xml:space="preserve">4.2 重大资产置换事项持续披露进展，尚未进入正式协议签署阶段</w:t>
      </w:r>
    </w:p>
    <w:p>
      <w:pPr>
        <w:spacing w:after="160" w:line="300"/>
      </w:pPr>
      <w:r>
        <w:rPr>
          <w:sz w:val="22"/>
          <w:szCs w:val="22"/>
        </w:rPr>
        <w:t xml:space="preserve">公司自2026年2月14日发布提示性公告后，分别于2026年3月14日、4月14日、5月14日、6月13日、7月13日、8月13日、8月28日及9月12日持续披露相关进展。截至目前，公告内容主要涉及尽职调查、审计、评估和方案论证，交易双方尚未签署正式协议。交易规模、估值、现金补足金额、协议签署时间及审批结果均未确定。</w:t>
      </w:r>
    </w:p>
    <w:p>
      <w:pPr>
        <w:pStyle w:val="Heading2"/>
        <w:spacing w:after="120" w:before="240"/>
      </w:pPr>
      <w:r>
        <w:rPr>
          <w:b/>
          <w:bCs/>
          <w:color w:val="2E74B5"/>
          <w:sz w:val="24"/>
          <w:szCs w:val="24"/>
        </w:rPr>
        <w:t xml:space="preserve">4.3 董事胡显源减持计划期限届满，累计减持44,144股</w:t>
      </w:r>
    </w:p>
    <w:p>
      <w:pPr>
        <w:spacing w:after="160" w:line="300"/>
      </w:pPr>
      <w:r>
        <w:rPr>
          <w:sz w:val="22"/>
          <w:szCs w:val="22"/>
        </w:rPr>
        <w:t xml:space="preserve">2026年9月1日，公司披露董事股份减持计划期限届满暨减持结果公告。胡显源原计划于2026年6月1日至2026年8月31日期间通过集中竞价减持不超过44,144股，占公司总股本约0.0039%；实际累计减持44,144股，减持均价14.91元/股，占总股本约0.0039%，股份来源为集中竞价买入。减持后，胡显源持股由176,575股、占总股本0.0154%，降至132,431股、占总股本0.0116%；无限售条件股份由44,144股降至0股，剩余股份均为限售股。公司表示本次减持与重大资产置换筹划事项不存在关联性，不会导致控制权变化，也不会对公司治理结构和持续经营产生影响。来源：https://money.finance.sina.com.cn/corp/view/vCB_AllBulletinDetail.php?id=12577553&amp;stockid=001696</w:t>
      </w:r>
    </w:p>
    <w:p>
      <w:pPr>
        <w:pStyle w:val="Heading2"/>
        <w:spacing w:after="120" w:before="240"/>
      </w:pPr>
      <w:r>
        <w:rPr>
          <w:b/>
          <w:bCs/>
          <w:color w:val="2E74B5"/>
          <w:sz w:val="24"/>
          <w:szCs w:val="24"/>
        </w:rPr>
        <w:t xml:space="preserve">4.4 尚无正式股份回购方案，回购计划仍取决于市场情况和公司安排</w:t>
      </w:r>
    </w:p>
    <w:p>
      <w:pPr>
        <w:spacing w:after="160" w:line="300"/>
      </w:pPr>
      <w:r>
        <w:rPr>
          <w:sz w:val="22"/>
          <w:szCs w:val="22"/>
        </w:rPr>
        <w:t xml:space="preserve">截至2026年9月12日，未发现公司在2026年9月新披露股份回购方案、回购进展或回购完成公告。2026年9月4日半年度业绩说明会上，公司就下半年回购计划回复称，将根据市场情况以及公司总体安排决定是否推出回购计划，该表述不构成已经实施或确定实施回购的承诺。公司2026年上半年实施了2025年度利润分配方案，每10股派发现金股利2.00元（含税），合计派发现金股利约2.29亿元，占2025年度归属于上市公司股东净利润的34.41%，该事项属于现金分红，不应与股份回购混同。</w:t>
      </w:r>
    </w:p>
    <w:p>
      <w:pPr>
        <w:pStyle w:val="Heading2"/>
        <w:spacing w:after="120" w:before="240"/>
      </w:pPr>
      <w:r>
        <w:rPr>
          <w:b/>
          <w:bCs/>
          <w:color w:val="2E74B5"/>
          <w:sz w:val="24"/>
          <w:szCs w:val="24"/>
        </w:rPr>
        <w:t xml:space="preserve">4.5 2026年上半年收入和归母净利润同比下降，经营现金流明显改善</w:t>
      </w:r>
    </w:p>
    <w:p>
      <w:pPr>
        <w:spacing w:after="160" w:line="300"/>
      </w:pPr>
      <w:r>
        <w:rPr>
          <w:sz w:val="22"/>
          <w:szCs w:val="22"/>
        </w:rPr>
        <w:t xml:space="preserve">公司于2026年8月29日披露半年度报告。2026年上半年实现营业收入65.65亿元，同比下降1.35%；归属于上市公司股东的净利润4.19亿元，同比下降17.22%；扣除非经常性损益后的净利润3.82亿元，同比下降21.62%；经营活动产生的现金流量净额9.53亿元，同比增长68.80%。公司表示，上半年业绩受到通用机械行业周期性波动、汇率波动和原材料价格上涨等因素影响；摩托车发动机业务保持稳健增长，航空动力和新能源等新兴业务放量加快。基于研究纪要所述检索结果，暂未发现公司在2026年9月新发布2026年度业绩预告、业绩预增或业绩预减公告。来源：https://vip.stock.finance.sina.com.cn/corp/view/vCB_AllBulletinDetail.php?id=12567513&amp;stockid=001696</w:t>
      </w:r>
    </w:p>
    <w:p>
      <w:pPr>
        <w:pStyle w:val="Heading2"/>
        <w:spacing w:after="120" w:before="240"/>
      </w:pPr>
      <w:r>
        <w:rPr>
          <w:b/>
          <w:bCs/>
          <w:color w:val="2E74B5"/>
          <w:sz w:val="24"/>
          <w:szCs w:val="24"/>
        </w:rPr>
        <w:t xml:space="preserve">4.6 投资者关系活动确认资产置换仍在沟通，AIDC业务收入贡献较小</w:t>
      </w:r>
    </w:p>
    <w:p>
      <w:pPr>
        <w:spacing w:after="160" w:line="300"/>
      </w:pPr>
      <w:r>
        <w:rPr>
          <w:sz w:val="22"/>
          <w:szCs w:val="22"/>
        </w:rPr>
        <w:t xml:space="preserve">2026年9月7日，公司披露2026年半年度业绩说明会投资者关系活动记录表，说明会于2026年9月4日通过全景网以网络远程方式召开。公司确认资产置换的尽调、审计及评估尚未完成，交易方案、资产范围、交易作价和协议条款仍在沟通协商，交易双方尚未签署协议。关于AIDC高压直流供电及储能业务，公司表示相关业务仍处于前期阶段，收入贡献较小，未来发展存在不确定性，暂不能据此认定已形成大规模AI数据中心订单或业绩贡献。来源：https://file.finance.sina.com.cn/211.154.219.97:9494/MRGG/CNSESZ_STOCK/2026/2026-9/2026-09-07/12586707.PDF</w:t>
      </w:r>
    </w:p>
    <w:p>
      <w:pPr>
        <w:pStyle w:val="Heading2"/>
        <w:spacing w:after="120" w:before="240"/>
      </w:pPr>
      <w:r>
        <w:rPr>
          <w:b/>
          <w:bCs/>
          <w:color w:val="2E74B5"/>
          <w:sz w:val="24"/>
          <w:szCs w:val="24"/>
        </w:rPr>
        <w:t xml:space="preserve">4.7 航空动力业务同比提升，但CA500产能利用率及下半年订单缺乏量化数据</w:t>
      </w:r>
    </w:p>
    <w:p>
      <w:pPr>
        <w:spacing w:after="160" w:line="300"/>
      </w:pPr>
      <w:r>
        <w:rPr>
          <w:sz w:val="22"/>
          <w:szCs w:val="22"/>
        </w:rPr>
        <w:t xml:space="preserve">公司在2026年9月4日半年度业绩说明会上表示，2026年上半年航空动力业务收入和利润同比实现显著提升，客户包括彩虹、翼龙、飞鸿、西安爱生等。公司未披露CA500发动机产能利用率及下半年具体批量订单的量化数据，相关业务增长仍需后续订单、交付和财务数据验证。公司同时明确回复没有与赛力斯联合研发eVTOL的相关事项，不能将宗申动力与赛力斯eVTOL合作作为已确认事项。来源：https://file.finance.sina.com.cn/211.154.219.97:9494/MRGG/CNSESZ_STOCK/2026/2026-9/2026-09-07/12586707.PDF</w:t>
      </w:r>
    </w:p>
    <w:p>
      <w:pPr>
        <w:pStyle w:val="Heading2"/>
        <w:spacing w:after="120" w:before="240"/>
      </w:pPr>
      <w:r>
        <w:rPr>
          <w:b/>
          <w:bCs/>
          <w:color w:val="2E74B5"/>
          <w:sz w:val="24"/>
          <w:szCs w:val="24"/>
        </w:rPr>
        <w:t xml:space="preserve">4.8 关联方资金占用具体表格数据缺失，暂未发现9月监管处罚公告</w:t>
      </w:r>
    </w:p>
    <w:p>
      <w:pPr>
        <w:spacing w:after="160" w:line="300"/>
      </w:pPr>
      <w:r>
        <w:rPr>
          <w:sz w:val="22"/>
          <w:szCs w:val="22"/>
        </w:rPr>
        <w:t xml:space="preserve">公司于2026年8月29日披露2026年半年度控股股东及其他关联方资金占用情况汇总表，但公告页面正文未展示具体表格数据，具体情况需以附件原文为准。截至研究纪要所述检索时点，未发现2026年9月公司受到证券监管部门行政处罚、纪律处分或采取监管措施的公告；监管信息仍需以后续深交所及巨潮资讯网正式公告为准。公司还披露，2026年上半年根据《公司法》及监管新规完成18项核心制度的制定或修订，并持续完善董事会专门委员会和内部控制机制。来源：https://vip.stock.finance.sina.com.cn/corp/view/vCB_AllBulletinDetail.php?id=12567516&amp;stockid=001696</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宗申动力（001696），深圳证券交易所深主板A股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下跌0.39元，跌幅2.50%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15.41元 / 15.65元 / 15.10元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约3868.19万股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约5.92亿元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4.34%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13.57~26.20元；具体高低点发生日期未交叉确认</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按收盘价和已披露股本估算，约174.5亿元 / 135.8亿元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同花顺约21.4倍；其他行情源约26.2倍，计算口径存在差异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短期价格趋势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股价由2026年9月3日的17.04元回落至9月11日的15.24元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近期经历连续数日调整，9月11日低开后继续走弱，收盘价低于开盘价，日内振幅约3.61%</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约16.04元 / 16.06元 / 15.80元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收盘价15.24元低于三条短期均线；MA5与MA10均位于16.0元附近，构成较近的反弹压力区，整体处于跌破短期均线后的弱势整理状态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约-0.23；技术信号为“卖出”，日度技术摘要为“强力卖出”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MACD处于负值区间，结合股价位于主要短期均线下方，短线动能偏弱，暂未看到明确的日线级别金叉或动能修复信号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约34.24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接近30这一传统超卖参考区域但尚未进入极端超卖区，说明卖压较重并存在技术性反抽可能，但不能单独确认趋势反转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中轨约15.80元；上轨约17.18元；下轨约14.42元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收盘价低于中轨但高于下轨，处于布林通道中下部；布林带为基于公开历史收盘价的估算，不同软件口径可能存在差异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近期成交量</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2026年9月2日至9月11日平均约5756万股；9月11日约3868万股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9月11日成交量低于该阶段均值，但高于8月下旬约2500万~3200万股的低位水平，调整过程中仍有一定交易活跃度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9月11日超大单净流入-1988.65万元，大单-885.78万元，中单-4280.98万元，小单+7155.40万元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超大单与大单合计净流出约2874.43万元，呈现大资金偏卖出、散户资金承接特征；资金分类加总接近零不代表不存在真实买卖行为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截至2026年9月10日融资余额约8.52亿元，融资净买入额为-428.6万元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融资资金短线态度偏谨慎，但尚未达到大规模集中撤出的程度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截至2026年6月30日，前十大流通股东合计持有约2.89亿股，占流通盘约32.39%；机构持股约35.72%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于中等集中度，并非高度集中型筹码结构；基金与QFII合计约占流通盘8.65%，存在一定机构参与，但不宜简单等同于高强度公募或外资控盘。该数据距当前收盘日已有两个多月，可能因减持、资产置换及市场交易发生变化</w:t>
            </w:r>
          </w:p>
        </w:tc>
      </w:tr>
    </w:tbl>
    <w:p>
      <w:pPr>
        <w:spacing w:before="200"/>
      </w:pPr>
    </w:p>
    <w:p>
      <w:pPr>
        <w:spacing w:after="160" w:line="300"/>
      </w:pPr>
      <w:r>
        <w:rPr>
          <w:sz w:val="22"/>
          <w:szCs w:val="22"/>
        </w:rPr>
        <w:t xml:space="preserve">宗申动力截至2026年9月11日收盘价为15.24元，近期自9月3日的17.04元回落，且收盘价低于MA5、MA10和MA20，MACD处于负值区间并显示短线技术信号偏弱。RSI(14)约34.24，已接近传统超卖参考区域，但尚未形成明确反转信号。股价位于布林中轨15.80元下方、下轨14.42元上方，短线处于中下部弱势整理状态。资金方面，9月11日超大单和大单合计净流出约2874.43万元，而小单净流入约7155.40万元，需关注后续量能及大资金流向能否改善。</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15.65~16.10元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对应9月11日当日高点15.65元及MA5约16.04元、MA10约16.06元。若反弹至该区域但成交量未有效放大，可能再次面临抛压；若有效突破16.10元并连续站稳，观察区间可上移至16.40~16.70元。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15.10~15.25元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对应9月11日最低价15.10元和收盘价15.24元。若在该区域缩量企稳，可能形成弱势反弹或横盘整理；若放量跌破15.10元，短线调整可能继续。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14.40~14.60元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接近估算布林下轨14.42元，并靠近8月25日、8月26日等交易日低点区域。若15.10元失守，该区域为下一重要观察区；若强支撑被放量跌破，价格可能向52周低点13.57元方向寻找支撑。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判断的相对权重较高，约六成左右；并非统计概率）：价格区间约15.10~16.10元。触发条件包括守住15.10元附近、成交量维持约3500万~6500万股、大资金净流出幅度不继续扩大，以及相关市场和通用设备、低空经济、航空动力等题材未出现明显系统性走弱。若成立，观察重点为15.80元布林中轨及16.0元附近MA5/MA10压力。</w:t>
      </w:r>
    </w:p>
    <w:p>
      <w:pPr>
        <w:pStyle w:val="ListParagraph"/>
        <w:numPr>
          <w:ilvl w:val="0"/>
          <w:numId w:val="2"/>
        </w:numPr>
        <w:spacing w:after="80" w:line="280"/>
      </w:pPr>
      <w:r>
        <w:rPr>
          <w:sz w:val="22"/>
          <w:szCs w:val="22"/>
        </w:rPr>
        <w:t xml:space="preserve">偏弱下行（主观判断的权重中等；并非统计概率）：价格区间约14.40~15.10元。触发条件包括收盘价有效跌破15.10元、跌破时成交量明显高于近期正常水平、超大单和大单资金连续净流出，或相关题材板块及深市中盘股整体继续走弱。若14.40~14.60元区域也放量破位，需观察价格向52周低点13.57元靠近的风险。</w:t>
      </w:r>
    </w:p>
    <w:p>
      <w:pPr>
        <w:pStyle w:val="ListParagraph"/>
        <w:numPr>
          <w:ilvl w:val="0"/>
          <w:numId w:val="2"/>
        </w:numPr>
        <w:spacing w:after="80" w:line="280"/>
      </w:pPr>
      <w:r>
        <w:rPr>
          <w:sz w:val="22"/>
          <w:szCs w:val="22"/>
        </w:rPr>
        <w:t xml:space="preserve">反弹走强（主观判断的权重偏低；并非统计概率）：价格区间约16.10~16.70元。触发条件包括重新站上15.80元布林中轨、进一步突破16.10元附近MA5和MA10压力，单日成交量回升至7000万股以上或成交额明显超过近期约6亿元水平，同时超大单和大单资金由净流出转为持续净流入，并出现资产置换进展或航空动力、低空经济等题材的正面催化。</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4.34%，成交额约5.92亿元，成交量约3868万股；2026年9月2日至9月11日平均成交量约5756万股。前十大流通股东合计持股约32.39%，机构持股约35.72%，其中基金约6.29%、QFII约2.36%，基金与QFII合计约8.65%。股东数据截至2026年6月30日，存在季度滞后，期间股价波动、股东减持及资产置换相关消息均可能导致结构变化。宗申动力并非低成交额小盘股，正常交易情况下具备一定买卖承接能力；但9月2日至9月4日成交量曾达到约8700万股至1.024亿股，随后回落，显示前期活跃资金有所降温。9月11日超大单和大单合计净流出约2874万元、小单净流入约7155万元，短线呈现大资金卖出、散户承接特征。</w:t>
      </w:r>
    </w:p>
    <w:p>
      <w:pPr>
        <w:spacing w:after="160" w:line="300"/>
      </w:pPr>
      <w:r>
        <w:rPr>
          <w:sz w:val="22"/>
          <w:szCs w:val="22"/>
        </w:rPr>
        <w:t xml:space="preserve">可检查的量能确认信号是：若后续单日成交量重新达到7000万股以上、成交额明显超过8亿元，并且股价同时收复15.80~16.10元区间，可视为短线资金重新活跃的观察信号；若放量发生在跌破15.10元时，则更可能代表卖压释放，而非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观察15.10~15.25元区域能否形成有效支撑，以及跌破15.10元后是否向14.40~14.60元区域运行。以上为观察思路，非操作指令。</w:t>
      </w:r>
    </w:p>
    <w:p>
      <w:pPr>
        <w:pStyle w:val="ListParagraph"/>
        <w:numPr>
          <w:ilvl w:val="0"/>
          <w:numId w:val="2"/>
        </w:numPr>
        <w:spacing w:after="80" w:line="280"/>
      </w:pPr>
      <w:r>
        <w:rPr>
          <w:sz w:val="22"/>
          <w:szCs w:val="22"/>
        </w:rPr>
        <w:t xml:space="preserve">观察股价能否收复布林中轨约15.80元，并进一步面对16.10元附近MA5、MA10压力。以上为观察思路，非操作指令。</w:t>
      </w:r>
    </w:p>
    <w:p>
      <w:pPr>
        <w:pStyle w:val="ListParagraph"/>
        <w:numPr>
          <w:ilvl w:val="0"/>
          <w:numId w:val="2"/>
        </w:numPr>
        <w:spacing w:after="80" w:line="280"/>
      </w:pPr>
      <w:r>
        <w:rPr>
          <w:sz w:val="22"/>
          <w:szCs w:val="22"/>
        </w:rPr>
        <w:t xml:space="preserve">观察16.10元附近突破是否伴随单日成交量达到7000万股以上、成交额明显超过8亿元。以上为观察思路，非操作指令。</w:t>
      </w:r>
    </w:p>
    <w:p>
      <w:pPr>
        <w:pStyle w:val="ListParagraph"/>
        <w:numPr>
          <w:ilvl w:val="0"/>
          <w:numId w:val="2"/>
        </w:numPr>
        <w:spacing w:after="80" w:line="280"/>
      </w:pPr>
      <w:r>
        <w:rPr>
          <w:sz w:val="22"/>
          <w:szCs w:val="22"/>
        </w:rPr>
        <w:t xml:space="preserve">观察超大单和大单资金能否由净流出转为持续净流入，并区分放量上涨与放量跌破15.10元的不同含义。以上为观察思路，非操作指令。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在产业覆盖通用机械和小型动力设备、摩托车发动机、航空活塞发动机、储能与新能源动力及高端铝合金零部件。通用小型动力机械行业呈现“一超多强、内外资同台竞争”格局；摩托车发动机竞争较为充分；航空活塞发动机壁垒集中于适航认证、可靠性和批量交付；储能与新能源行业竞争者较多，电芯、逆变器和功率电子器件价格竞争较激烈。</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通用机械需求主要来自小型发电机组、园林机械、农业灌溉和植保机械、高压清洗设备、小型工程机械、户外应急及备用电源、便携式储能和电动工具。</w:t>
      </w:r>
    </w:p>
    <w:p>
      <w:pPr>
        <w:pStyle w:val="ListParagraph"/>
        <w:numPr>
          <w:ilvl w:val="0"/>
          <w:numId w:val="2"/>
        </w:numPr>
        <w:spacing w:after="80" w:line="280"/>
      </w:pPr>
      <w:r>
        <w:rPr>
          <w:sz w:val="22"/>
          <w:szCs w:val="22"/>
        </w:rPr>
        <w:t xml:space="preserve">通用机械行业趋势包括燃油动力节能减排、电动化、智能化、终端整机化和海外本地化生产，竞争重点从单纯供应发动机转向发动机加终端设备、品牌和渠道。</w:t>
      </w:r>
    </w:p>
    <w:p>
      <w:pPr>
        <w:pStyle w:val="ListParagraph"/>
        <w:numPr>
          <w:ilvl w:val="0"/>
          <w:numId w:val="2"/>
        </w:numPr>
        <w:spacing w:after="80" w:line="280"/>
      </w:pPr>
      <w:r>
        <w:rPr>
          <w:sz w:val="22"/>
          <w:szCs w:val="22"/>
        </w:rPr>
        <w:t xml:space="preserve">宗申动力2025年拥有31CC至999CC通用汽油机产品谱系，并向储能、电动工具和终端设备延伸。</w:t>
      </w:r>
    </w:p>
    <w:p>
      <w:pPr>
        <w:pStyle w:val="ListParagraph"/>
        <w:numPr>
          <w:ilvl w:val="0"/>
          <w:numId w:val="2"/>
        </w:numPr>
        <w:spacing w:after="80" w:line="280"/>
      </w:pPr>
      <w:r>
        <w:rPr>
          <w:sz w:val="22"/>
          <w:szCs w:val="22"/>
        </w:rPr>
        <w:t xml:space="preserve">摩托车发动机行业受整车销量、出口市场、原材料和客户集中度影响；东南亚、非洲和拉美市场带来出口增量，250cc以上大排量发动机和越野动力增长较快，同时面临电动化和混合动力的长期替代压力。</w:t>
      </w:r>
    </w:p>
    <w:p>
      <w:pPr>
        <w:pStyle w:val="ListParagraph"/>
        <w:numPr>
          <w:ilvl w:val="0"/>
          <w:numId w:val="2"/>
        </w:numPr>
        <w:spacing w:after="80" w:line="280"/>
      </w:pPr>
      <w:r>
        <w:rPr>
          <w:sz w:val="22"/>
          <w:szCs w:val="22"/>
        </w:rPr>
        <w:t xml:space="preserve">航空活塞发动机行业壁垒包括适航认证、长期可靠性和耐久性验证、飞行器适配、维修售后体系、联合开发、批量交付和质量追溯能力。公司已取得部分海外适航认证，CA500型发动机于2025年取得国内轻型运动飞机适航批准，但仍处于市场培育和订单放量阶段。</w:t>
      </w:r>
    </w:p>
    <w:p>
      <w:pPr>
        <w:pStyle w:val="ListParagraph"/>
        <w:numPr>
          <w:ilvl w:val="0"/>
          <w:numId w:val="2"/>
        </w:numPr>
        <w:spacing w:after="80" w:line="280"/>
      </w:pPr>
      <w:r>
        <w:rPr>
          <w:sz w:val="22"/>
          <w:szCs w:val="22"/>
        </w:rPr>
        <w:t xml:space="preserve">储能与新能源行业上游电芯、逆变器和功率电子器件标准化程度较高、价格竞争较激烈。公司相对优势在于传统动力机械制造能力、海外客户基础及PCS、BMS、EMS系统集成能力；但新能源收入占比仅6.43%，尚未形成对传统业务的替代性利润贡献。</w:t>
      </w:r>
    </w:p>
    <w:p>
      <w:pPr>
        <w:pStyle w:val="ListParagraph"/>
        <w:numPr>
          <w:ilvl w:val="0"/>
          <w:numId w:val="2"/>
        </w:numPr>
        <w:spacing w:after="80" w:line="280"/>
      </w:pPr>
      <w:r>
        <w:rPr>
          <w:sz w:val="22"/>
          <w:szCs w:val="22"/>
        </w:rPr>
        <w:t xml:space="preserve">截至2026年9月12日，宗申动力与隆鑫通用正在筹划资产置换。交易尚未完成，不能提前将置换后的业务口径用于估值比较。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隆鑫通用（603766）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上海证券交易所上市公司，业务覆盖通用机械、摩托车及摩托车发动机</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与宗申动力是最直接的综合可比公司之一。双方正在筹划资产置换，拟由宗申动力置出摩托车发动机相关资产、置入隆鑫通用通用机械相关资产；交易尚未完成</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神驰机电（603109）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上海证券交易所上市公司，主要从事小型发电机、通用汽油机和终端产品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产品包括发电机组、高压清洗机、水泵及园林机械，与宗申动力通用机械业务可比；终端整机、品牌和渠道对利润率具有影响</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绿田机械（605259）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上海证券交易所上市公司，主要从事通用动力机械及终端设备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产品涉及发电机组、水泵机组、高压清洗机、园林机械和储能产品；业务规模较小、产品聚焦度较高，适合作为通用机械细分业务可比样本</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华盛中天</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非A股上市公司，小型通用汽油机和通用动力设备企业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参与割草机、油锯、园林机械动力及海外OEM/ODM市场；公开财务和产能数据有限，不能用于严格的上市公司财务对比，竞争地位和规模未能通过上市公司年报口径完整交叉核实</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春风动力（603129）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上海证券交易所上市公司，主要从事摩托车整车及动力系统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与宗申动力的重叠主要在摩托车发动机及大排量动力领域，而非通用机械业务；若资产置换完成，直接可比程度将下降</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钱江摩托（000913）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A股上市公司，主要从事摩托车整车及动力系统</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在中大排量摩托车、运动休闲摩托车和海外市场具有竞争力；与宗申动力主要在摩托车动力业务形成补充可比关系</w:t>
            </w:r>
          </w:p>
        </w:tc>
      </w:tr>
    </w:tbl>
    <w:p>
      <w:pPr>
        <w:spacing w:before="200"/>
      </w:pPr>
    </w:p>
    <w:p>
      <w:pPr>
        <w:spacing w:after="160" w:line="300"/>
      </w:pPr>
      <w:r>
        <w:rPr>
          <w:sz w:val="22"/>
          <w:szCs w:val="22"/>
        </w:rPr>
        <w:t xml:space="preserve">宗申动力相较于神驰机电、绿田机械，业务覆盖通用机械、摩托车发动机、航空动力、新能源和高端零部件，业务范围更广，但传统业务仍具有较强制造业属性和原材料成本敏感性；相较于隆鑫通用，双方业务存在较高重叠，资产置换可能改变未来业务边界和可比口径；春风动力、钱江摩托主要用于摩托车动力业务的补充比较；华盛中天可作为通用机械产业竞争对手观察，但因非上市且公开数据有限，比较结论存在局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通用机械业务存在较明显的周期和需求波动风险。2026年上半年通机类收入同比下降约19.3%，若海外园林机械、发电机组、农业及户外设备需求持续疲弱，可能继续拖累收入和利润。</w:t>
      </w:r>
    </w:p>
    <w:p>
      <w:pPr>
        <w:pStyle w:val="ListParagraph"/>
        <w:numPr>
          <w:ilvl w:val="0"/>
          <w:numId w:val="2"/>
        </w:numPr>
        <w:spacing w:after="80" w:line="280"/>
      </w:pPr>
      <w:r>
        <w:rPr>
          <w:sz w:val="22"/>
          <w:szCs w:val="22"/>
        </w:rPr>
        <w:t xml:space="preserve">公司成本结构对原材料价格较为敏感。2025年发动机产品成本中原材料占比94.17%，新能源产品成本中原材料占比82.91%；铝合金、钢材、铜材、电芯、功率器件等成本上涨，可能压缩毛利率，且公司对大宗原材料的议价能力有限。</w:t>
      </w:r>
    </w:p>
    <w:p>
      <w:pPr>
        <w:pStyle w:val="ListParagraph"/>
        <w:numPr>
          <w:ilvl w:val="0"/>
          <w:numId w:val="2"/>
        </w:numPr>
        <w:spacing w:after="80" w:line="280"/>
      </w:pPr>
      <w:r>
        <w:rPr>
          <w:sz w:val="22"/>
          <w:szCs w:val="22"/>
        </w:rPr>
        <w:t xml:space="preserve">海外业务收入占比较高。2025年外销收入58.21亿元，占营业收入47.29%，公司可能受到汇率波动、汇兑损失、关税、贸易摩擦、海外认证及物流费用变化影响；2026年上半年汇率波动及汇兑损失已对业绩形成拖累。</w:t>
      </w:r>
    </w:p>
    <w:p>
      <w:pPr>
        <w:pStyle w:val="ListParagraph"/>
        <w:numPr>
          <w:ilvl w:val="0"/>
          <w:numId w:val="2"/>
        </w:numPr>
        <w:spacing w:after="80" w:line="280"/>
      </w:pPr>
      <w:r>
        <w:rPr>
          <w:sz w:val="22"/>
          <w:szCs w:val="22"/>
        </w:rPr>
        <w:t xml:space="preserve">重大资产置换存在交易不确定性。该事项属于关联交易且预计构成重大资产重组，但截至2026年9月12日尚未签署正式协议，标的范围、估值、交易价格、现金补足金额和审批结果均未确定，交易可能延期、调整或无法完成，不能预先确认协同或利润增厚效果。</w:t>
      </w:r>
    </w:p>
    <w:p>
      <w:pPr>
        <w:pStyle w:val="ListParagraph"/>
        <w:numPr>
          <w:ilvl w:val="0"/>
          <w:numId w:val="2"/>
        </w:numPr>
        <w:spacing w:after="80" w:line="280"/>
      </w:pPr>
      <w:r>
        <w:rPr>
          <w:sz w:val="22"/>
          <w:szCs w:val="22"/>
        </w:rPr>
        <w:t xml:space="preserve">摩托车发动机业务面临业务边界变化风险。该业务2025年收入45.93亿元，占公司营业收入37.33%，未来是否继续保留在上市公司体内取决于资产置换进展；若交易方案变化，公司的收入结构、盈利来源和历史可比口径可能发生较大改变。</w:t>
      </w:r>
    </w:p>
    <w:p>
      <w:pPr>
        <w:pStyle w:val="ListParagraph"/>
        <w:numPr>
          <w:ilvl w:val="0"/>
          <w:numId w:val="2"/>
        </w:numPr>
        <w:spacing w:after="80" w:line="280"/>
      </w:pPr>
      <w:r>
        <w:rPr>
          <w:sz w:val="22"/>
          <w:szCs w:val="22"/>
        </w:rPr>
        <w:t xml:space="preserve">航空动力业务仍处于成长和市场培育阶段。虽然CA500发动机已取得相关适航批准且2026年上半年收入和利润同比提升，但公司尚未披露CA500产能利用率及下半年具体批量订单，后续商业化放量和盈利贡献存在不确定性。</w:t>
      </w:r>
    </w:p>
    <w:p>
      <w:pPr>
        <w:pStyle w:val="ListParagraph"/>
        <w:numPr>
          <w:ilvl w:val="0"/>
          <w:numId w:val="2"/>
        </w:numPr>
        <w:spacing w:after="80" w:line="280"/>
      </w:pPr>
      <w:r>
        <w:rPr>
          <w:sz w:val="22"/>
          <w:szCs w:val="22"/>
        </w:rPr>
        <w:t xml:space="preserve">新能源及AIDC相关业务的高增长尚未等同于大规模利润贡献。2026年上半年新能源收入同比增长约125.8%，但AIDC高压直流供电及储能业务仍处于前期阶段、收入贡献较小，若订单落地或盈利能力不及预期，可能难以抵消传统业务波动。</w:t>
      </w:r>
    </w:p>
    <w:p>
      <w:pPr>
        <w:pStyle w:val="ListParagraph"/>
        <w:numPr>
          <w:ilvl w:val="0"/>
          <w:numId w:val="2"/>
        </w:numPr>
        <w:spacing w:after="80" w:line="280"/>
      </w:pPr>
      <w:r>
        <w:rPr>
          <w:sz w:val="22"/>
          <w:szCs w:val="22"/>
        </w:rPr>
        <w:t xml:space="preserve">当前估值对未来盈利增长已有一定预期。按两家机构平均预测，股价对应2026—2028年预测市盈率约19.8倍、15.2倍和12.6倍；若传统通机业务持续低迷，或航空动力、新能源放量不及预期，机构盈利预测和估值消化过程可能面临下修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宗申动力的中期增长逻辑主要来自通用机械产品结构和海外市场拓展、航空动力商业化、新能源及储能系统集成，以及高端零部件和精密加工能力提升。2025年通用机械和发动机毛利率分别为15.30%和10.50%，同比有所改善；但2026年上半年通机类收入同比下降约19.3%，说明传统业务的周期波动仍对整体业绩具有较大影响。机构平均预测2026—2028年归母净利润约为8.80亿元、11.47亿元和13.86亿元，但样本仅包括华创证券和国信证券，且2026年上半年实际利润下降，后续仍需依靠订单、交付和利润数据验证。</w:t>
      </w:r>
    </w:p>
    <w:p>
      <w:pPr>
        <w:spacing w:after="160" w:line="300"/>
      </w:pPr>
      <w:r>
        <w:rPr>
          <w:sz w:val="22"/>
          <w:szCs w:val="22"/>
        </w:rPr>
        <w:t xml:space="preserve">资产置换可能改变公司未来业务边界和可比口径，是影响后续业绩判断的重要变量，但目前交易尚未进入正式协议签署阶段，不能将拟置入业务直接纳入当前估值或盈利判断。公司未来表现取决于通用机械需求修复、发动机业务稳定性、新能源和航空动力放量，以及原材料、汇率、物流和海外贸易环境变化。技术面上，15.10~15.25元为近期重要观察区间，15.80元附近为布林中轨，16.10元附近对应短期均线压力；这些价格仅反映历史技术形态，不能替代基本面判断。</w:t>
      </w:r>
    </w:p>
    <w:p>
      <w:pPr>
        <w:spacing w:after="160" w:line="300"/>
      </w:pPr>
      <w:r>
        <w:rPr>
          <w:sz w:val="22"/>
          <w:szCs w:val="22"/>
        </w:rPr>
        <w:t xml:space="preserve">总体而言，公司具备传统动力机械规模制造基础，并拥有航空动力、新能源和高端零部件等业务升级方向，但当前仍处于传统业务承压、新业务贡献逐步验证和重大资产置换方案未定的阶段。未来应重点关注资产置换的正式方案及审批进展、通用机械收入和毛利率修复、新能源与航空动力的订单及盈利贡献，以及机构预测能否兑现。</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宗申动力(001696)_公司公告_宗申动力：2025年年度报告新浪财经_新浪网 — https://money.finance.sina.com.cn/corp/view/vCB_AllBulletinDetail.php?id=12145714&amp;stockid=001696</w:t>
      </w:r>
    </w:p>
    <w:p>
      <w:pPr>
        <w:spacing w:after="200"/>
      </w:pPr>
      <w:r>
        <w:rPr>
          <w:i/>
          <w:iCs/>
          <w:color w:val="595959"/>
          <w:sz w:val="18"/>
          <w:szCs w:val="18"/>
        </w:rPr>
        <w:t xml:space="preserve">重庆宗申动力机械股份有限公司2025 年年度报告全文 — https://pdf.dfcfw.com/pdf/H2_AN202604221821455937_1.pdf?utm_source=openai</w:t>
      </w:r>
    </w:p>
    <w:p>
      <w:pPr>
        <w:spacing w:after="200"/>
      </w:pPr>
      <w:r>
        <w:rPr>
          <w:i/>
          <w:iCs/>
          <w:color w:val="595959"/>
          <w:sz w:val="18"/>
          <w:szCs w:val="18"/>
        </w:rPr>
        <w:t xml:space="preserve">宗申动力(001696)_公司公告_宗申动力：关于筹划重大资产置换暨关联交易的进展公告新浪财经_新浪网 — https://money.finance.sina.com.cn/corp/view/vCB_AllBulletinDetail.php?id=12597133&amp;stockid=001696</w:t>
      </w:r>
    </w:p>
    <w:p>
      <w:pPr>
        <w:spacing w:after="200"/>
      </w:pPr>
      <w:r>
        <w:rPr>
          <w:i/>
          <w:iCs/>
          <w:color w:val="595959"/>
          <w:sz w:val="18"/>
          <w:szCs w:val="18"/>
        </w:rPr>
        <w:t xml:space="preserve">宗申动力(001696)_公司公告_宗申动力：2025年年度报告新浪财经_新浪网 — https://money.finance.sina.com.cn/corp/view/vCB_AllBulletinDetail.php?id=12145714&amp;stockid=001696&amp;utm_source=openai</w:t>
      </w:r>
    </w:p>
    <w:p>
      <w:pPr>
        <w:spacing w:after="200"/>
      </w:pPr>
      <w:r>
        <w:rPr>
          <w:i/>
          <w:iCs/>
          <w:color w:val="595959"/>
          <w:sz w:val="18"/>
          <w:szCs w:val="18"/>
        </w:rPr>
        <w:t xml:space="preserve">重庆宗申动力机械股份有限公司 2023 年年度报告全文 — https://static.cninfo.com.cn/finalpage/2024-03-30/1219467524.PDF?utm_source=openai</w:t>
      </w:r>
    </w:p>
    <w:p>
      <w:pPr>
        <w:spacing w:after="200"/>
      </w:pPr>
      <w:r>
        <w:rPr>
          <w:i/>
          <w:iCs/>
          <w:color w:val="595959"/>
          <w:sz w:val="18"/>
          <w:szCs w:val="18"/>
        </w:rPr>
        <w:t xml:space="preserve">宗申动力(001696)_公司公告_宗申动力：2024年年度报告新浪财经_新浪网 — https://money.finance.sina.com.cn/corp/view/vCB_AllBulletinDetail.php?id=10834924&amp;stockid=001696&amp;utm_source=openai</w:t>
      </w:r>
    </w:p>
    <w:p>
      <w:pPr>
        <w:spacing w:after="200"/>
      </w:pPr>
      <w:r>
        <w:rPr>
          <w:i/>
          <w:iCs/>
          <w:color w:val="595959"/>
          <w:sz w:val="18"/>
          <w:szCs w:val="18"/>
        </w:rPr>
        <w:t xml:space="preserve">重庆宗申动力机械股份有限公司 — https://static.cninfo.com.cn/finalpage/2026-04-23/1225148082.PDF?utm_source=openai</w:t>
      </w:r>
    </w:p>
    <w:p>
      <w:pPr>
        <w:spacing w:after="200"/>
      </w:pPr>
      <w:r>
        <w:rPr>
          <w:i/>
          <w:iCs/>
          <w:color w:val="595959"/>
          <w:sz w:val="18"/>
          <w:szCs w:val="18"/>
        </w:rPr>
        <w:t xml:space="preserve">隆鑫通用(603766)_公司公告_隆鑫通用：2025年年度报告新浪财经_新浪网 — https://money.finance.sina.com.cn/corp/view/vCB_AllBulletinDetail.php?id=12107316&amp;stockid=603766&amp;utm_source=openai</w:t>
      </w:r>
    </w:p>
    <w:p>
      <w:pPr>
        <w:spacing w:after="200"/>
      </w:pPr>
      <w:r>
        <w:rPr>
          <w:i/>
          <w:iCs/>
          <w:color w:val="595959"/>
          <w:sz w:val="18"/>
          <w:szCs w:val="18"/>
        </w:rPr>
        <w:t xml:space="preserve">神驰机电股份有限公司2025 年年度报告 — https://www.100est.com/res/financial-report/2025/SH603109_202603301820861479.pdf?utm_source=openai</w:t>
      </w:r>
    </w:p>
    <w:p>
      <w:pPr>
        <w:spacing w:after="200"/>
      </w:pPr>
      <w:r>
        <w:rPr>
          <w:i/>
          <w:iCs/>
          <w:color w:val="595959"/>
          <w:sz w:val="18"/>
          <w:szCs w:val="18"/>
        </w:rPr>
        <w:t xml:space="preserve">绿田机械(605259)_公司公告_绿田机械：2025年年度报告新浪财经_新浪网 — https://money.finance.sina.com.cn/corp/view/vCB_AllBulletinDetail.php?id=12209003&amp;stockid=605259&amp;utm_source=openai</w:t>
      </w:r>
    </w:p>
    <w:p>
      <w:pPr>
        <w:spacing w:after="200"/>
      </w:pPr>
      <w:r>
        <w:rPr>
          <w:i/>
          <w:iCs/>
          <w:color w:val="595959"/>
          <w:sz w:val="18"/>
          <w:szCs w:val="18"/>
        </w:rPr>
        <w:t xml:space="preserve">晓经济-宗申动力 — https://www.xiaojingji.com/stock/one/competitor?code=001696&amp;utm_source=openai</w:t>
      </w:r>
    </w:p>
    <w:p>
      <w:pPr>
        <w:spacing w:after="200"/>
      </w:pPr>
      <w:r>
        <w:rPr>
          <w:i/>
          <w:iCs/>
          <w:color w:val="595959"/>
          <w:sz w:val="18"/>
          <w:szCs w:val="18"/>
        </w:rPr>
        <w:t xml:space="preserve">宗申动力(001696)_公司公告_宗申动力：2026年半年度报告新浪财经_新浪网 — https://vip.stock.finance.sina.com.cn/corp/view/vCB_AllBulletinDetail.php?id=12567513&amp;stockid=001696</w:t>
      </w:r>
    </w:p>
    <w:p>
      <w:pPr>
        <w:spacing w:after="200"/>
      </w:pPr>
      <w:r>
        <w:rPr>
          <w:i/>
          <w:iCs/>
          <w:color w:val="595959"/>
          <w:sz w:val="18"/>
          <w:szCs w:val="18"/>
        </w:rPr>
        <w:t xml:space="preserve">宗申动力(001696)_公司公告_宗申动力：2025年年度报告摘要新浪财经_新浪网 — https://money.finance.sina.com.cn/corp/view/vCB_AllBulletinDetail.php?id=12145684&amp;stockid=001696&amp;utm_source=openai</w:t>
      </w:r>
    </w:p>
    <w:p>
      <w:pPr>
        <w:spacing w:after="200"/>
      </w:pPr>
      <w:r>
        <w:rPr>
          <w:i/>
          <w:iCs/>
          <w:color w:val="595959"/>
          <w:sz w:val="18"/>
          <w:szCs w:val="18"/>
        </w:rPr>
        <w:t xml:space="preserve">宗申动力(001696) 盈利预测_F10_同花顺金融服务网 — https://basic.10jqka.com.cn/001696/worth.html</w:t>
      </w:r>
    </w:p>
    <w:p>
      <w:pPr>
        <w:spacing w:after="200"/>
      </w:pPr>
      <w:r>
        <w:rPr>
          <w:i/>
          <w:iCs/>
          <w:color w:val="595959"/>
          <w:sz w:val="18"/>
          <w:szCs w:val="18"/>
        </w:rPr>
        <w:t xml:space="preserve">国信证券-宗申动力(001696)2025年净利润同比增长44%，积极布局低空经济-260522.pdf — https://pdf.dfcfw.com/pdf/H3_AP202605221822677860_1.pdf?1779452055000.pdf=&amp;utm_source=openai</w:t>
      </w:r>
    </w:p>
    <w:p>
      <w:pPr>
        <w:spacing w:after="200"/>
      </w:pPr>
      <w:r>
        <w:rPr>
          <w:i/>
          <w:iCs/>
          <w:color w:val="595959"/>
          <w:sz w:val="18"/>
          <w:szCs w:val="18"/>
        </w:rPr>
        <w:t xml:space="preserve">宗申动力(001696)2026年半年报点评：传统通机业务短期承压 AIDC电源与航空动力打开新成长空间__新浪财经_新浪网 — https://stock.finance.sina.com.cn/stock/go.php/vReport_Show/kind/search/rptid/841460460332/index.phtml?utm_source=openai</w:t>
      </w:r>
    </w:p>
    <w:p>
      <w:pPr>
        <w:spacing w:after="200"/>
      </w:pPr>
      <w:r>
        <w:rPr>
          <w:i/>
          <w:iCs/>
          <w:color w:val="595959"/>
          <w:sz w:val="18"/>
          <w:szCs w:val="18"/>
        </w:rPr>
        <w:t xml:space="preserve">宗申动力(001696)2026年半年报点评：传统通机业务短期承压 AIDC电源与航空动力打开新成长空间__新浪财经_新浪网 — https://stock.finance.sina.com.cn/stock/go.php/vReport_Show/kind/search/rptid/841460460332/index.phtml</w:t>
      </w:r>
    </w:p>
    <w:p>
      <w:pPr>
        <w:spacing w:after="200"/>
      </w:pPr>
      <w:r>
        <w:rPr>
          <w:i/>
          <w:iCs/>
          <w:color w:val="595959"/>
          <w:sz w:val="18"/>
          <w:szCs w:val="18"/>
        </w:rPr>
        <w:t xml:space="preserve">研报指标速递-研报-股票频道-证券之星 — https://stock.stockstar.com/report/data_all_isspvxwwvrrxqrrupvrpr.html?utm_source=openai</w:t>
      </w:r>
    </w:p>
    <w:p>
      <w:pPr>
        <w:spacing w:after="200"/>
      </w:pPr>
      <w:r>
        <w:rPr>
          <w:i/>
          <w:iCs/>
          <w:color w:val="595959"/>
          <w:sz w:val="18"/>
          <w:szCs w:val="18"/>
        </w:rPr>
        <w:t xml:space="preserve">国信证券-低空经济行业专题系列二：eVTOL动力系统的市场空间、技术趋势和产业链机遇-250417.pdf — https://www.etelux.com/upfile/2025/1752658153585.pdf?utm_source=openai</w:t>
      </w:r>
    </w:p>
    <w:p>
      <w:pPr>
        <w:spacing w:after="200"/>
      </w:pPr>
      <w:r>
        <w:rPr>
          <w:i/>
          <w:iCs/>
          <w:color w:val="595959"/>
          <w:sz w:val="18"/>
          <w:szCs w:val="18"/>
        </w:rPr>
        <w:t xml:space="preserve">宗申动力(001696)股票历史数据:历史行情,价格,走势图表_英为财情Investing.com — https://cn.investing.com/equities/zongshen-power-a-historical-data?utm_source=openai</w:t>
      </w:r>
    </w:p>
    <w:p>
      <w:pPr>
        <w:spacing w:after="200"/>
      </w:pPr>
      <w:r>
        <w:rPr>
          <w:i/>
          <w:iCs/>
          <w:color w:val="595959"/>
          <w:sz w:val="18"/>
          <w:szCs w:val="18"/>
        </w:rPr>
        <w:t xml:space="preserve">宗申动力(001696)股票信息 - 数据平台 — https://data.agoer.com/cms/Index/detail?id=001696&amp;utm_source=openai</w:t>
      </w:r>
    </w:p>
    <w:p>
      <w:pPr>
        <w:spacing w:after="200"/>
      </w:pPr>
      <w:r>
        <w:rPr>
          <w:i/>
          <w:iCs/>
          <w:color w:val="595959"/>
          <w:sz w:val="18"/>
          <w:szCs w:val="18"/>
        </w:rPr>
        <w:t xml:space="preserve">宗申动力(001696)_公司公告_宗申动力：关于筹划重大资产置换暨关联交易的进展公告新浪财经_新浪网 — https://vip.stock.finance.sina.com.cn/corp/view/vCB_AllBulletinDetail.php?id=12597133&amp;stockid=001696</w:t>
      </w:r>
    </w:p>
    <w:p>
      <w:pPr>
        <w:spacing w:after="200"/>
      </w:pPr>
      <w:r>
        <w:rPr>
          <w:i/>
          <w:iCs/>
          <w:color w:val="595959"/>
          <w:sz w:val="18"/>
          <w:szCs w:val="18"/>
        </w:rPr>
        <w:t xml:space="preserve">宗申动力(001696)_公司公告_宗申动力：关于董事股份减持计划期限届满暨减持结果的公告新浪财经_新浪网 — https://money.finance.sina.com.cn/corp/view/vCB_AllBulletinDetail.php?id=12577553&amp;stockid=001696</w:t>
      </w:r>
    </w:p>
    <w:p>
      <w:pPr>
        <w:spacing w:after="200"/>
      </w:pPr>
      <w:r>
        <w:rPr>
          <w:i/>
          <w:iCs/>
          <w:color w:val="595959"/>
          <w:sz w:val="18"/>
          <w:szCs w:val="18"/>
        </w:rPr>
        <w:t xml:space="preserve">https://file.finance.sina.com.cn/211.154.219.97%3A9494/MRGG/CNSESZ_STOCK/2026/2026-9/2026-09-07/12586707.PDF — https://file.finance.sina.com.cn/211.154.219.97%3A9494/MRGG/CNSESZ_STOCK/2026/2026-9/2026-09-07/12586707.PDF</w:t>
      </w:r>
    </w:p>
    <w:p>
      <w:pPr>
        <w:spacing w:after="200"/>
      </w:pPr>
      <w:r>
        <w:rPr>
          <w:i/>
          <w:iCs/>
          <w:color w:val="595959"/>
          <w:sz w:val="18"/>
          <w:szCs w:val="18"/>
        </w:rPr>
        <w:t xml:space="preserve">宗申动力(001696)_公司公告_宗申动力：上市公司2026年半年度控股股东及其他关联方资金占用情况汇总表新浪财经_新浪网 — https://vip.stock.finance.sina.com.cn/corp/view/vCB_AllBulletinDetail.php?id=12567516&amp;stockid=001696</w:t>
      </w:r>
    </w:p>
    <w:p>
      <w:pPr>
        <w:spacing w:after="200"/>
      </w:pPr>
      <w:r>
        <w:rPr>
          <w:i/>
          <w:iCs/>
          <w:color w:val="595959"/>
          <w:sz w:val="18"/>
          <w:szCs w:val="18"/>
        </w:rPr>
        <w:t xml:space="preserve">宗申动力(001696) 最新动态_F10_同花顺金融服务网 — https://basic.10jqka.com.cn/001696/</w:t>
      </w:r>
    </w:p>
    <w:p>
      <w:pPr>
        <w:spacing w:after="200"/>
      </w:pPr>
      <w:r>
        <w:rPr>
          <w:i/>
          <w:iCs/>
          <w:color w:val="595959"/>
          <w:sz w:val="18"/>
          <w:szCs w:val="18"/>
        </w:rPr>
        <w:t xml:space="preserve">宗申动力(001696)股票历史数据:历史行情,价格,走势图表_英为财情Investing.com — https://cn.investing.com/equities/zongshen-power-a-historical-data</w:t>
      </w:r>
    </w:p>
    <w:p>
      <w:pPr>
        <w:spacing w:after="200"/>
      </w:pPr>
      <w:r>
        <w:rPr>
          <w:i/>
          <w:iCs/>
          <w:color w:val="595959"/>
          <w:sz w:val="18"/>
          <w:szCs w:val="18"/>
        </w:rPr>
        <w:t xml:space="preserve">宗申动力(001696)股票最新价格行情,实时走势图,股价分析预测_英为财情Investing.com — https://cn.investing.com/equities/zongshen-power-a?utm_source=openai</w:t>
      </w:r>
    </w:p>
    <w:p>
      <w:pPr>
        <w:spacing w:after="200"/>
      </w:pPr>
      <w:r>
        <w:rPr>
          <w:i/>
          <w:iCs/>
          <w:color w:val="595959"/>
          <w:sz w:val="18"/>
          <w:szCs w:val="18"/>
        </w:rPr>
        <w:t xml:space="preserve">宗申动力(001696)股票行情走势技术分析_未来预测_买卖操作建议_英为财情Investing.com — https://cn.investing.com/equities/zongshen-power-a-technical?utm_source=openai</w:t>
      </w:r>
    </w:p>
    <w:p>
      <w:pPr>
        <w:spacing w:after="200"/>
      </w:pPr>
      <w:r>
        <w:rPr>
          <w:i/>
          <w:iCs/>
          <w:color w:val="595959"/>
          <w:sz w:val="18"/>
          <w:szCs w:val="18"/>
        </w:rPr>
        <w:t xml:space="preserve">宗申动力(001696)_资金流向_证券之星 — https://stock.quote.stockstar.com/capital_001696.shtml?utm_source=openai</w:t>
      </w:r>
    </w:p>
    <w:p>
      <w:pPr>
        <w:spacing w:after="200"/>
      </w:pPr>
      <w:r>
        <w:rPr>
          <w:i/>
          <w:iCs/>
          <w:color w:val="595959"/>
          <w:sz w:val="18"/>
          <w:szCs w:val="18"/>
        </w:rPr>
        <w:t xml:space="preserve">本报告由AI基于公开渠道信息自动检索、整理并生成，信息截至 行情及技术指标截至2026年9月11日收盘；股东结构数据截至2026年6月30日；融资数据截至2026年9月10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2026-09-13T12:17:20.590Z</dcterms:created>
  <dcterms:modified xsi:type="dcterms:W3CDTF">2026-09-13T12:17:20.590Z</dcterms:modified>
</cp:coreProperties>
</file>

<file path=docProps/custom.xml><?xml version="1.0" encoding="utf-8"?>
<Properties xmlns="http://schemas.openxmlformats.org/officeDocument/2006/custom-properties" xmlns:vt="http://schemas.openxmlformats.org/officeDocument/2006/docPropsVTypes"/>
</file>