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浙江苏泊尔股份有限公司 (002032)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行业：厨房炊具与小家电</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截至2026年9月11日收盘；部分估值、52周区间及股东数据存在不同日期或页面更新时间差异，已在相应字段中说明。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苏泊尔2026年上半年营业收入114.10亿元，同比下降0.59%；归母净利润8.68亿元，同比下降7.70%，扣非归母净利润同比下降7.42%，收入基本稳定但盈利承压。主要拖累来自外销客户订单减少、出口业务及原材料成本压力、销售费用同比增长约8.1%，以及汇率和利息收入变化。2025年公司营业收入227.72亿元，同比增长1.54%，但归母净利润同比下降6.58%，显示当前经营处于收入低增长、利润率承压阶段。</w:t>
      </w:r>
    </w:p>
    <w:p>
      <w:pPr>
        <w:spacing w:after="160" w:line="300"/>
      </w:pPr>
      <w:r>
        <w:rPr>
          <w:sz w:val="22"/>
          <w:szCs w:val="22"/>
        </w:rPr>
        <w:t xml:space="preserve">公司核心竞争力来自苏泊尔品牌、炊具优势、厨房小家电综合品类、线下及线上渠道、规模化制造能力以及与法国SEB集团的长期协同。2025年电器业务收入154.89亿元，占比68.02%，炊具业务收入69.66亿元，占比30.59%；内销收入占比67.34%，外销及出口代工占比约32.65%。不过，SEB及其附属公司仍是第一大客户，2025年销售额68.10亿元，占营业收入29.91%，且相关应收账款占期末应收账款53.37%，客户集中度和订单稳定性需要持续关注。</w:t>
      </w:r>
    </w:p>
    <w:p>
      <w:pPr>
        <w:spacing w:after="160" w:line="300"/>
      </w:pPr>
      <w:r>
        <w:rPr>
          <w:sz w:val="22"/>
          <w:szCs w:val="22"/>
        </w:rPr>
        <w:t xml:space="preserve">盈利结构上，品牌直销和内销业务毛利率高于出口代工，2025年直销、分销和出口代工毛利率分别为43.51%、24.80%和17.19%；整体净利率则由2022年的约10.25%降至2025年的约9.21%。截至2026年9月11日，股价为38.38元，约对应2026年一致预测市盈率14.65倍，但2026年机构一致预测归母净利润约20.94亿元，同比基本持平，估值表现仍取决于外销恢复、费用率改善和内销需求修复。技术面上股价低于MA5、MA10和MA20，短线偏弱，38.0~38.5元为支撑观察区，39.1~39.5元为短期压力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002032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苏泊尔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1994年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浙江杭州</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浙江玉环</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控股股东及战略合作方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法国SEB集团；双方自2006年开始战略合作</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227.72亿元，同比增长1.54%；核心经营数据截至2025年12月31日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2025年内外销结构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内销收入153.34亿元，占67.34%；外销收入74.38亿元，占32.66%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2025年销售模式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直销收入31.06亿元，占13.64%；分销收入122.30亿元，占53.71%；出口代工收入74.36亿元，占32.65%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研发制造基地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七大研发制造基地，分布于浙江玉环、杭州、绍兴滨海新区、绍兴柯桥区、湖北武汉及越南胡志明市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产能披露口径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2025年度ESG报告披露七大基地年产能合计超过1.8亿件；不同基地统计单位包括“台”和“口”，不能简单相加，不等同于经审计的有效产能或当年实际产量</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2025年年报披露日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2026年4月3日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明火炊具及厨房用具：炒锅、压力锅、煎锅、汤奶锅、蒸锅、陶瓷煲、火锅、珐琅锅、水壶、刀具、铲勺、保温杯、厨房工具及保鲜盒等</w:t>
      </w:r>
    </w:p>
    <w:p>
      <w:pPr>
        <w:pStyle w:val="ListParagraph"/>
        <w:numPr>
          <w:ilvl w:val="0"/>
          <w:numId w:val="2"/>
        </w:numPr>
        <w:spacing w:after="80" w:line="280"/>
      </w:pPr>
      <w:r>
        <w:rPr>
          <w:sz w:val="22"/>
          <w:szCs w:val="22"/>
        </w:rPr>
        <w:t xml:space="preserve">厨房小家电：电饭煲、电压力锅、电磁炉、豆浆机、电水壶、养生壶、榨汁机、电炖锅、电蒸锅、电火锅、破壁机、搅拌机、煎烤机、空气炸锅、台式电烤箱及台式净饮机等</w:t>
      </w:r>
    </w:p>
    <w:p>
      <w:pPr>
        <w:pStyle w:val="ListParagraph"/>
        <w:numPr>
          <w:ilvl w:val="0"/>
          <w:numId w:val="2"/>
        </w:numPr>
        <w:spacing w:after="80" w:line="280"/>
      </w:pPr>
      <w:r>
        <w:rPr>
          <w:sz w:val="22"/>
          <w:szCs w:val="22"/>
        </w:rPr>
        <w:t xml:space="preserve">厨卫电器：油烟机、燃气灶、净水机、消毒柜、嵌入式蒸烤箱及热水器等</w:t>
      </w:r>
    </w:p>
    <w:p>
      <w:pPr>
        <w:pStyle w:val="ListParagraph"/>
        <w:numPr>
          <w:ilvl w:val="0"/>
          <w:numId w:val="2"/>
        </w:numPr>
        <w:spacing w:after="80" w:line="280"/>
      </w:pPr>
      <w:r>
        <w:rPr>
          <w:sz w:val="22"/>
          <w:szCs w:val="22"/>
        </w:rPr>
        <w:t xml:space="preserve">生活家居电器：空气净化器、挂烫机、吸尘器、洗地机、电熨斗、电暖器及空气循环扇等</w:t>
      </w:r>
    </w:p>
    <w:p>
      <w:pPr>
        <w:pStyle w:val="ListParagraph"/>
        <w:numPr>
          <w:ilvl w:val="0"/>
          <w:numId w:val="2"/>
        </w:numPr>
        <w:spacing w:after="80" w:line="280"/>
      </w:pPr>
      <w:r>
        <w:rPr>
          <w:sz w:val="22"/>
          <w:szCs w:val="22"/>
        </w:rPr>
        <w:t xml:space="preserve">2025年收入结构：炊具业务69.66亿元，占30.59%；电器业务154.89亿元，占68.02%；其他业务3.17亿元，占1.39%</w:t>
      </w:r>
    </w:p>
    <w:p>
      <w:pPr>
        <w:pStyle w:val="ListParagraph"/>
        <w:numPr>
          <w:ilvl w:val="0"/>
          <w:numId w:val="2"/>
        </w:numPr>
        <w:spacing w:after="80" w:line="280"/>
      </w:pPr>
      <w:r>
        <w:rPr>
          <w:sz w:val="22"/>
          <w:szCs w:val="22"/>
        </w:rPr>
        <w:t xml:space="preserve">2025年按产品收入：烹饪电器87.11亿元，占38.25%；食物料理电器37.38亿元，占16.42%；炊具及用具69.66亿元，占30.59%；其他家用电器33.57亿元，占14.74%</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苏泊尔位于厨房炊具和小家电产业链的中游，是兼具品牌、制造和渠道能力的企业。公司既经营苏泊尔自有品牌，也通过法国SEB集团向日本、欧美和东南亚等全球80多个国家和地区销售产品；2025年约三分之一收入来自外销及出口代工。</w:t>
      </w:r>
    </w:p>
    <w:p>
      <w:pPr>
        <w:pStyle w:val="ListParagraph"/>
        <w:numPr>
          <w:ilvl w:val="0"/>
          <w:numId w:val="2"/>
        </w:numPr>
        <w:spacing w:after="80" w:line="280"/>
      </w:pPr>
      <w:r>
        <w:rPr>
          <w:sz w:val="22"/>
          <w:szCs w:val="22"/>
        </w:rPr>
        <w:t xml:space="preserve">炊具主要采购铝、铜、不锈钢、铁及相关金属材料；小家电还需要塑料件、电子元器件、电机、加热组件、线圈和包装材料等。2025年半年度报告明确披露，炊具及小家电主要原材料包括铝、铜、不锈钢和塑料。</w:t>
      </w:r>
    </w:p>
    <w:p>
      <w:pPr>
        <w:pStyle w:val="ListParagraph"/>
        <w:numPr>
          <w:ilvl w:val="0"/>
          <w:numId w:val="2"/>
        </w:numPr>
        <w:spacing w:after="80" w:line="280"/>
      </w:pPr>
      <w:r>
        <w:rPr>
          <w:sz w:val="22"/>
          <w:szCs w:val="22"/>
        </w:rPr>
        <w:t xml:space="preserve">上述材料大多属于大宗商品或标准化工业材料，公司总体上缺乏对上游原材料的绝对定价权，属于铝、铜、不锈钢、塑料等材料的价格接受者。</w:t>
      </w:r>
    </w:p>
    <w:p>
      <w:pPr>
        <w:pStyle w:val="ListParagraph"/>
        <w:numPr>
          <w:ilvl w:val="0"/>
          <w:numId w:val="2"/>
        </w:numPr>
        <w:spacing w:after="80" w:line="280"/>
      </w:pPr>
      <w:r>
        <w:rPr>
          <w:sz w:val="22"/>
          <w:szCs w:val="22"/>
        </w:rPr>
        <w:t xml:space="preserve">公司可通过规模采购、供应链协同、产品结构调整、采购周期管理、工艺改进和自动化改造缓解成本波动，但难以完全转嫁原材料价格上涨。品牌、规模采购、制造基地和SEB全球供应链协同使其采购议价能力强于中小家电企业。</w:t>
      </w:r>
    </w:p>
    <w:p>
      <w:pPr>
        <w:pStyle w:val="ListParagraph"/>
        <w:numPr>
          <w:ilvl w:val="0"/>
          <w:numId w:val="2"/>
        </w:numPr>
        <w:spacing w:after="80" w:line="280"/>
      </w:pPr>
      <w:r>
        <w:rPr>
          <w:sz w:val="22"/>
          <w:szCs w:val="22"/>
        </w:rPr>
        <w:t xml:space="preserve">2025年前五大供应商采购金额16.00亿元，占年度采购总额11.05%，前五大供应商无关联方采购。供应商集中度相对较低，但供应商均以“供应商1”至“供应商5”匿名披露，无法判断其在具体材料或零部件中的供应地位。</w:t>
      </w:r>
    </w:p>
    <w:p>
      <w:pPr>
        <w:pStyle w:val="ListParagraph"/>
        <w:numPr>
          <w:ilvl w:val="0"/>
          <w:numId w:val="2"/>
        </w:numPr>
        <w:spacing w:after="80" w:line="280"/>
      </w:pPr>
      <w:r>
        <w:rPr>
          <w:sz w:val="22"/>
          <w:szCs w:val="22"/>
        </w:rPr>
        <w:t xml:space="preserve">2025年末原材料账面余额3.67亿元、原材料存货账面价值3.59亿元，库存商品账面价值18.26亿元；成本占用主要集中在产成品而非原材料端。</w:t>
      </w:r>
    </w:p>
    <w:p>
      <w:pPr>
        <w:pStyle w:val="ListParagraph"/>
        <w:numPr>
          <w:ilvl w:val="0"/>
          <w:numId w:val="2"/>
        </w:numPr>
        <w:spacing w:after="80" w:line="280"/>
      </w:pPr>
      <w:r>
        <w:rPr>
          <w:sz w:val="22"/>
          <w:szCs w:val="22"/>
        </w:rPr>
        <w:t xml:space="preserve">内销以苏泊尔自有品牌为主，渠道包括电商平台、线下商超、经销商、O2O即时零售、三四线市场门店、B2B特渠及私域会员渠道。2025年内销主营业务收入约151.66亿元，同比增长2.77%。</w:t>
      </w:r>
    </w:p>
    <w:p>
      <w:pPr>
        <w:pStyle w:val="ListParagraph"/>
        <w:numPr>
          <w:ilvl w:val="0"/>
          <w:numId w:val="2"/>
        </w:numPr>
        <w:spacing w:after="80" w:line="280"/>
      </w:pPr>
      <w:r>
        <w:rPr>
          <w:sz w:val="22"/>
          <w:szCs w:val="22"/>
        </w:rPr>
        <w:t xml:space="preserve">外销收入74.38亿元，占2025年营业收入32.66%；出口代工收入74.36亿元，占32.65%。公司主要通过SEB集团向海外市场销售产品。</w:t>
      </w:r>
    </w:p>
    <w:p>
      <w:pPr>
        <w:pStyle w:val="ListParagraph"/>
        <w:numPr>
          <w:ilvl w:val="0"/>
          <w:numId w:val="2"/>
        </w:numPr>
        <w:spacing w:after="80" w:line="280"/>
      </w:pPr>
      <w:r>
        <w:rPr>
          <w:sz w:val="22"/>
          <w:szCs w:val="22"/>
        </w:rPr>
        <w:t xml:space="preserve">2025年前五大客户合计销售金额101.00亿元，占年度销售总额44.35%；其中SEB S.A.及其附属公司销售金额68.10亿元，占29.91%，为第一大客户及关联方客户。该数据为2025年年报披露口径；除SEB外的前四大客户以“客户1”至“客户4”匿名披露，无法确认具体名称和最终销售市场。</w:t>
      </w:r>
    </w:p>
    <w:p>
      <w:pPr>
        <w:pStyle w:val="ListParagraph"/>
        <w:numPr>
          <w:ilvl w:val="0"/>
          <w:numId w:val="2"/>
        </w:numPr>
        <w:spacing w:after="80" w:line="280"/>
      </w:pPr>
      <w:r>
        <w:rPr>
          <w:sz w:val="22"/>
          <w:szCs w:val="22"/>
        </w:rPr>
        <w:t xml:space="preserve">SEB及其附属公司销售金额由2024年的70.46亿元、占31.42%，降至2025年的68.10亿元、占29.91%；客户集中度有所下降，但SEB仍是最重要的单一客户和海外订单来源。</w:t>
      </w:r>
    </w:p>
    <w:p>
      <w:pPr>
        <w:pStyle w:val="ListParagraph"/>
        <w:numPr>
          <w:ilvl w:val="0"/>
          <w:numId w:val="2"/>
        </w:numPr>
        <w:spacing w:after="80" w:line="280"/>
      </w:pPr>
      <w:r>
        <w:rPr>
          <w:sz w:val="22"/>
          <w:szCs w:val="22"/>
        </w:rPr>
        <w:t xml:space="preserve">公司与SEB的OEM交易价格按合同约定，公开披露的定价原则为公司及其关联方获得的毛利润通常相当于制造产品FOB转让价格的18%，特殊情况除外。2025年出口代工毛利率为17.19%，低于直销的43.51%和分销的24.80%。</w:t>
      </w:r>
    </w:p>
    <w:p>
      <w:pPr>
        <w:pStyle w:val="ListParagraph"/>
        <w:numPr>
          <w:ilvl w:val="0"/>
          <w:numId w:val="2"/>
        </w:numPr>
        <w:spacing w:after="80" w:line="280"/>
      </w:pPr>
      <w:r>
        <w:rPr>
          <w:sz w:val="22"/>
          <w:szCs w:val="22"/>
        </w:rPr>
        <w:t xml:space="preserve">内销品牌业务具备一定终端定价能力，但线上流量成本、平台费用、直播投放、价格竞争、返利和促销费用会压制利润率；外销OEM更接近制造服务，客户议价能力较强，但可带来稳定订单、规模生产和全球供应链协同。</w:t>
      </w:r>
    </w:p>
    <w:p>
      <w:pPr>
        <w:pStyle w:val="ListParagraph"/>
        <w:numPr>
          <w:ilvl w:val="0"/>
          <w:numId w:val="2"/>
        </w:numPr>
        <w:spacing w:after="80" w:line="280"/>
      </w:pPr>
      <w:r>
        <w:rPr>
          <w:sz w:val="22"/>
          <w:szCs w:val="22"/>
        </w:rPr>
        <w:t xml:space="preserve">截至2025年12月31日，应收账款27.59亿元，占全年营业收入约12.12%；应付账款35.08亿元，占15.41%；存货24.08亿元，占10.58%；预付款项2.02亿元，占0.89%；合同负债9.67亿元，占4.25%。应付账款规模及占收入比例均高于应收账款，显示公司对供应商形成一定商业信用占用。应收账款中，SEB及其附属公司款项占应收账款余额53.37%，应收账款质量与SEB付款能力密切相关。上述为期末余额与全年收入的静态比例，不能替代完整的周转天数或全年平均余额分析；年报未在主营业务章节直接给出完整客户及供应商账期数据，因此不能据此断言公司拥有绝对上下游议价优势。</w:t>
      </w:r>
    </w:p>
    <w:p>
      <w:pPr>
        <w:pStyle w:val="ListParagraph"/>
        <w:numPr>
          <w:ilvl w:val="0"/>
          <w:numId w:val="2"/>
        </w:numPr>
        <w:spacing w:after="80" w:line="280"/>
      </w:pPr>
      <w:r>
        <w:rPr>
          <w:sz w:val="22"/>
          <w:szCs w:val="22"/>
        </w:rPr>
        <w:t xml:space="preserve">上游方面，2025年前五大供应商采购占比为11.05%，集中度相对较低，但供应商名称匿名披露。下游方面，2025年前五大客户销售占比44.35%，SEB及其附属公司单一客户占29.91%；该数据来自2025年年报，除SEB外客户匿名披露，且研究纪要未提供其他年度前五大客户合计占比，具体以最新年报为准。SEB既是控股股东体系内企业，也是最大海外OEM客户，公司对其订单存在一定依赖，但长期合作、质量体系和全球供应链配套构成一定替代壁垒。</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约25.66%（按年报分行业成本估算）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约10.25%（归母净利润20.68亿元/营业收入201.71亿元）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外销需求和库存调整影响收入，但原材料价格回落、内销占比提升及渠道结构改善推动毛利率上升。整体毛利率为近似口径，不完全等同于统一销售毛利率。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约25.28%（按年报分行业成本估算）</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约10.23%（归母净利润21.80亿元/营业收入213.04亿元）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电器产品和外销业务恢复增长；炊具受到产品均价下降及采购成本上升影响，炊具毛利率降至28.67%，整体毛利率小幅回落。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约24.65%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约10.01%（归母净利润22.44亿元/营业收入224.27亿元）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外销收入增长较快，但外销及出口代工毛利率低于内销和直销，业务结构对整体毛利率形成压力；国内市场竞争使炊具和电器毛利率下降。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约24.87%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约9.21%（归母净利润20.97亿元/营业收入227.72亿元）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电器毛利率同比提升0.39个百分点至24.19%，但炊具毛利率下降0.20个百分点至26.79%；外销及出口代工毛利率为17.19%，显著低于内销28.59%和直销43.51%，行业竞争、销售投入及成本压力导致净利率继续下降。</w:t>
            </w:r>
          </w:p>
        </w:tc>
      </w:tr>
    </w:tbl>
    <w:p>
      <w:pPr>
        <w:spacing w:before="200"/>
      </w:pPr>
    </w:p>
    <w:p>
      <w:pPr>
        <w:spacing w:after="160" w:line="300"/>
      </w:pPr>
      <w:r>
        <w:rPr>
          <w:sz w:val="22"/>
          <w:szCs w:val="22"/>
        </w:rPr>
        <w:t xml:space="preserve">苏泊尔位于产业链中游偏右侧，属于“品牌＋制造＋渠道”型企业：相较纯OEM企业，品牌、研发和渠道贡献了较高毛利；但公司仍受铝、铜、不锈钢、塑料及电子元件成本影响，且外销及出口代工占比较高、SEB单一客户占2025年收入29.91%，利润受到制造成本、海外订单和OEM定价约束。未来利润率改善主要依赖中高端产品和核心品类升级、直营及高效率渠道占比提升、原材料价格回落、海外订单恢复以及销售费用效率改善，而非上游资源控制。</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114.10亿元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同比下降0.59%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归母净利润8.68亿元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同比下降7.70%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227.72亿元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同比增长1.54%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归母净利润20.97亿元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同比下降6.58%</w:t>
            </w:r>
          </w:p>
        </w:tc>
      </w:tr>
    </w:tbl>
    <w:p>
      <w:pPr>
        <w:spacing w:after="200"/>
      </w:pPr>
      <w:r>
        <w:rPr>
          <w:i/>
          <w:iCs/>
          <w:color w:val="595959"/>
          <w:sz w:val="18"/>
          <w:szCs w:val="18"/>
        </w:rPr>
        <w:t xml:space="preserve">最新正式财报为2026年半年度报告，报告期为2026年1月1日至2026年6月30日，公告披露时间为2026年8月28日。2026年上半年扣非归母净利润为8.40亿元，同比下降7.42%；2025年度扣非归母净利润约19.14亿元，同比下降约7.30%。</w:t>
      </w:r>
    </w:p>
    <w:p>
      <w:pPr>
        <w:spacing w:after="160" w:line="300"/>
      </w:pPr>
      <w:r>
        <w:rPr>
          <w:sz w:val="22"/>
          <w:szCs w:val="22"/>
        </w:rPr>
        <w:t xml:space="preserve">2026年上半年公司收入基本稳定但利润端承压，净利率约为7.6%，同比下降约0.6个百分点。第二季度单季度营业收入约55.3亿元，同比下降2.9%，归母净利润约3.6亿元，同比下降18.2%。上半年内销收入同比增长约1.4%，外销收入同比下降约4.7%。销售费用为12.45亿元，同比增长约8.1%；管理费用为1.81亿元，同比下降约9.1%；研发费用为2.14亿元，同比增长约1.7%；财务费用由上年同期净收益约0.14亿元转为费用约0.19亿元。外销订单减少、汇率及利息收入变化，以及销售费用率上升对利润形成压力。</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同花顺F10截至2026年9月12日汇总的6个月内14家机构预测，为机构研报摘录汇总，不是公司指引，也不等同于公司官方业绩承诺。机构对2026年归母净利润预测分歧较大，预测区间为19.50亿至22.98亿元。代表性券商预测中，华泰证券预计2026年至2028年归母净利润分别为22.38亿元、23.65亿元和24.68亿元；光大证券分别为20.06亿元、21.77亿元和22.72亿元；国盛证券分别为20.55亿元、21.94亿元和23.42亿元；野村东方国际证券分别为19.50亿元、21.46亿元和21.93亿元。国投证券披露的对应EPS分别为2.50元、2.65元和2.84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一致预测平均约232.19亿元；区间约226.31亿至235.32亿元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归母净利润平均约20.94亿元；区间约19.50亿至22.98亿元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平均同比下降约0.11%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平均约2.62元；区间约2.44元至2.87元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一致预测平均约240.85亿元；区间约230.66亿至245.09亿元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归母净利润平均约22.46亿元；区间约21.20亿至24.93亿元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平均同比增长约7.26%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平均约2.81元；区间约2.65元至3.11元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一致预测平均约250.02亿元；区间约234.74亿至255.68亿元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归母净利润平均约23.64亿元；区间约21.93亿至25.75亿元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平均同比增长约5.25%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平均约2.95元；区间约2.74元至3.21元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预计2026年至2028年归母净利润分别为22.38亿元、23.65亿元和24.68亿元，EPS分别为2.80元、2.96元和3.08元；给予2026年20倍PE，目标价56元。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预计2026年至2028年EPS分别为2.50元、2.65元和2.84元；给予2026年20倍动态PE，目标价50.05元。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预计2026年至2028年归母净利润分别为21.69亿元、23.56亿元和25.75亿元，EPS分别为2.71元、2.94元和3.21元；给予2026年20倍PE，目标价54.20元。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预计2026年至2028年归母净利润分别为20.55亿元、21.94亿元和23.42亿元；公开汇总信息未展示明确目标价。</w:t>
            </w:r>
          </w:p>
        </w:tc>
      </w:tr>
    </w:tbl>
    <w:p>
      <w:pPr>
        <w:spacing w:before="200"/>
      </w:pPr>
    </w:p>
    <w:p>
      <w:pPr>
        <w:spacing w:after="160" w:line="300"/>
      </w:pPr>
      <w:r>
        <w:rPr>
          <w:sz w:val="22"/>
          <w:szCs w:val="22"/>
        </w:rPr>
        <w:t xml:space="preserve">截至2026年9月11日，公司收盘价为38.38元，跌幅0.83%；总股本约8.00亿股，据此计算总市值约307亿元。中财网披露的静态/动态口径市盈率约15.17倍、市净率约6.04倍；理杏仁披露的市盈率约15.29倍、总市值约309.56亿元，不同平台因估值口径、财报更新时点及是否采用TTM数据存在小幅差异。按收盘价38.38元计算，2026年至2028年一致预测EPS分别为2.62元、2.81元和2.95元，对应PE约14.65倍、13.66倍和13.01倍；按代表性券商预测，华泰证券、国投证券和国泰海通证券2026年EPS分别为2.80元、2.50元和2.71元，对应PE约13.7倍、15.4倍和14.2倍。综合已核实机构目标价，目标价区间约为50.05元至56.00元，均高于当前股价；对应潜在上涨空间约为30.4%至45.9%，其中国投证券目标价50.05元对应约30.4%，国泰海通证券54.20元对应约41.2%，华泰证券56.00元对应约45.9%。当前股价对应的2026年PE低于多数机构采用的20倍左右目标估值假设，但公司2026年盈利仍处于同比基本持平或小幅下降阶段，估值修复空间取决于外销恢复、汇率压力缓解、销售费用率回落及内销需求改善能否兑现。</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股票期权激励计划对象名单完成核查，尚待股东会审议</w:t>
      </w:r>
    </w:p>
    <w:p>
      <w:pPr>
        <w:spacing w:after="160" w:line="300"/>
      </w:pPr>
      <w:r>
        <w:rPr>
          <w:sz w:val="22"/>
          <w:szCs w:val="22"/>
        </w:rPr>
        <w:t xml:space="preserve">2026年9月10日，公司披露《董事会薪酬与考核委员会关于公司2026年股票期权激励计划激励对象名单的核查意见》。公司于2026年8月28日至9月6日对激励对象名单进行内部公示，截至9月10日未收到异议。计划拟授予股票期权104.30万份，激励对象不超过57人，占公告时公司股本总额约0.13%；激励对象不包括独立董事、持有公司5%以上股份的股东、实际控制人及其配偶、父母、子女。截至2026年9月13日，该计划仍需提交2026年第一次临时股东会审议，尚不能视为最终授予完成。</w:t>
      </w:r>
    </w:p>
    <w:p>
      <w:pPr>
        <w:pStyle w:val="Heading2"/>
        <w:spacing w:after="120" w:before="240"/>
      </w:pPr>
      <w:r>
        <w:rPr>
          <w:b/>
          <w:bCs/>
          <w:color w:val="2E74B5"/>
          <w:sz w:val="24"/>
          <w:szCs w:val="24"/>
        </w:rPr>
        <w:t xml:space="preserve">4.2 2026年第一次临时股东会拟审议多项重要议案</w:t>
      </w:r>
    </w:p>
    <w:p>
      <w:pPr>
        <w:spacing w:after="160" w:line="300"/>
      </w:pPr>
      <w:r>
        <w:rPr>
          <w:sz w:val="22"/>
          <w:szCs w:val="22"/>
        </w:rPr>
        <w:t xml:space="preserve">公司拟于2026年9月15日召开2026年第一次临时股东会，股权登记日为2026年9月8日。会议拟审议2026年股票期权激励计划及相关考核办法、授权董事会办理股票期权激励计划相关事宜、第四期业绩激励基金管理办法、注销部分回购股份、合并吸收全资子公司、修订公司章程及未来三年（2026—2028年）股东分红回报规划。截至2026年9月13日，会议尚未召开，相关事项均不能视为已经最终通过或完成。</w:t>
      </w:r>
    </w:p>
    <w:p>
      <w:pPr>
        <w:pStyle w:val="Heading2"/>
        <w:spacing w:after="120" w:before="240"/>
      </w:pPr>
      <w:r>
        <w:rPr>
          <w:b/>
          <w:bCs/>
          <w:color w:val="2E74B5"/>
          <w:sz w:val="24"/>
          <w:szCs w:val="24"/>
        </w:rPr>
        <w:t xml:space="preserve">4.3 拟注销300万股回购股份，控股股东持股比例预计被动上升</w:t>
      </w:r>
    </w:p>
    <w:p>
      <w:pPr>
        <w:spacing w:after="160" w:line="300"/>
      </w:pPr>
      <w:r>
        <w:rPr>
          <w:sz w:val="22"/>
          <w:szCs w:val="22"/>
        </w:rPr>
        <w:t xml:space="preserve">2026年8月28日，公司披露拟注销回购专用证券账户持有的3,000,000股回购股份，并相应减少注册资本。注销前总股本为799,906,129股，注销后预计为796,906,129股。注销完成后，控股股东SEB Internationale S.A.S持股数量预计仍为666,681,904股，持股比例将由约83.35%被动上升至约83.66%。公司表示，本次注销不会导致控股股东及实际控制人发生变化。截至2026年9月13日，股份注销尚未完成，仍需股东会审议。</w:t>
      </w:r>
    </w:p>
    <w:p>
      <w:pPr>
        <w:pStyle w:val="Heading2"/>
        <w:spacing w:after="120" w:before="240"/>
      </w:pPr>
      <w:r>
        <w:rPr>
          <w:b/>
          <w:bCs/>
          <w:color w:val="2E74B5"/>
          <w:sz w:val="24"/>
          <w:szCs w:val="24"/>
        </w:rPr>
        <w:t xml:space="preserve">4.4 拟吸收合并全资子公司浙江橡塑，属于内部组织整合</w:t>
      </w:r>
    </w:p>
    <w:p>
      <w:pPr>
        <w:spacing w:after="160" w:line="300"/>
      </w:pPr>
      <w:r>
        <w:rPr>
          <w:sz w:val="22"/>
          <w:szCs w:val="22"/>
        </w:rPr>
        <w:t xml:space="preserve">2026年8月28日，公司披露拟吸收合并全资子公司浙江苏泊尔橡塑制品有限公司。本次吸收合并不涉及对价支付，不构成关联交易或重大资产重组。完成后，浙江橡塑公司的独立法人资格将被注销，其全部资产、债权、债务、业务、人员及其他权利义务由苏泊尔承继。截至2026年6月30日，浙江橡塑资产总额9,132.13万元、净资产4,274.65万元；2026年1—6月营业收入11,870.83万元、净利润680.02万元。该事项仍需2026年第一次临时股东会审议，预计不会对合并口径的资产、收入及净利润产生实质性影响。</w:t>
      </w:r>
    </w:p>
    <w:p>
      <w:pPr>
        <w:pStyle w:val="Heading2"/>
        <w:spacing w:after="120" w:before="240"/>
      </w:pPr>
      <w:r>
        <w:rPr>
          <w:b/>
          <w:bCs/>
          <w:color w:val="2E74B5"/>
          <w:sz w:val="24"/>
          <w:szCs w:val="24"/>
        </w:rPr>
        <w:t xml:space="preserve">4.5 2026年半年度业绩同比下滑，暂未披露三季度业绩预告</w:t>
      </w:r>
    </w:p>
    <w:p>
      <w:pPr>
        <w:spacing w:after="160" w:line="300"/>
      </w:pPr>
      <w:r>
        <w:rPr>
          <w:sz w:val="22"/>
          <w:szCs w:val="22"/>
        </w:rPr>
        <w:t xml:space="preserve">截至2026年9月13日，最新正式业绩披露为2026年半年度报告，披露日期为2026年8月28日；未检索到公司针对2026年第三季度业绩预告或业绩快报的公告。2026年上半年，公司实现营业总收入约114.10亿元，同比下降0.59%；归属于上市公司股东的净利润约8.68亿元，同比下降7.70%；扣除非经常性损益后的净利润约8.40亿元，同比下降7.42%；基本每股收益1.09元。公司称，收入下降主要由于主要外销客户订单较上年同期略有减少，利润下降主要受出口业务、原材料成本上升及货币资金收益率下降等因素影响。</w:t>
      </w:r>
    </w:p>
    <w:p>
      <w:pPr>
        <w:pStyle w:val="Heading2"/>
        <w:spacing w:after="120" w:before="240"/>
      </w:pPr>
      <w:r>
        <w:rPr>
          <w:b/>
          <w:bCs/>
          <w:color w:val="2E74B5"/>
          <w:sz w:val="24"/>
          <w:szCs w:val="24"/>
        </w:rPr>
        <w:t xml:space="preserve">4.6 高管减持计划实施完毕，涉及股份数量较小</w:t>
      </w:r>
    </w:p>
    <w:p>
      <w:pPr>
        <w:spacing w:after="160" w:line="300"/>
      </w:pPr>
      <w:r>
        <w:rPr>
          <w:sz w:val="22"/>
          <w:szCs w:val="22"/>
        </w:rPr>
        <w:t xml:space="preserve">2026年7月13日，公司披露高级管理人员减持股份计划实施完毕公告。财务总监徐波于2026年7月10日通过集中竞价减持32,496股，减持均价42.85元/股；副总经理、董事会秘书叶继德于2026年7月9日减持11,347股，减持均价42.86元/股。两人合计减持43,843股，占剔除回购专用证券账户股份后公司总股本的约0.0055%。减持后，两人合计持股121,678股，占公司总股本约0.0153%。截至2026年9月13日，未发现新的控股股东减持、重要股东增持或大比例股权变动公告。</w:t>
      </w:r>
    </w:p>
    <w:p>
      <w:pPr>
        <w:pStyle w:val="Heading2"/>
        <w:spacing w:after="120" w:before="240"/>
      </w:pPr>
      <w:r>
        <w:rPr>
          <w:b/>
          <w:bCs/>
          <w:color w:val="2E74B5"/>
          <w:sz w:val="24"/>
          <w:szCs w:val="24"/>
        </w:rPr>
        <w:t xml:space="preserve">4.7 未来三年现金分红规划：原则上不低于可分配利润的60%</w:t>
      </w:r>
    </w:p>
    <w:p>
      <w:pPr>
        <w:spacing w:after="160" w:line="300"/>
      </w:pPr>
      <w:r>
        <w:rPr>
          <w:sz w:val="22"/>
          <w:szCs w:val="22"/>
        </w:rPr>
        <w:t xml:space="preserve">公司于2026年8月28日披露未来三年（2026—2028年）股东分红回报规划。在满足正常经营资金需求、当年盈利、累计未分配利润为正且不存在重大投资计划或重大现金支出等条件下，公司原则上以现金分红为主，现金分红比例不低于当年实现可分配利润的60%。该规划尚需提交2026年第一次临时股东会审议，具体年度分红金额取决于公司当年盈利、现金流、投资安排及股东会审议结果，不能等同于固定分红承诺。</w:t>
      </w:r>
    </w:p>
    <w:p>
      <w:pPr>
        <w:pStyle w:val="Heading2"/>
        <w:spacing w:after="120" w:before="240"/>
      </w:pPr>
      <w:r>
        <w:rPr>
          <w:b/>
          <w:bCs/>
          <w:color w:val="2E74B5"/>
          <w:sz w:val="24"/>
          <w:szCs w:val="24"/>
        </w:rPr>
        <w:t xml:space="preserve">4.8 截至目前未发现重大监管处罚及外部重大并购事项</w:t>
      </w:r>
    </w:p>
    <w:p>
      <w:pPr>
        <w:spacing w:after="160" w:line="300"/>
      </w:pPr>
      <w:r>
        <w:rPr>
          <w:sz w:val="22"/>
          <w:szCs w:val="22"/>
        </w:rPr>
        <w:t xml:space="preserve">截至2026年9月13日，通过公司公告、巨潮资讯网、深交所相关信息及公司投资者关系披露检索，未发现与苏泊尔相关的重大监管处罚、问询函、立案调查、重大政策风险或外部重大并购公告。近期消息面主要集中于股票期权激励计划、注销300万股回购股份、吸收合并全资子公司、9月15日临时股东会、2026年半年度业绩下滑及未来三年现金分红规划。</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38.38元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下跌0.32元，跌幅0.83%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开盘38.51元，最高38.69元，最低38.03元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约315万股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测算总市值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约307.04亿元，按总股本约8.00亿股及收盘价测算，并非行情页面直接显示值</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约15.3~17.8倍；不同平台因盈利口径、更新时间和价格匹配度不同存在差异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2026年9月4日至9月11日由40.02元降至38.38元，累计下跌约4.10%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由2026年7月30日约44.94元阶段高点回落至9月11日38.38元，阶段跌幅约14.6%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52周价格信息</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第三方页面显示52周高点约51.24元；52周低点字段存在滞后，按最新可见日内数据，2026年9月11日盘中低点已至38.03元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约39.09元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收盘价38.38元低于MA5，且MA5低于MA10和MA20，短线均线结构偏空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约39.48元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与MA5共同构成约39.1~39.5元的短期压力带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约40.13元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收盘价低于MA20；约40.0~40.2元可作为上方进一步压力观察区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根据最近6个交易日收盘价变化简化测算，处于传统意义上的超卖区域；超卖不等同于必然反弹，RSI也可能继续低位运行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上轨约41.77元，中轨约40.13元，下轨约38.50元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收盘价38.38元略低于自行测算的布林下轨，处于布林带下沿附近或轻微下破状态；若不能重新回到38.5元上方，弱势结构可能延续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最新DIF、DEA及柱值未能从公开来源完成交叉核验</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结合价格连续回落、收盘价低于多条均线及RSI6低位，方向性上大概率仍处于弱势或绿柱阶段，但该判断仅为价格序列推断，不能替代完整MACD计算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近期成交与量价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9月11日成交量约315万股，高于9月10日约236万股；7月30日成交量约445.78万股、成交额约1.96亿元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近期下跌过程中出现一定量能回升，但截至9月11日尚未出现明显放量恐慌性破位；9月11日收盘接近日内低点，短线仍有一定抛压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换手率与成交额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近期换手率约0.23%~0.32%，成交额多数约0.73亿~1.01亿元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属于低换手品种；市场情绪快速变化时，买卖盘深度可能不足，存在滑点或低成交量阴跌的可能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截至2026年6月30日，前十大流通股东合计持有约7.17亿股，占流通股本约89.67%；股东户数19,266户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筹码集中度较高，但股东数据存在季度级别滞后，不能完全代表2026年9月11日的实时持仓变化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机构持仓结构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截至2026年6月30日，机构持仓合计约占流通股本92.25%；其中其他机构84.69%、基金4.87%、券商1.26%、其他资管计划0.71%、保险公司0.58%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83%以上的其他机构持仓主要与控股股东SEB有关，不能简单理解为公募基金或一般机构投资者高度集中持仓；SEB持有约6.67亿股，持股比例约83.35%</w:t>
            </w:r>
          </w:p>
        </w:tc>
      </w:tr>
    </w:tbl>
    <w:p>
      <w:pPr>
        <w:spacing w:before="200"/>
      </w:pPr>
    </w:p>
    <w:p>
      <w:pPr>
        <w:spacing w:after="160" w:line="300"/>
      </w:pPr>
      <w:r>
        <w:rPr>
          <w:sz w:val="22"/>
          <w:szCs w:val="22"/>
        </w:rPr>
        <w:t xml:space="preserve">截至2026年9月11日，苏泊尔收盘38.38元，股价已连续多个交易日回落，较9月4日40.02元累计下跌约4.10%，较2026年7月30日约44.94元阶段高点回落约14.6%。收盘价低于MA5、MA10和MA20，且MA5低于MA10、MA20，短线均线结构偏空；RSI6约24，进入传统超卖区域，但不构成趋势反转确认。收盘价略低于布林下轨约38.50元，38.0~38.5元区域成为短线支撑观察区。近期成交额和成交量较前一日有所回升，但换手率仍处于约0.23%~0.32%的低位。股东集中度较高，控股股东SEB持股比例约83.35%，实际可自由交易筹码相对有限；股东结构数据截至2026年6月30日，存在季度滞后。个股9月11日主力资金净额未能获得可靠交叉验证，不对其作方向性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风险提示：以下内容仅为基于截至2026年9月11日收盘数据的主观情景推演，不构成投资建议，也不代表对未来实际价格的确定性预测。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39.1~39.5元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对应MA5、MA10及近期39.11~39.42元收盘价附近。若放量站回39.5元上方，短线弱势结构可能得到一定修复，进一步可观察40.0~40.2元区域。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38.0~38.5元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对应布林下轨约38.50元、9月11日盘中低点38.03元及近期低位成交区域。若该区间失守，短线支撑结构将进一步转弱；若重新站回38.5元上方，则可能出现技术性修复。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37.5~38.0元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若有效跌破38.0元，近期低点支撑可能失守，价格或向37.5元附近寻找新的短线支撑。该区间基于近期价格结构观察，因未取得更长周期完整筹码峰数据，不是确定性支撑位。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面和资金流动性的主观启发式判断，不是统计概率）：价格区间约38.0~39.5元。触发条件为股价在38.0~38.5元附近获得承接，但成交额未持续明显高于近期正常范围，同时39.1~39.5元压力区难以有效突破。对应表现可能是38元附近反复测试支撑、39元附近遇到抛压，形成弱势横盘或低位震荡。</w:t>
      </w:r>
    </w:p>
    <w:p>
      <w:pPr>
        <w:pStyle w:val="ListParagraph"/>
        <w:numPr>
          <w:ilvl w:val="0"/>
          <w:numId w:val="2"/>
        </w:numPr>
        <w:spacing w:after="80" w:line="280"/>
      </w:pPr>
      <w:r>
        <w:rPr>
          <w:sz w:val="22"/>
          <w:szCs w:val="22"/>
        </w:rPr>
        <w:t xml:space="preserve">偏弱下行（权重中等；为主观情景权重，不是统计概率）：价格区间约37.5~38.3元。触发条件为收盘有效跌破38.0元，且成交额连续放大至1.1亿元以上，同时大盘或可选消费、家电板块继续走弱。若出现放量长阴，技术面弱势程度可能进一步提升；若跌破38.0元后，价格可能向37.5元附近寻找新的短线支撑。</w:t>
      </w:r>
    </w:p>
    <w:p>
      <w:pPr>
        <w:pStyle w:val="ListParagraph"/>
        <w:numPr>
          <w:ilvl w:val="0"/>
          <w:numId w:val="2"/>
        </w:numPr>
        <w:spacing w:after="80" w:line="280"/>
      </w:pPr>
      <w:r>
        <w:rPr>
          <w:sz w:val="22"/>
          <w:szCs w:val="22"/>
        </w:rPr>
        <w:t xml:space="preserve">反弹走强（权重偏低，但不能完全排除；为主观情景权重，不是统计概率）：价格区间约39.3~40.2元。触发条件为股价在38.0~38.5元区域止跌，单日成交额放大至1.1亿~1.2亿元以上，并且收盘重新站上39.1~39.5元；若家电或大消费板块同步修复，反弹可信度可能提高。若继续站稳39.5元，可进一步观察40.0~40.2元区域；若反弹无成交量配合，需警惕持续性不足。</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换手率约0.23%~0.32%，成交额多数约0.73亿~1.01亿元，9月11日成交量约315万股，按38元左右价格估算成交额约1.20亿元，但精确成交额和换手率未在同一页面同步披露。低换手和高集中度意味着日常交易冲击相对有限，但在市场情绪快速变化时，买卖盘深度可能不足，价格可能出现滑点或低成交量阴跌。截至2026年6月30日，前十大流通股东合计持有约89.67%的流通股本，控股股东SEB持股约83.35%；其中机构持仓统计中的“其他机构”占比约84.69%，主要与控股股东持股有关，不能简单视为公募基金或一般机构投资者持仓。上述股东数据距2026年9月11日已有约两个半月，可能已发生变化。若单日成交额达到1.1亿~1.2亿元以上，并连续至少两个交易日维持，同时收盘价站上39.5元，可作为短线资金参与度改善的观察信号；若成交额放大但收盘跌破38.0元，则更偏向风险释放或抛压释放信号。</w:t>
      </w:r>
    </w:p>
    <w:p>
      <w:pPr>
        <w:spacing w:after="160" w:line="300"/>
      </w:pPr>
      <w:r>
        <w:rPr>
          <w:sz w:val="22"/>
          <w:szCs w:val="22"/>
        </w:rPr>
        <w:t xml:space="preserve">量能确认观察信号：若单日成交额达到1.1亿~1.2亿元以上并连续至少两个交易日维持，同时股价收盘站上39.5元，可视为资金参与度改善的观察信号；若放量同时跌破38.0元，则不宜仅凭成交额增加判断转强。</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观察38.0~38.5元区域能否形成有效承接，以及跌破38.0元后是否伴随成交额放大。</w:t>
      </w:r>
    </w:p>
    <w:p>
      <w:pPr>
        <w:pStyle w:val="ListParagraph"/>
        <w:numPr>
          <w:ilvl w:val="0"/>
          <w:numId w:val="2"/>
        </w:numPr>
        <w:spacing w:after="80" w:line="280"/>
      </w:pPr>
      <w:r>
        <w:rPr>
          <w:sz w:val="22"/>
          <w:szCs w:val="22"/>
        </w:rPr>
        <w:t xml:space="preserve">观察股价能否重新站上39.1~39.5元，并确认是否有1.1亿~1.2亿元以上成交额配合。</w:t>
      </w:r>
    </w:p>
    <w:p>
      <w:pPr>
        <w:pStyle w:val="ListParagraph"/>
        <w:numPr>
          <w:ilvl w:val="0"/>
          <w:numId w:val="2"/>
        </w:numPr>
        <w:spacing w:after="80" w:line="280"/>
      </w:pPr>
      <w:r>
        <w:rPr>
          <w:sz w:val="22"/>
          <w:szCs w:val="22"/>
        </w:rPr>
        <w:t xml:space="preserve">观察RSI6低位是否回升，但不将单一超卖指标视为趋势反转依据。</w:t>
      </w:r>
    </w:p>
    <w:p>
      <w:pPr>
        <w:pStyle w:val="ListParagraph"/>
        <w:numPr>
          <w:ilvl w:val="0"/>
          <w:numId w:val="2"/>
        </w:numPr>
        <w:spacing w:after="80" w:line="280"/>
      </w:pPr>
      <w:r>
        <w:rPr>
          <w:sz w:val="22"/>
          <w:szCs w:val="22"/>
        </w:rPr>
        <w:t xml:space="preserve">观察家电及大消费板块是否同步走强，以及苏泊尔成交额能否连续达到1.1亿~1.2亿元以上。以上均为观察思路，非操作指令。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苏泊尔所处行业包括厨房小家电、炊具及厨房用具、厨卫电器和生活家居电器。厨房小家电已从高速增长阶段进入成熟及存量竞争阶段；炊具品牌集中度相对较高，竞争围绕材料技术、不粘性能、耐用性、设计、渠道和品牌展开；厨卫及生活家居电器则存在较多综合家电和专业品牌竞争。2025年国内厨房小家电整体零售额约633亿元，同比增长3.8%。</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美的、苏泊尔、九阳构成厨房小家电第一梯队，依靠品牌、研发、渠道和供应链规模占据主要市场份额。</w:t>
      </w:r>
    </w:p>
    <w:p>
      <w:pPr>
        <w:pStyle w:val="ListParagraph"/>
        <w:numPr>
          <w:ilvl w:val="0"/>
          <w:numId w:val="2"/>
        </w:numPr>
        <w:spacing w:after="80" w:line="280"/>
      </w:pPr>
      <w:r>
        <w:rPr>
          <w:sz w:val="22"/>
          <w:szCs w:val="22"/>
        </w:rPr>
        <w:t xml:space="preserve">传统电饭煲、电压力锅、电水壶等刚需品类增长有限，空气炸锅、破壁机等部分品类经历需求透支或价格竞争，企业需要通过产品升级和细分场景创造增量。</w:t>
      </w:r>
    </w:p>
    <w:p>
      <w:pPr>
        <w:pStyle w:val="ListParagraph"/>
        <w:numPr>
          <w:ilvl w:val="0"/>
          <w:numId w:val="2"/>
        </w:numPr>
        <w:spacing w:after="80" w:line="280"/>
      </w:pPr>
      <w:r>
        <w:rPr>
          <w:sz w:val="22"/>
          <w:szCs w:val="22"/>
        </w:rPr>
        <w:t xml:space="preserve">线上渠道重要性提高，直播电商、抖音、即时零售和平台直营改变传统经销体系；流量获取、内容营销、平台费用和库存管理成为重要经营变量。</w:t>
      </w:r>
    </w:p>
    <w:p>
      <w:pPr>
        <w:pStyle w:val="ListParagraph"/>
        <w:numPr>
          <w:ilvl w:val="0"/>
          <w:numId w:val="2"/>
        </w:numPr>
        <w:spacing w:after="80" w:line="280"/>
      </w:pPr>
      <w:r>
        <w:rPr>
          <w:sz w:val="22"/>
          <w:szCs w:val="22"/>
        </w:rPr>
        <w:t xml:space="preserve">制造端向规模化、柔性化和海外化发展，企业通过大规模制造、OEM/ODM和海外市场拓展提高产能利用率；品牌商则依靠研发、渠道和品牌溢价提升毛利率。</w:t>
      </w:r>
    </w:p>
    <w:p>
      <w:pPr>
        <w:pStyle w:val="ListParagraph"/>
        <w:numPr>
          <w:ilvl w:val="0"/>
          <w:numId w:val="2"/>
        </w:numPr>
        <w:spacing w:after="80" w:line="280"/>
      </w:pPr>
      <w:r>
        <w:rPr>
          <w:sz w:val="22"/>
          <w:szCs w:val="22"/>
        </w:rPr>
        <w:t xml:space="preserve">铝、铜、不锈钢、塑料等原材料价格以及电商投放、直播佣金、促销折扣和渠道返利，是影响行业利润率的主要变量。</w:t>
      </w:r>
    </w:p>
    <w:p>
      <w:pPr>
        <w:pStyle w:val="ListParagraph"/>
        <w:numPr>
          <w:ilvl w:val="0"/>
          <w:numId w:val="2"/>
        </w:numPr>
        <w:spacing w:after="80" w:line="280"/>
      </w:pPr>
      <w:r>
        <w:rPr>
          <w:sz w:val="22"/>
          <w:szCs w:val="22"/>
        </w:rPr>
        <w:t xml:space="preserve">苏泊尔在明火炊具领域具备较强品牌优势；根据公司引用的奥维云网数据，2025年苏泊尔炊具市场份额在线上和线下均保持第一。该市场份额数据未能从奥维云网原始数据库独立复核。</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美的集团（000333）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综合家电龙头，覆盖白电、厨电、小家电及清洁电器。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规模、品类、供应链和渠道能力强，在电饭煲、电磁炉、空气炸锅和厨房电器等品类与苏泊尔直接竞争；更偏综合家电平台和规模成本优势，可能对苏泊尔形成中低端价格压力。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九阳股份（002242）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以厨房小家电为核心的自主品牌企业。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在豆浆机、破壁机、料理机等健康小家电领域品牌认知较强；苏泊尔在炊具、饭煲、电压力锅、燃气灶和综合家居品类方面更均衡。九阳2025年年报称主要产品均位列行业前三，但2025年营业收入同比下降。</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小熊电器（002959）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年轻化、互联网化和细分场景小家电品牌。</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重视线上渠道，在养生壶、煮蛋器、酸奶机、绞肉机等小容量、个性化产品中具有差异化；苏泊尔品牌历史、线下渠道、炊具业务和大规模制造能力更强。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新宝股份（002705）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厨房小家电ODM/OEM制造商，同时经营自有品牌。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出口制造、客户开发和海外渠道能力较强；相较新宝，苏泊尔拥有更强的中国本土品牌和终端渠道，品牌及分销业务占比更高。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北鼎股份（300824）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中高端厨房小家电和生活家电品牌。</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聚焦养生壶、烤箱、蒸炖锅等产品，优势在高端定位、设计和小众细分品类；苏泊尔产品覆盖更广，拥有从大众刚需到中高端产品的完整价格带和更广泛的线下渠道。</w:t>
            </w:r>
          </w:p>
        </w:tc>
      </w:tr>
    </w:tbl>
    <w:p>
      <w:pPr>
        <w:spacing w:before="200"/>
      </w:pPr>
    </w:p>
    <w:p>
      <w:pPr>
        <w:spacing w:after="160" w:line="300"/>
      </w:pPr>
      <w:r>
        <w:rPr>
          <w:sz w:val="22"/>
          <w:szCs w:val="22"/>
        </w:rPr>
        <w:t xml:space="preserve">苏泊尔相较美的更聚焦炊具、厨房小家电品牌专业度及线下厨具渠道；相较九阳覆盖更均衡；相较小熊拥有更强的品牌历史、线下渠道和规模制造能力；相较新宝更偏品牌和终端渠道，而非纯制造出口；相较北鼎产品覆盖更广、价格带更完整。行业竞争优势主要来自品牌认知、研发、渠道、规模采购、制造能力及SEB全球供应链协同；主要压力来自存量竞争、线上价格战、原材料价格波动、外销订单变化和SEB客户集中度较高。</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外销及SEB客户依赖风险：2025年外销收入占营业收入32.66%，出口代工收入占32.65%，SEB及其附属公司销售额占29.91%；2026年上半年外销收入同比下降约4.7%，若SEB订单继续减少，公司收入、产能利用率和利润均可能承压。</w:t>
      </w:r>
    </w:p>
    <w:p>
      <w:pPr>
        <w:pStyle w:val="ListParagraph"/>
        <w:numPr>
          <w:ilvl w:val="0"/>
          <w:numId w:val="2"/>
        </w:numPr>
        <w:spacing w:after="80" w:line="280"/>
      </w:pPr>
      <w:r>
        <w:rPr>
          <w:sz w:val="22"/>
          <w:szCs w:val="22"/>
        </w:rPr>
        <w:t xml:space="preserve">客户及应收账款集中风险：截至2025年末，SEB及其附属公司款项占应收账款余额53.37%，公司应收账款质量与SEB付款能力密切相关；若订单、结算或付款周期发生变化，可能对现金流和营运资金形成影响。</w:t>
      </w:r>
    </w:p>
    <w:p>
      <w:pPr>
        <w:pStyle w:val="ListParagraph"/>
        <w:numPr>
          <w:ilvl w:val="0"/>
          <w:numId w:val="2"/>
        </w:numPr>
        <w:spacing w:after="80" w:line="280"/>
      </w:pPr>
      <w:r>
        <w:rPr>
          <w:sz w:val="22"/>
          <w:szCs w:val="22"/>
        </w:rPr>
        <w:t xml:space="preserve">原材料成本风险：炊具及小家电主要使用铝、铜、不锈钢、塑料及电子元器件等材料，公司对上述材料总体缺乏绝对定价权；2026年上半年公司已披露原材料成本上升对利润形成压力，若成本上涨而产品价格和结构调整不足，毛利率可能继续下降。</w:t>
      </w:r>
    </w:p>
    <w:p>
      <w:pPr>
        <w:pStyle w:val="ListParagraph"/>
        <w:numPr>
          <w:ilvl w:val="0"/>
          <w:numId w:val="2"/>
        </w:numPr>
        <w:spacing w:after="80" w:line="280"/>
      </w:pPr>
      <w:r>
        <w:rPr>
          <w:sz w:val="22"/>
          <w:szCs w:val="22"/>
        </w:rPr>
        <w:t xml:space="preserve">盈利能力下行风险：公司整体净利率由2022年约10.25%降至2025年约9.21%，2026年上半年归母净利润同比下降7.70%；若销售费用持续增长、出口代工低毛利占比维持高位，收入增长可能无法同步转化为利润增长。</w:t>
      </w:r>
    </w:p>
    <w:p>
      <w:pPr>
        <w:pStyle w:val="ListParagraph"/>
        <w:numPr>
          <w:ilvl w:val="0"/>
          <w:numId w:val="2"/>
        </w:numPr>
        <w:spacing w:after="80" w:line="280"/>
      </w:pPr>
      <w:r>
        <w:rPr>
          <w:sz w:val="22"/>
          <w:szCs w:val="22"/>
        </w:rPr>
        <w:t xml:space="preserve">国内市场竞争及渠道费用风险：传统厨房小家电处于成熟和存量竞争阶段，线上平台、直播电商和促销竞争可能推高流量、佣金、返利及投放成本；公司2026年上半年销售费用同比增长约8.1%，若费用效率未改善，内销增长的利润贡献可能受限。</w:t>
      </w:r>
    </w:p>
    <w:p>
      <w:pPr>
        <w:pStyle w:val="ListParagraph"/>
        <w:numPr>
          <w:ilvl w:val="0"/>
          <w:numId w:val="2"/>
        </w:numPr>
        <w:spacing w:after="80" w:line="280"/>
      </w:pPr>
      <w:r>
        <w:rPr>
          <w:sz w:val="22"/>
          <w:szCs w:val="22"/>
        </w:rPr>
        <w:t xml:space="preserve">股权及交易流动性风险：控股股东SEB持股比例约83.35%，拟注销300万股回购股份后持股比例预计升至约83.66%；截至2026年6月30日前十大流通股东合计持有约89.67%的流通股本，市场实际可交易筹码相对有限，低换手环境下可能出现成交不足、价格波动或滑点加大的情况。</w:t>
      </w:r>
    </w:p>
    <w:p>
      <w:pPr>
        <w:pStyle w:val="ListParagraph"/>
        <w:numPr>
          <w:ilvl w:val="0"/>
          <w:numId w:val="2"/>
        </w:numPr>
        <w:spacing w:after="80" w:line="280"/>
      </w:pPr>
      <w:r>
        <w:rPr>
          <w:sz w:val="22"/>
          <w:szCs w:val="22"/>
        </w:rPr>
        <w:t xml:space="preserve">技术面走弱风险：截至2026年9月11日股价较2026年7月30日阶段高点回落约14.6%，收盘价低于MA5、MA10和MA20，且略低于布林下轨约38.50元；若38.0元附近支撑失守并伴随成交额放大，短线弱势可能延续。</w:t>
      </w:r>
    </w:p>
    <w:p>
      <w:pPr>
        <w:pStyle w:val="ListParagraph"/>
        <w:numPr>
          <w:ilvl w:val="0"/>
          <w:numId w:val="2"/>
        </w:numPr>
        <w:spacing w:after="80" w:line="280"/>
      </w:pPr>
      <w:r>
        <w:rPr>
          <w:sz w:val="22"/>
          <w:szCs w:val="22"/>
        </w:rPr>
        <w:t xml:space="preserve">公司治理事项尚未完成风险：股票期权激励计划、回购股份注销、吸收合并全资子公司及未来三年分红规划截至2026年9月13日均尚待股东会审议，相关事项存在未获通过、调整或延期的可能，不能提前计入经营或股东回报结果。</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苏泊尔未来增长逻辑主要在于炊具品牌优势和市场份额基础、厨房小家电产品升级、内销渠道效率提升、直营及高毛利业务占比改善，以及SEB全球供应链和海外渠道协同。公司拟推出股票期权激励计划、第四期业绩激励基金，并制定2026—2028年原则上不低于可分配利润60%的现金分红规划，若相关议案获审议通过，可能有助于强化管理层激励和股东回报预期；但上述事项截至2026年9月13日仍有待股东会审议，不能视为已经完成。</w:t>
      </w:r>
    </w:p>
    <w:p>
      <w:pPr>
        <w:spacing w:after="160" w:line="300"/>
      </w:pPr>
      <w:r>
        <w:rPr>
          <w:sz w:val="22"/>
          <w:szCs w:val="22"/>
        </w:rPr>
        <w:t xml:space="preserve">短期基本面仍需观察外销订单、销售费用率、原材料成本和汇率变化。机构预测显示2027年归母净利润平均约22.46亿元、同比增长约7.26%，2028年平均约23.64亿元、同比增长约5.25%，但预测区间存在较大分歧，且不属于公司业绩承诺。公司若能实现外销恢复、内销需求改善和高毛利产品及渠道占比提升，利润率有望逐步修复；若外销继续走弱、线上竞争加剧或成本压力延续，则收入增长和盈利修复可能低于预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https://disc.static.szse.cn/disc/disk03/finalpage/2026-04-03/cfb71f85-e5f3-4b01-8e0e-36ecc8b71fa7.PDF — https://disc.static.szse.cn/disc/disk03/finalpage/2026-04-03/cfb71f85-e5f3-4b01-8e0e-36ecc8b71fa7.PDF</w:t>
      </w:r>
    </w:p>
    <w:p>
      <w:pPr>
        <w:spacing w:after="200"/>
      </w:pPr>
      <w:r>
        <w:rPr>
          <w:i/>
          <w:iCs/>
          <w:color w:val="595959"/>
          <w:sz w:val="18"/>
          <w:szCs w:val="18"/>
        </w:rPr>
        <w:t xml:space="preserve">苏 泊 尔: 苏泊尔2025年度环境、社会及治理（ESG）报告_股票频道_证券之星 — https://stock.stockstar.com/notice/SN2026040200040109.shtml</w:t>
      </w:r>
    </w:p>
    <w:p>
      <w:pPr>
        <w:spacing w:after="200"/>
      </w:pPr>
      <w:r>
        <w:rPr>
          <w:i/>
          <w:iCs/>
          <w:color w:val="595959"/>
          <w:sz w:val="18"/>
          <w:szCs w:val="18"/>
        </w:rPr>
        <w:t xml:space="preserve">苏泊尔(002032)_公司公告_苏泊尔：2025年半年度报告新浪财经_新浪网 — https://money.finance.sina.com.cn/corp/view/vCB_AllBulletinDetail.php?id=11413193&amp;stockid=002032&amp;utm_source=openai</w:t>
      </w:r>
    </w:p>
    <w:p>
      <w:pPr>
        <w:spacing w:after="200"/>
      </w:pPr>
      <w:r>
        <w:rPr>
          <w:i/>
          <w:iCs/>
          <w:color w:val="595959"/>
          <w:sz w:val="18"/>
          <w:szCs w:val="18"/>
        </w:rPr>
        <w:t xml:space="preserve">苏泊尔(002032)_公司公告_苏泊尔：2022年年度报告新浪财经_新浪网 — https://money.finance.sina.com.cn/corp/view/vCB_AllBulletinDetail.php?id=8937297&amp;stockid=002032&amp;utm_source=openai</w:t>
      </w:r>
    </w:p>
    <w:p>
      <w:pPr>
        <w:spacing w:after="200"/>
      </w:pPr>
      <w:r>
        <w:rPr>
          <w:i/>
          <w:iCs/>
          <w:color w:val="595959"/>
          <w:sz w:val="18"/>
          <w:szCs w:val="18"/>
        </w:rPr>
        <w:t xml:space="preserve">苏泊尔(002032)_公司公告_苏泊尔：2023年年度报告新浪财经_新浪网 — https://money.finance.sina.com.cn/corp/view/vCB_AllBulletinDetail.php?id=9921359&amp;stockid=002032&amp;utm_source=openai</w:t>
      </w:r>
    </w:p>
    <w:p>
      <w:pPr>
        <w:spacing w:after="200"/>
      </w:pPr>
      <w:r>
        <w:rPr>
          <w:i/>
          <w:iCs/>
          <w:color w:val="595959"/>
          <w:sz w:val="18"/>
          <w:szCs w:val="18"/>
        </w:rPr>
        <w:t xml:space="preserve">https://static.cninfo.com.cn/finalpage/2025-03-28/1222928386.PDF — https://static.cninfo.com.cn/finalpage/2025-03-28/1222928386.PDF</w:t>
      </w:r>
    </w:p>
    <w:p>
      <w:pPr>
        <w:spacing w:after="200"/>
      </w:pPr>
      <w:r>
        <w:rPr>
          <w:i/>
          <w:iCs/>
          <w:color w:val="595959"/>
          <w:sz w:val="18"/>
          <w:szCs w:val="18"/>
        </w:rPr>
        <w:t xml:space="preserve">美的集团股份有限公司 2025 年年度报告全文 — https://www.midea.com.cn/content/dam/mideacn-aem/%E6%8A%95%E8%B5%84%E8%80%85%E5%85%B3%E7%B3%BB/2025%E5%B9%B4%E5%BA%A6%E6%8A%A5%E5%91%8A.pdf.coredownload.inline.pdf?utm_source=openai</w:t>
      </w:r>
    </w:p>
    <w:p>
      <w:pPr>
        <w:spacing w:after="200"/>
      </w:pPr>
      <w:r>
        <w:rPr>
          <w:i/>
          <w:iCs/>
          <w:color w:val="595959"/>
          <w:sz w:val="18"/>
          <w:szCs w:val="18"/>
        </w:rPr>
        <w:t xml:space="preserve">九阳股份有限公司 2025 年年度报告摘要 — https://disc.static.szse.cn/download/disc/disk03/finalpage/2026-03-27/f8323282-5f5a-41f0-b018-72864265385d.PDF?utm_source=openai</w:t>
      </w:r>
    </w:p>
    <w:p>
      <w:pPr>
        <w:spacing w:after="200"/>
      </w:pPr>
      <w:r>
        <w:rPr>
          <w:i/>
          <w:iCs/>
          <w:color w:val="595959"/>
          <w:sz w:val="18"/>
          <w:szCs w:val="18"/>
        </w:rPr>
        <w:t xml:space="preserve">[华西证券]：厨房小家电复盘及品牌竞争策略梳理报告 - 发现报告 — https://www.fxbaogao.com/detail/4669851?utm_source=openai</w:t>
      </w:r>
    </w:p>
    <w:p>
      <w:pPr>
        <w:spacing w:after="200"/>
      </w:pPr>
      <w:r>
        <w:rPr>
          <w:i/>
          <w:iCs/>
          <w:color w:val="595959"/>
          <w:sz w:val="18"/>
          <w:szCs w:val="18"/>
        </w:rPr>
        <w:t xml:space="preserve">2026-2032年中国厨房小家电行业市场竞争态势及发展战略研判报告_智研咨询 — https://www.chyxx.com/research/1211596.html?utm_source=openai</w:t>
      </w:r>
    </w:p>
    <w:p>
      <w:pPr>
        <w:spacing w:after="200"/>
      </w:pPr>
      <w:r>
        <w:rPr>
          <w:i/>
          <w:iCs/>
          <w:color w:val="595959"/>
          <w:sz w:val="18"/>
          <w:szCs w:val="18"/>
        </w:rPr>
        <w:t xml:space="preserve">https://static.cninfo.com.cn/finalpage/2026-08-28/1225522987.PDF — https://static.cninfo.com.cn/finalpage/2026-08-28/1225522987.PDF</w:t>
      </w:r>
    </w:p>
    <w:p>
      <w:pPr>
        <w:spacing w:after="200"/>
      </w:pPr>
      <w:r>
        <w:rPr>
          <w:i/>
          <w:iCs/>
          <w:color w:val="595959"/>
          <w:sz w:val="18"/>
          <w:szCs w:val="18"/>
        </w:rPr>
        <w:t xml:space="preserve">苏泊尔(002032)_公司公告_苏泊尔：2026年半年度报告新浪财经_新浪网 — https://money.finance.sina.com.cn/corp/view/vCB_AllBulletinDetail.php?id=12563787&amp;stockid=002032</w:t>
      </w:r>
    </w:p>
    <w:p>
      <w:pPr>
        <w:spacing w:after="200"/>
      </w:pPr>
      <w:r>
        <w:rPr>
          <w:i/>
          <w:iCs/>
          <w:color w:val="595959"/>
          <w:sz w:val="18"/>
          <w:szCs w:val="18"/>
        </w:rPr>
        <w:t xml:space="preserve">苏泊尔(002032)_公司公告_苏泊尔：2026年半年度报告新浪财经_新浪网 — https://money.finance.sina.com.cn/corp/view/vCB_AllBulletinDetail.php?id=12563787&amp;stockid=002032&amp;utm_source=openai</w:t>
      </w:r>
    </w:p>
    <w:p>
      <w:pPr>
        <w:spacing w:after="200"/>
      </w:pPr>
      <w:r>
        <w:rPr>
          <w:i/>
          <w:iCs/>
          <w:color w:val="595959"/>
          <w:sz w:val="18"/>
          <w:szCs w:val="18"/>
        </w:rPr>
        <w:t xml:space="preserve">苏泊尔(002032)_公司公告_苏泊尔：2025年度业绩快报新浪财经_新浪网 — https://money.finance.sina.com.cn/corp/view/vCB_AllBulletinDetail.php?id=11969445&amp;stockid=002032&amp;utm_source=openai</w:t>
      </w:r>
    </w:p>
    <w:p>
      <w:pPr>
        <w:spacing w:after="200"/>
      </w:pPr>
      <w:r>
        <w:rPr>
          <w:i/>
          <w:iCs/>
          <w:color w:val="595959"/>
          <w:sz w:val="18"/>
          <w:szCs w:val="18"/>
        </w:rPr>
        <w:t xml:space="preserve">苏泊尔(002032) 盈利预测_F10_同花顺金融服务网 — https://basic.10jqka.com.cn/002032/worth.html</w:t>
      </w:r>
    </w:p>
    <w:p>
      <w:pPr>
        <w:spacing w:after="200"/>
      </w:pPr>
      <w:r>
        <w:rPr>
          <w:i/>
          <w:iCs/>
          <w:color w:val="595959"/>
          <w:sz w:val="18"/>
          <w:szCs w:val="18"/>
        </w:rPr>
        <w:t xml:space="preserve">www.fxbaogao.com — https://www.fxbaogao.com/detail/5653127</w:t>
      </w:r>
    </w:p>
    <w:p>
      <w:pPr>
        <w:spacing w:after="200"/>
      </w:pPr>
      <w:r>
        <w:rPr>
          <w:i/>
          <w:iCs/>
          <w:color w:val="595959"/>
          <w:sz w:val="18"/>
          <w:szCs w:val="18"/>
        </w:rPr>
        <w:t xml:space="preserve">苏泊尔(002032)2025年年报点评：内销韧性延续 外销阶段承压__新浪财经_新浪网 — https://stock.finance.sina.com.cn/stock/go.php/vReport_Show/kind/lastest/rptid/828921874284/index.phtml?utm_source=openai</w:t>
      </w:r>
    </w:p>
    <w:p>
      <w:pPr>
        <w:spacing w:after="200"/>
      </w:pPr>
      <w:r>
        <w:rPr>
          <w:i/>
          <w:iCs/>
          <w:color w:val="595959"/>
          <w:sz w:val="18"/>
          <w:szCs w:val="18"/>
        </w:rPr>
        <w:t xml:space="preserve">苏泊尔(002032)_股票行情，行情首页_中财网 — https://quotewh.cfi.cn/quote2078_002032.html?utm_source=openai</w:t>
      </w:r>
    </w:p>
    <w:p>
      <w:pPr>
        <w:spacing w:after="200"/>
      </w:pPr>
      <w:r>
        <w:rPr>
          <w:i/>
          <w:iCs/>
          <w:color w:val="595959"/>
          <w:sz w:val="18"/>
          <w:szCs w:val="18"/>
        </w:rPr>
        <w:t xml:space="preserve">苏泊尔(002032)_公司公告_苏泊尔：关于注销部分回购股份的公告新浪财经_新浪网 — https://vip.stock.finance.sina.com.cn/corp/view/vCB_AllBulletinDetail.php?id=12563782&amp;stockid=002032&amp;utm_source=openai</w:t>
      </w:r>
    </w:p>
    <w:p>
      <w:pPr>
        <w:spacing w:after="200"/>
      </w:pPr>
      <w:r>
        <w:rPr>
          <w:i/>
          <w:iCs/>
          <w:color w:val="595959"/>
          <w:sz w:val="18"/>
          <w:szCs w:val="18"/>
        </w:rPr>
        <w:t xml:space="preserve">公司公告_苏泊尔：董事会薪酬与考核委员会关于公司2026年股票期权激励计划激励对象名单的核查意见新浪财经_新浪网 — https://vip.stock.finance.sina.com.cn/corp/view/vCB_AllBulletinDetail.php?id=12592712&amp;stockid=&amp;utm_source=openai</w:t>
      </w:r>
    </w:p>
    <w:p>
      <w:pPr>
        <w:spacing w:after="200"/>
      </w:pPr>
      <w:r>
        <w:rPr>
          <w:i/>
          <w:iCs/>
          <w:color w:val="595959"/>
          <w:sz w:val="18"/>
          <w:szCs w:val="18"/>
        </w:rPr>
        <w:t xml:space="preserve">苏泊尔(002032)_公司公告_苏泊尔：关于召开2026年第一次临时股东会的通知新浪财经_新浪网 — https://money.finance.sina.com.cn/corp/view/vCB_AllBulletinDetail.php?id=12563777&amp;stockid=002032&amp;utm_source=openai</w:t>
      </w:r>
    </w:p>
    <w:p>
      <w:pPr>
        <w:spacing w:after="200"/>
      </w:pPr>
      <w:r>
        <w:rPr>
          <w:i/>
          <w:iCs/>
          <w:color w:val="595959"/>
          <w:sz w:val="18"/>
          <w:szCs w:val="18"/>
        </w:rPr>
        <w:t xml:space="preserve">浙江苏泊尔股份有限公司 — https://static.cninfo.com.cn/finalpage/2026-08-28/1225522991.PDF?utm_source=openai</w:t>
      </w:r>
    </w:p>
    <w:p>
      <w:pPr>
        <w:spacing w:after="200"/>
      </w:pPr>
      <w:r>
        <w:rPr>
          <w:i/>
          <w:iCs/>
          <w:color w:val="595959"/>
          <w:sz w:val="18"/>
          <w:szCs w:val="18"/>
        </w:rPr>
        <w:t xml:space="preserve">苏泊尔(002032)_公司公告_苏泊尔：关于合并吸收子公司的公告新浪财经_新浪网 — https://vip.stock.finance.sina.com.cn/corp/view/vCB_AllBulletinDetail.php?id=12563778&amp;stockid=002032&amp;utm_source=openai</w:t>
      </w:r>
    </w:p>
    <w:p>
      <w:pPr>
        <w:spacing w:after="200"/>
      </w:pPr>
      <w:r>
        <w:rPr>
          <w:i/>
          <w:iCs/>
          <w:color w:val="595959"/>
          <w:sz w:val="18"/>
          <w:szCs w:val="18"/>
        </w:rPr>
        <w:t xml:space="preserve">浙江苏泊尔股份有限公司 — https://static.cninfo.com.cn/finalpage/2026-07-23/1225436982.PDF?utm_source=openai</w:t>
      </w:r>
    </w:p>
    <w:p>
      <w:pPr>
        <w:spacing w:after="200"/>
      </w:pPr>
      <w:r>
        <w:rPr>
          <w:i/>
          <w:iCs/>
          <w:color w:val="595959"/>
          <w:sz w:val="18"/>
          <w:szCs w:val="18"/>
        </w:rPr>
        <w:t xml:space="preserve">苏泊尔(002032)_公司公告_苏泊尔：关于公司高级管理人员减持股份计划实施完毕的公告新浪财经_新浪网 — https://vip.stock.finance.sina.com.cn/corp/view/vCB_AllBulletinDetail.php?CompanyCode=10001426&amp;gather=1&amp;id=12441782&amp;utm_source=openai</w:t>
      </w:r>
    </w:p>
    <w:p>
      <w:pPr>
        <w:spacing w:after="200"/>
      </w:pPr>
      <w:r>
        <w:rPr>
          <w:i/>
          <w:iCs/>
          <w:color w:val="595959"/>
          <w:sz w:val="18"/>
          <w:szCs w:val="18"/>
        </w:rPr>
        <w:t xml:space="preserve">苏泊尔(002032)_公司公告_苏泊尔：投资者关系管理信息20260831新浪财经_新浪网 — https://money.finance.sina.com.cn/corp/view/vCB_AllBulletinDetail.php?id=12575302&amp;stockid=002032&amp;utm_source=openai</w:t>
      </w:r>
    </w:p>
    <w:p>
      <w:pPr>
        <w:spacing w:after="200"/>
      </w:pPr>
      <w:r>
        <w:rPr>
          <w:i/>
          <w:iCs/>
          <w:color w:val="595959"/>
          <w:sz w:val="18"/>
          <w:szCs w:val="18"/>
        </w:rPr>
        <w:t xml:space="preserve">苏泊尔(002032)_股票行情，行情首页_中财网 — https://quotewh.cfi.cn/quote2078_002032.html</w:t>
      </w:r>
    </w:p>
    <w:p>
      <w:pPr>
        <w:spacing w:after="200"/>
      </w:pPr>
      <w:r>
        <w:rPr>
          <w:i/>
          <w:iCs/>
          <w:color w:val="595959"/>
          <w:sz w:val="18"/>
          <w:szCs w:val="18"/>
        </w:rPr>
        <w:t xml:space="preserve">苏 泊 尔(002032)股票历史数据:历史行情,价格,走势图表_英为财情Investing.com — https://cn.investing.com/equities/zhejiang-supor-a-historical-data?utm_source=openai</w:t>
      </w:r>
    </w:p>
    <w:p>
      <w:pPr>
        <w:spacing w:after="200"/>
      </w:pPr>
      <w:r>
        <w:rPr>
          <w:i/>
          <w:iCs/>
          <w:color w:val="595959"/>
          <w:sz w:val="18"/>
          <w:szCs w:val="18"/>
        </w:rPr>
        <w:t xml:space="preserve">苏泊尔(002032)市盈率|估值|基本面 - 理杏仁 — https://www.lixinger.com/equity/company/detail/sz/002032/2032/fundamental/valuation/pe-ttm?utm_source=openai</w:t>
      </w:r>
    </w:p>
    <w:p>
      <w:pPr>
        <w:spacing w:after="200"/>
      </w:pPr>
      <w:r>
        <w:rPr>
          <w:i/>
          <w:iCs/>
          <w:color w:val="595959"/>
          <w:sz w:val="18"/>
          <w:szCs w:val="18"/>
        </w:rPr>
        <w:t xml:space="preserve">苏泊尔 (002032) - 历史交易数据 | 打板客网 — https://dabanke.com/hangqing-002032.html</w:t>
      </w:r>
    </w:p>
    <w:p>
      <w:pPr>
        <w:spacing w:after="200"/>
      </w:pPr>
      <w:r>
        <w:rPr>
          <w:i/>
          <w:iCs/>
          <w:color w:val="595959"/>
          <w:sz w:val="18"/>
          <w:szCs w:val="18"/>
        </w:rPr>
        <w:t xml:space="preserve">资金流向周报：275只股主力资金净流入超亿元 _ 东方财富网 — https://finance.eastmoney.com/a/202609113872119952.html?utm_source=openai</w:t>
      </w:r>
    </w:p>
    <w:p>
      <w:pPr>
        <w:spacing w:after="200"/>
      </w:pPr>
      <w:r>
        <w:rPr>
          <w:i/>
          <w:iCs/>
          <w:color w:val="595959"/>
          <w:sz w:val="18"/>
          <w:szCs w:val="18"/>
        </w:rPr>
        <w:t xml:space="preserve">苏泊尔(002032)_股票行情，行情首页_中财网 — https://quotewh.cfi.cn/quote.aspx?contenttype=outline&amp;jzrq=&amp;stockid=2078&amp;utm_source=openai</w:t>
      </w:r>
    </w:p>
    <w:p>
      <w:pPr>
        <w:spacing w:after="200"/>
      </w:pPr>
      <w:r>
        <w:rPr>
          <w:i/>
          <w:iCs/>
          <w:color w:val="595959"/>
          <w:sz w:val="18"/>
          <w:szCs w:val="18"/>
        </w:rPr>
        <w:t xml:space="preserve">苏泊尔(002032) 股东研究_F10_同花顺金融服务网 — https://basic.10jqka.com.cn/002032/holder.html?utm_source=openai</w:t>
      </w:r>
    </w:p>
    <w:p>
      <w:pPr>
        <w:spacing w:after="200"/>
      </w:pPr>
      <w:r>
        <w:rPr>
          <w:i/>
          <w:iCs/>
          <w:color w:val="595959"/>
          <w:sz w:val="18"/>
          <w:szCs w:val="18"/>
        </w:rPr>
        <w:t xml:space="preserve">苏泊尔(002032)主要股东_新浪财经_新浪网 — https://money.finance.sina.com.cn/corp/go.php/vCI_StockHolder/stockid/002032.phtml?utm_source=openai</w:t>
      </w:r>
    </w:p>
    <w:p>
      <w:pPr>
        <w:spacing w:after="200"/>
      </w:pPr>
      <w:r>
        <w:rPr>
          <w:i/>
          <w:iCs/>
          <w:color w:val="595959"/>
          <w:sz w:val="18"/>
          <w:szCs w:val="18"/>
        </w:rPr>
        <w:t xml:space="preserve">本报告由AI基于公开渠道信息自动检索、整理并生成，信息截至 截至2026年9月11日收盘；部分估值、52周区间及股东数据存在不同日期或页面更新时间差异，已在相应字段中说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2026-09-13T15:44:00.513Z</dcterms:created>
  <dcterms:modified xsi:type="dcterms:W3CDTF">2026-09-13T15:44:00.513Z</dcterms:modified>
</cp:coreProperties>
</file>

<file path=docProps/custom.xml><?xml version="1.0" encoding="utf-8"?>
<Properties xmlns="http://schemas.openxmlformats.org/officeDocument/2006/custom-properties" xmlns:vt="http://schemas.openxmlformats.org/officeDocument/2006/docPropsVTypes"/>
</file>