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联创电子科技股份有限公司 (002036)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行业：光学、光电子及智能终端制造</w:t>
      </w:r>
    </w:p>
    <w:p>
      <w:pPr>
        <w:jc w:val="center"/>
      </w:pPr>
      <w:r>
        <w:rPr>
          <w:color w:val="595959"/>
          <w:sz w:val="22"/>
          <w:szCs w:val="22"/>
        </w:rPr>
        <w:t xml:space="preserve">报告日期：2026年9月13日</w:t>
      </w:r>
    </w:p>
    <w:p>
      <w:pPr>
        <w:jc w:val="center"/>
      </w:pPr>
      <w:r>
        <w:rPr>
          <w:color w:val="595959"/>
          <w:sz w:val="20"/>
          <w:szCs w:val="20"/>
        </w:rPr>
        <w:t xml:space="preserve">截至2026年9月11日收盘；均线、MACD、RSI及布林带主要采用截至2026年9月10日收盘数据，股东结构数据截至2026年6月30日，股东人数数据截至2026年8月31日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联创电子当前最具决策意义的事实是经营与财务风险显著上升：2026年上半年营业收入31.93亿元，同比下降24.34%，归母净利润亏损3.58亿元，扣非归母净利润亏损3.71亿元；截至2026年9月，公司及子公司累计债务逾期金额增至3.56亿元，累计对外担保余额82.14亿元，逾期担保金额3.31亿元，流动性和或有负债风险已成为影响公司基本面的核心因素。</w:t>
      </w:r>
    </w:p>
    <w:p>
      <w:pPr>
        <w:spacing w:after="160" w:line="300"/>
      </w:pPr>
      <w:r>
        <w:rPr>
          <w:sz w:val="22"/>
          <w:szCs w:val="22"/>
        </w:rPr>
        <w:t xml:space="preserve">公司业务仍处于由触控显示和终端制造向车载光学、智能感知光学转型阶段。2025年光学元件收入42.94亿元，占营业收入52.00%，其中车载光学收入30.72亿元，同比增长49.10%；但同期公司全年收入下降19.12%至82.59亿元，归母净利润亏损10.11亿元，车载光学毛利率为18.39%，较历史水平明显下降，显示业务增长尚未转化为稳定盈利。</w:t>
      </w:r>
    </w:p>
    <w:p>
      <w:pPr>
        <w:spacing w:after="160" w:line="300"/>
      </w:pPr>
      <w:r>
        <w:rPr>
          <w:sz w:val="22"/>
          <w:szCs w:val="22"/>
        </w:rPr>
        <w:t xml:space="preserve">传统业务承压较为明显：2025年触控显示收入9.86亿元，同比下降61.50%，应用终端收入29.79亿元，毛利率仅4.74%。公司研发投入约8.42亿元，占收入10.19%，并持续布局HUD、智能照明、机器视觉、无人机感知、AI眼镜及机器人视觉等产品，但这些业务仍需通过客户定点、验证、量产爬坡和成本控制实现商业化兑现。</w:t>
      </w:r>
    </w:p>
    <w:p>
      <w:pPr>
        <w:spacing w:after="160" w:line="300"/>
      </w:pPr>
      <w:r>
        <w:rPr>
          <w:sz w:val="22"/>
          <w:szCs w:val="22"/>
        </w:rPr>
        <w:t xml:space="preserve">截至2026年9月11日，股价收于6.33元，处于52周区间下部，低于MA5、MA10、MA20及布林下轨，MACD仍处于零轴下方空头结构；RSI6为25.3，短线存在超卖后的技术性反弹可能，但尚未形成趋势反转信号。公司当前处于亏损状态，动态市盈率不具备正常比较意义，且净资产由2025年末10.48亿元降至2026年6月末约6.73亿元，估值和股价表现均高度依赖后续盈利修复及流动性风险能否缓解。</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002036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联创电子</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数据口径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优先采用2025年年度报告，财务及经营数据主要截至2025年12月31日；产能及业务布局部分补充采用2024年年度报告及公司公告。</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82.59亿元，同比下降19.12%</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2025年研发投入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约8.42亿元，占营业收入10.19%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截至2025年底发明专利</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累计获得发明专利954项，2025年新增发明专利授权313项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主要研发平台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国家企业技术中心、国家博士后科研工作站及江西省光学工程院士工作站等</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光学镜头及影像模组：覆盖模造玻璃镜片、棱镜、手机镜头、车载镜头、车载影像模组、高清广角镜头、运动相机镜头及智能感知模组，应用于智能手机、平板电脑、汽车智能驾驶及智能座舱、运动相机、无人机、机器视觉、警用监控、HUD及车载照明等。2025年光学元件收入42.94亿元，占营业收入52.00%；其中车载光学收入30.72亿元，占37.20%，同比增长49.10%。</w:t>
      </w:r>
    </w:p>
    <w:p>
      <w:pPr>
        <w:pStyle w:val="ListParagraph"/>
        <w:numPr>
          <w:ilvl w:val="0"/>
          <w:numId w:val="2"/>
        </w:numPr>
        <w:spacing w:after="80" w:line="280"/>
      </w:pPr>
      <w:r>
        <w:rPr>
          <w:sz w:val="22"/>
          <w:szCs w:val="22"/>
        </w:rPr>
        <w:t xml:space="preserve">触控显示业务：主要产品包括触摸屏、液晶显示模组、触控显示一体化模组及相关电子组件，应用于消费电子、IT设备和车载显示。2025年收入9.86亿元，占营业收入11.94%，较2024年下降61.50%。</w:t>
      </w:r>
    </w:p>
    <w:p>
      <w:pPr>
        <w:pStyle w:val="ListParagraph"/>
        <w:numPr>
          <w:ilvl w:val="0"/>
          <w:numId w:val="2"/>
        </w:numPr>
        <w:spacing w:after="80" w:line="280"/>
      </w:pPr>
      <w:r>
        <w:rPr>
          <w:sz w:val="22"/>
          <w:szCs w:val="22"/>
        </w:rPr>
        <w:t xml:space="preserve">应用终端业务：主要反映面向终端客户提供的智能终端及相关产品业务。2025年收入29.79亿元，占营业收入36.06%，同比下降2.36%；毛利率为4.74%。</w:t>
      </w:r>
    </w:p>
    <w:p>
      <w:pPr>
        <w:pStyle w:val="ListParagraph"/>
        <w:numPr>
          <w:ilvl w:val="0"/>
          <w:numId w:val="2"/>
        </w:numPr>
        <w:spacing w:after="80" w:line="280"/>
      </w:pPr>
      <w:r>
        <w:rPr>
          <w:sz w:val="22"/>
          <w:szCs w:val="22"/>
        </w:rPr>
        <w:t xml:space="preserve">新业务布局：车载HUD及PGU、车载智能照明、机器视觉、无人机TOF感知模组、微型医疗内窥镜、4D毫米波雷达、光模块阵列硅透镜、AI眼镜及机器人视觉相关光学产品。</w:t>
      </w:r>
    </w:p>
    <w:p>
      <w:pPr>
        <w:pStyle w:val="ListParagraph"/>
        <w:numPr>
          <w:ilvl w:val="0"/>
          <w:numId w:val="2"/>
        </w:numPr>
        <w:spacing w:after="80" w:line="280"/>
      </w:pPr>
      <w:r>
        <w:rPr>
          <w:sz w:val="22"/>
          <w:szCs w:val="22"/>
        </w:rPr>
        <w:t xml:space="preserve">业务结构变化：公司正由触控显示及终端制造占比较高的综合电子制造模式，转向车载光学及其他高技术光学产品驱动的业务结构。2025年光学元件收入占比由2024年的40.70%提升至52.00%，车载光学收入占比由20.18%提升至37.20%；触控显示、非车载光学等传统业务承压。</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联创电子位于光学产业链中游偏上位置：上游采购光学材料、面板、芯片、传感器及结构件；中游进行模造玻璃、棱镜、光学镜头、摄像头模组、触控显示模组的研发和制造；下游向整车厂、汽车电子Tier 1、智驾方案商、手机ODM、终端品牌及机器视觉客户供货。公司不是矿产资源型企业，其核心资源主要体现为模造玻璃镜片及棱镜工艺、光学镜头和车载影像模组的研发量产经验、车规级认证及客户定点能力。</w:t>
      </w:r>
    </w:p>
    <w:p>
      <w:pPr>
        <w:pStyle w:val="ListParagraph"/>
        <w:numPr>
          <w:ilvl w:val="0"/>
          <w:numId w:val="2"/>
        </w:numPr>
        <w:spacing w:after="80" w:line="280"/>
      </w:pPr>
      <w:r>
        <w:rPr>
          <w:sz w:val="22"/>
          <w:szCs w:val="22"/>
        </w:rPr>
        <w:t xml:space="preserve">主要采购光学玻璃、模造玻璃材料、塑料及玻塑混合镜片材料、光学镀膜材料，以及镜片、棱镜和模具相关材料。</w:t>
      </w:r>
    </w:p>
    <w:p>
      <w:pPr>
        <w:pStyle w:val="ListParagraph"/>
        <w:numPr>
          <w:ilvl w:val="0"/>
          <w:numId w:val="2"/>
        </w:numPr>
        <w:spacing w:after="80" w:line="280"/>
      </w:pPr>
      <w:r>
        <w:rPr>
          <w:sz w:val="22"/>
          <w:szCs w:val="22"/>
        </w:rPr>
        <w:t xml:space="preserve">车载模组还需采购图像传感器、芯片、连接器、结构件、车规级电子器件及封装材料；触控显示业务需采购面板、触控芯片、盖板玻璃及电子组件。</w:t>
      </w:r>
    </w:p>
    <w:p>
      <w:pPr>
        <w:pStyle w:val="ListParagraph"/>
        <w:numPr>
          <w:ilvl w:val="0"/>
          <w:numId w:val="2"/>
        </w:numPr>
        <w:spacing w:after="80" w:line="280"/>
      </w:pPr>
      <w:r>
        <w:rPr>
          <w:sz w:val="22"/>
          <w:szCs w:val="22"/>
        </w:rPr>
        <w:t xml:space="preserve">2025年末原材料账面余额为7.73亿元，计提跌价准备1.20亿元；应付账款中应付材料款为26.17亿元。公司未按材料类别披露采购金额，无法准确计算单一材料的成本占比。</w:t>
      </w:r>
    </w:p>
    <w:p>
      <w:pPr>
        <w:pStyle w:val="ListParagraph"/>
        <w:numPr>
          <w:ilvl w:val="0"/>
          <w:numId w:val="2"/>
        </w:numPr>
        <w:spacing w:after="80" w:line="280"/>
      </w:pPr>
      <w:r>
        <w:rPr>
          <w:sz w:val="22"/>
          <w:szCs w:val="22"/>
        </w:rPr>
        <w:t xml:space="preserve">触控显示业务与京东方、深天马、LGD等面板厂商保持合作，面板价格和供需受行业周期影响，公司在该环节更接近加工及模组整合商，对上游面板价格存在一定敏感性。</w:t>
      </w:r>
    </w:p>
    <w:p>
      <w:pPr>
        <w:pStyle w:val="ListParagraph"/>
        <w:numPr>
          <w:ilvl w:val="0"/>
          <w:numId w:val="2"/>
        </w:numPr>
        <w:spacing w:after="80" w:line="280"/>
      </w:pPr>
      <w:r>
        <w:rPr>
          <w:sz w:val="22"/>
          <w:szCs w:val="22"/>
        </w:rPr>
        <w:t xml:space="preserve">公司具备模造玻璃镜片、棱镜等部分核心光学元件的内部制造能力，有助于降低外部采购依赖；但车载模组仍依赖外购图像传感器、芯片及车规电子零部件，公司不掌握完整的上游芯片及传感器定价权。</w:t>
      </w:r>
    </w:p>
    <w:p>
      <w:pPr>
        <w:pStyle w:val="ListParagraph"/>
        <w:numPr>
          <w:ilvl w:val="0"/>
          <w:numId w:val="2"/>
        </w:numPr>
        <w:spacing w:after="80" w:line="280"/>
      </w:pPr>
      <w:r>
        <w:rPr>
          <w:sz w:val="22"/>
          <w:szCs w:val="22"/>
        </w:rPr>
        <w:t xml:space="preserve">2025年年报未披露各类供应商名称及采购集中度的可核实细节，供应商集中度数据缺失。</w:t>
      </w:r>
    </w:p>
    <w:p>
      <w:pPr>
        <w:pStyle w:val="ListParagraph"/>
        <w:numPr>
          <w:ilvl w:val="0"/>
          <w:numId w:val="2"/>
        </w:numPr>
        <w:spacing w:after="80" w:line="280"/>
      </w:pPr>
      <w:r>
        <w:rPr>
          <w:sz w:val="22"/>
          <w:szCs w:val="22"/>
        </w:rPr>
        <w:t xml:space="preserve">下游覆盖汽车整车厂及汽车电子Tier 1、Mobileye、NVIDIA、地平线、百度等智驾方案商，比亚迪、蔚来、吉利等车企，以及华勤、龙旗、中兴、联想、传音等消费电子客户。</w:t>
      </w:r>
    </w:p>
    <w:p>
      <w:pPr>
        <w:pStyle w:val="ListParagraph"/>
        <w:numPr>
          <w:ilvl w:val="0"/>
          <w:numId w:val="2"/>
        </w:numPr>
        <w:spacing w:after="80" w:line="280"/>
      </w:pPr>
      <w:r>
        <w:rPr>
          <w:sz w:val="22"/>
          <w:szCs w:val="22"/>
        </w:rPr>
        <w:t xml:space="preserve">2025年前五大客户销售额合计37.97亿元，占年度销售总额45.99%；第一大客户占比19.36%。该数据对应2025年，客户名称被匿名化披露，无法将集中度准确映射至具体车企、Tier 1、ODM或终端品牌。</w:t>
      </w:r>
    </w:p>
    <w:p>
      <w:pPr>
        <w:pStyle w:val="ListParagraph"/>
        <w:numPr>
          <w:ilvl w:val="0"/>
          <w:numId w:val="2"/>
        </w:numPr>
        <w:spacing w:after="80" w:line="280"/>
      </w:pPr>
      <w:r>
        <w:rPr>
          <w:sz w:val="22"/>
          <w:szCs w:val="22"/>
        </w:rPr>
        <w:t xml:space="preserve">2024年前五大客户占比为51.21%，2022年为60.01%，客户集中度总体仍较高但有所下降。由于客户名称匿名披露，无法进一步核实单一车企依赖程度，具体客户结构以公司后续公告及监管问询回复为准。</w:t>
      </w:r>
    </w:p>
    <w:p>
      <w:pPr>
        <w:pStyle w:val="ListParagraph"/>
        <w:numPr>
          <w:ilvl w:val="0"/>
          <w:numId w:val="2"/>
        </w:numPr>
        <w:spacing w:after="80" w:line="280"/>
      </w:pPr>
      <w:r>
        <w:rPr>
          <w:sz w:val="22"/>
          <w:szCs w:val="22"/>
        </w:rPr>
        <w:t xml:space="preserve">汽车光学行业下游通常由整车厂及Tier 1掌握较强采购议价权，产品定点和验证周期较长，量产后可能面临年度降价、技术迭代及成本压降要求。车规认证和供应链导入形成一定壁垒，但不等同于公司拥有强下游定价权。</w:t>
      </w:r>
    </w:p>
    <w:p>
      <w:pPr>
        <w:pStyle w:val="ListParagraph"/>
        <w:numPr>
          <w:ilvl w:val="0"/>
          <w:numId w:val="2"/>
        </w:numPr>
        <w:spacing w:after="80" w:line="280"/>
      </w:pPr>
      <w:r>
        <w:rPr>
          <w:sz w:val="22"/>
          <w:szCs w:val="22"/>
        </w:rPr>
        <w:t xml:space="preserve">光学业务中模造玻璃、棱镜、核心光学设计及高端ADAS镜头附加值相对较高；触控显示加工、应用终端及标准化模组更接近中游偏低毛利环节。</w:t>
      </w:r>
    </w:p>
    <w:p>
      <w:pPr>
        <w:pStyle w:val="ListParagraph"/>
        <w:numPr>
          <w:ilvl w:val="0"/>
          <w:numId w:val="2"/>
        </w:numPr>
        <w:spacing w:after="80" w:line="280"/>
      </w:pPr>
      <w:r>
        <w:rPr>
          <w:sz w:val="22"/>
          <w:szCs w:val="22"/>
        </w:rPr>
        <w:t xml:space="preserve">截至2025年12月31日，应收账款账面余额29.90亿元、账面价值23.04亿元，分别约相当于年度收入的36.2%和27.9%；其中2年以上账龄账面余额约11.88亿元，占应收账款总额约39.7%，3年以上账龄约5.90亿元。存货账面价值22.69亿元，应付账款29.85亿元，其中应付材料款26.17亿元。应收账款及存货占用较重，部分客户回款周期较长；较大的应付材料款对营运资金形成一定对冲，但整体不显示公司拥有明显强势的下游议价权。纪要未提供应收账款周转天数或应收账款相对净利润比例。</w:t>
      </w:r>
    </w:p>
    <w:p>
      <w:pPr>
        <w:pStyle w:val="ListParagraph"/>
        <w:numPr>
          <w:ilvl w:val="0"/>
          <w:numId w:val="2"/>
        </w:numPr>
        <w:spacing w:after="80" w:line="280"/>
      </w:pPr>
      <w:r>
        <w:rPr>
          <w:sz w:val="22"/>
          <w:szCs w:val="22"/>
        </w:rPr>
        <w:t xml:space="preserve">客户集中度数据：2025年前五大客户占销售总额45.99%、第一大客户占19.36%；2024年前五大客户占比51.21%；2022年前五大客户占比60.01%。上述数据均为公司年报口径，但客户名称匿名披露，无法交叉核实具体客户类型及单一车企依赖程度；具体客户结构应以公司后续公告及监管问询回复为准。供应商集中度未披露。</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光学元件22.80%；触显一体化产品2.53%；触显一体化加工12.42%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公司整体净利率数据缺失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光学业务毛利率高于触控显示及终端制造，但业务分类与后续年度存在调整，跨年度比较需谨慎。</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光学元件30.08%；车载光学40.75%；触控显示4.12%；应用终端4.97%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公司整体净利率数据缺失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高像素ADAS镜头和车载光学产品占比提高，带动光学板块毛利率提升；车载业务快速导入仍伴随研发、认证和制造成本。</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光学元件20.73%；车载光学30.40%；非车载光学16.54%；触控显示1.76%；应用终端4.31%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公司整体净利率数据缺失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消费电子需求偏弱，光学产品价格及结构承压；车载光学虽继续增长，但产品价格下降、规模扩张及客户导入成本使毛利率下降。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光学元件约17.17%；车载光学约20.46%；触控显示约3.67%；应用终端约4.22%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公司整体净利率数据缺失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车载光学收入快速增长，但行业竞争、整车厂降本压力和产品价格下降压缩毛利率；合肥产能爬坡带来折旧、认证及制造费用压力。上述光学元件及车载光学毛利率根据年报收入、成本计算，非年报摘要直接展示字段。</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光学元件16.41%；车载光学18.39%；非车载光学11.43%；触控显示4.07%；应用终端4.74%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公司整体净利率数据缺失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车载光学收入同比增长49.10%，但成本增长52.99%；客户降价、行业竞争及产能爬坡使车载光学毛利率较2022年明显下降，业务呈现高增长但低于历史毛利率的特征。</w:t>
            </w:r>
          </w:p>
        </w:tc>
      </w:tr>
    </w:tbl>
    <w:p>
      <w:pPr>
        <w:spacing w:before="200"/>
      </w:pPr>
    </w:p>
    <w:p>
      <w:pPr>
        <w:spacing w:after="160" w:line="300"/>
      </w:pPr>
      <w:r>
        <w:rPr>
          <w:sz w:val="22"/>
          <w:szCs w:val="22"/>
        </w:rPr>
        <w:t xml:space="preserve">联创电子是由触控显示和消费电子制造向车载光学、智能感知光学升级的中游光电制造商，处于中游偏上但尚未拥有类似上游核心芯片厂商或下游品牌商的强定价权。当前利润改善的关键不是单纯扩大车载光学出货量，而是提升高端ADAS镜头、车载影像模组、HUD/PGU、智能照明和机器视觉等高附加值产品占比，同时改善产品价格、产能利用率、成本控制及应收账款回款。</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2026年上半年（截至2026年6月30日）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31.9335亿元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同比下降24.34%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归母净利润亏损3.5795亿元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同比下降1585.66%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2025年上半年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42.2040亿元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归母净利润2409.4万元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82.5884亿元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同比下降19.12%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归母净利润亏损10.1134亿元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同比下降82.94%</w:t>
            </w:r>
          </w:p>
        </w:tc>
      </w:tr>
    </w:tbl>
    <w:p>
      <w:pPr>
        <w:spacing w:after="200"/>
      </w:pPr>
      <w:r>
        <w:rPr>
          <w:i/>
          <w:iCs/>
          <w:color w:val="595959"/>
          <w:sz w:val="18"/>
          <w:szCs w:val="18"/>
        </w:rPr>
        <w:t xml:space="preserve">截至2026年9月13日，公司已披露的最新正式财报为2026年半年度报告，公告日期为2026年8月20日。2026年上半年扣非归母净利润亏损3.7136亿元，上年同期亏损3200.2万元，同比下降1060.43%；合并口径净利润亏损3.8803亿元，经营活动产生的现金流量净额约8798万元。2025年全年扣非归母净利润亏损10.0998亿元，上年同期亏损6.0993亿元，同比下降65.59%；基本每股收益为-0.96元，加权平均净资产收益率为-65.11%。</w:t>
      </w:r>
    </w:p>
    <w:p>
      <w:pPr>
        <w:spacing w:after="160" w:line="300"/>
      </w:pPr>
      <w:r>
        <w:rPr>
          <w:sz w:val="22"/>
          <w:szCs w:val="22"/>
        </w:rPr>
        <w:t xml:space="preserve">2026年上半年公司收入同比减少约10.27亿元，归母净利润由盈利转为大额亏损，扣非净利润亏损扩大，盈利能力明显恶化。公司解释称，存储芯片价格大幅上涨、下游终端需求走弱、消费电子行业竞争加剧，导致部分终端厂商下调生产及出货计划、公司订单阶段性减少并使产品毛利率承压；同时公司主动收缩业务规模以保障现金流安全，但管理费用、财务费用较高，政府补助同比减少，导致亏损扩大。2026年上半年实际归母净利润亏损3.5795亿元，超过公司此前业绩预告亏损上限3.0972亿元，较预告上限多亏约4826万元。2025年末归属于上市公司股东的净资产为10.4806亿元，2026年6月末降至约6.7265亿元，净资产继续收缩。</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F10数据显示，截至页面更新时间，公司本年度暂无机构做出业绩预测，2026年和2027年预测数据为空，最近6个月也没有新增买入、增持、中性、减持或卖出评级记录。表内预测主要为2025年6月至8月发布的历史研报数据，形成时间早于2026年半年度报告，不能视为当前有效的一致预期。由于公司2026年上半年实际归母净利润亏损3.5795亿元，上述历史盈利预测与最新经营结果明显不匹配，参考价值有限，预计需要重新下修。公司2026年经营目标为营业收入90亿元、光学产业销售收入50亿元并实现扭亏为盈，但该目标不是经过审计或具有约束力的业绩预测，不能直接作为估值预测使用。</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2025年（国元证券，2025年8月26日研报）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8558万元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0.08元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2026年（国元证券，2025年8月26日研报）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2.8739亿元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0.27元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2027年（国元证券，2025年8月26日研报）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4.7386亿元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0.45元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2025年（国元证券，2025年6月12日研报）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约0.10元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2026年（国元证券，2025年6月12日研报）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约124亿元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约3.2亿元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约0.30元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2027年（国元证券，2025年6月12日研报）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约134亿元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约5.0亿元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约0.47元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历史预测汇总（2025年）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约0.74亿至1.98亿元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历史预测汇总（2026年）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约2.41亿至3.78亿元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约0.23元至0.36元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历史预测汇总（2027年）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约3.59亿至6.22亿元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约0.34元至0.59元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国元证券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2025年8月26日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判断车载光学业务有望成为增长主线；公开摘要未明确披露新的目标价。报告预测2025年至2027年归母净利润分别为8558万元、2.8739亿元和4.7386亿元。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国元证券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增持；另有资料表述为维持“买入”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2025年6月12日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基于2026年预测EPS约0.36元、可比公司约28倍PE，曾给出目标价10.08元。该评级和目标价基于2025年中期以前的盈利修复逻辑，时效性明显不足。</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证券之星</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近三个月暂无新增机构评级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未检索到2026年半年度报告披露后主流券商公开发布并明确更新目标价的有效研报。</w:t>
            </w:r>
          </w:p>
        </w:tc>
      </w:tr>
    </w:tbl>
    <w:p>
      <w:pPr>
        <w:spacing w:before="200"/>
      </w:pPr>
    </w:p>
    <w:p>
      <w:pPr>
        <w:spacing w:after="160" w:line="300"/>
      </w:pPr>
      <w:r>
        <w:rPr>
          <w:sz w:val="22"/>
          <w:szCs w:val="22"/>
        </w:rPr>
        <w:t xml:space="preserve">以2026年9月11日收盘价约6.26元、总市值约66.95亿元计算，公司2025年全年和2026年上半年均处于亏损状态，静态PE和滚动PE不具备正常估值意义，部分行情终端可能显示为负PE或不适用。2026年6月30日归属于上市公司股东的净资产约为6.7265亿元，对应市净率约9.96倍，接近行情终端披露的约9.9倍；但公司净资产已由2025年末的10.4806亿元进一步下降，单纯以PB判断估值便宜并不稳妥。若机械采用国元证券2025年8月历史预测，6.26元股价对应2026年预测PE约23.2倍、2027年预测PE约13.9倍，但相关预测形成于2026年上半年业绩恶化之前，不能视为当前可靠估值。历史目标价10.08元同样建立在旧有盈利恢复假设上，不能直接作为截至2026年9月的合理价值依据。当前公司处于高PB、亏损状态，估值核心取决于未来能否重新盈利、车载光学业务收入和毛利率能否改善、消费电子订单能否恢复、存储芯片价格压力及债务和财务费用压力是否缓解，以及净资产是否继续下降。</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子公司债务逾期及担保风险扩大</w:t>
      </w:r>
    </w:p>
    <w:p>
      <w:pPr>
        <w:spacing w:after="160" w:line="300"/>
      </w:pPr>
      <w:r>
        <w:rPr>
          <w:sz w:val="22"/>
          <w:szCs w:val="22"/>
        </w:rPr>
        <w:t xml:space="preserve">2026年9月9日，公司披露《关于子公司债务逾期暨担保进展的公告》。截至2026年8月15日，公司及子公司部分银行、融资租赁债务以及未兑付商业承兑汇票合计逾期35,252.52万元；截至公告日，其中4,365.06万元已得到化解。同期，因流动资金紧张新增债务逾期4,667.00万元，债务逾期累计金额增至35,554.46万元，占公司最近一期经审计净资产的33.92%。公司拟通过续贷、展期、调整还款计划、加强成本控制及催收应收账款等方式化解债务问题。</w:t>
      </w:r>
    </w:p>
    <w:p>
      <w:pPr>
        <w:pStyle w:val="Heading2"/>
        <w:spacing w:after="120" w:before="240"/>
      </w:pPr>
      <w:r>
        <w:rPr>
          <w:b/>
          <w:bCs/>
          <w:color w:val="2E74B5"/>
          <w:sz w:val="24"/>
          <w:szCs w:val="24"/>
        </w:rPr>
        <w:t xml:space="preserve">4.2 对外担保规模及逾期担保金额较高</w:t>
      </w:r>
    </w:p>
    <w:p>
      <w:pPr>
        <w:spacing w:after="160" w:line="300"/>
      </w:pPr>
      <w:r>
        <w:rPr>
          <w:sz w:val="22"/>
          <w:szCs w:val="22"/>
        </w:rPr>
        <w:t xml:space="preserve">截至2026年9月9日，公司及控股子公司对外担保额度总额为115.60亿元，占公司2025年末经审计净资产的1,102.99%；累计对外担保余额为82.139615亿元，占2025年末经审计净资产的783.73%；逾期担保金额为3.309984亿元，占最近一期经审计净资产的31.58%。公司提示，若相关子公司无法偿还逾期债务，公司可能在保证范围内承担连带清偿责任，并面临罚息、违约金、诉讼仲裁及银行账户或资产被冻结等风险。</w:t>
      </w:r>
    </w:p>
    <w:p>
      <w:pPr>
        <w:pStyle w:val="Heading2"/>
        <w:spacing w:after="120" w:before="240"/>
      </w:pPr>
      <w:r>
        <w:rPr>
          <w:b/>
          <w:bCs/>
          <w:color w:val="2E74B5"/>
          <w:sz w:val="24"/>
          <w:szCs w:val="24"/>
        </w:rPr>
        <w:t xml:space="preserve">4.3 公司2026年8月新增担保3.285亿元</w:t>
      </w:r>
    </w:p>
    <w:p>
      <w:pPr>
        <w:spacing w:after="160" w:line="300"/>
      </w:pPr>
      <w:r>
        <w:rPr>
          <w:sz w:val="22"/>
          <w:szCs w:val="22"/>
        </w:rPr>
        <w:t xml:space="preserve">2026年9月9日，公司披露《关于公司提供担保的进展公告》。公告显示，公司2026年8月为合并报表范围内下属公司提供担保金额3.285亿元。截至公告日，对外担保额度、担保余额和逾期担保金额与同日披露的债务逾期公告基本一致。</w:t>
      </w:r>
    </w:p>
    <w:p>
      <w:pPr>
        <w:pStyle w:val="Heading2"/>
        <w:spacing w:after="120" w:before="240"/>
      </w:pPr>
      <w:r>
        <w:rPr>
          <w:b/>
          <w:bCs/>
          <w:color w:val="2E74B5"/>
          <w:sz w:val="24"/>
          <w:szCs w:val="24"/>
        </w:rPr>
        <w:t xml:space="preserve">4.4 2026年半年度业绩预亏并在半年报中进一步恶化</w:t>
      </w:r>
    </w:p>
    <w:p>
      <w:pPr>
        <w:spacing w:after="160" w:line="300"/>
      </w:pPr>
      <w:r>
        <w:rPr>
          <w:sz w:val="22"/>
          <w:szCs w:val="22"/>
        </w:rPr>
        <w:t xml:space="preserve">公司于2026年7月15日披露2026年半年度业绩预告，预计上半年归属于上市公司股东的净利润亏损20,648万元至30,972万元，扣除非经常性损益后的净利润亏损20,778万元至31,062万元，基本每股收益亏损0.1954元至0.2932元；上年同期归母净利润为盈利2,409.39万元。公司解释称，存储芯片价格上涨导致下游需求走弱、消费电子行业竞争激烈、公司收缩业务规模、管理费用及财务费用较高以及政府补助减少是主要原因。2026年半年度报告于2026年8月20日披露，报告期归母净利润约亏损3.58亿元，同花顺公告摘要显示半年度每股收益为-0.34元。</w:t>
      </w:r>
    </w:p>
    <w:p>
      <w:pPr>
        <w:pStyle w:val="Heading2"/>
        <w:spacing w:after="120" w:before="240"/>
      </w:pPr>
      <w:r>
        <w:rPr>
          <w:b/>
          <w:bCs/>
          <w:color w:val="2E74B5"/>
          <w:sz w:val="24"/>
          <w:szCs w:val="24"/>
        </w:rPr>
        <w:t xml:space="preserve">4.5 原江西国资控制权变更及定向增发方案终止</w:t>
      </w:r>
    </w:p>
    <w:p>
      <w:pPr>
        <w:spacing w:after="160" w:line="300"/>
      </w:pPr>
      <w:r>
        <w:rPr>
          <w:sz w:val="22"/>
          <w:szCs w:val="22"/>
        </w:rPr>
        <w:t xml:space="preserve">2026年7月22日至7月23日，公司披露原控制权变更事项终止。原方案涉及江西鑫盛投资有限公司向南昌市北源智能产业投资合伙企业转让70,866,141股，约占当时总股本的6.71%，并配套向江西国资创投定向发行股票。由于股份转让协议约定的生效条件未全部成就，各方决定解除协议。公司于2026年8月20日公告终止2025年度向特定对象发行股票事项，原定发行价格为8.62元/股，拟发行数量不超过189,095,127股，拟募集资金不超过16.30亿元，该发行事项未提交股东会审议。</w:t>
      </w:r>
    </w:p>
    <w:p>
      <w:pPr>
        <w:pStyle w:val="Heading2"/>
        <w:spacing w:after="120" w:before="240"/>
      </w:pPr>
      <w:r>
        <w:rPr>
          <w:b/>
          <w:bCs/>
          <w:color w:val="2E74B5"/>
          <w:sz w:val="24"/>
          <w:szCs w:val="24"/>
        </w:rPr>
        <w:t xml:space="preserve">4.6 签署新一轮控制权变更协议，交易尚未完成</w:t>
      </w:r>
    </w:p>
    <w:p>
      <w:pPr>
        <w:spacing w:after="160" w:line="300"/>
      </w:pPr>
      <w:r>
        <w:rPr>
          <w:sz w:val="22"/>
          <w:szCs w:val="22"/>
        </w:rPr>
        <w:t xml:space="preserve">2026年7月29日，控股股东江西鑫盛、实际控制人韩盛龙及一致行动人曾吉勇与寿县财政局（寿县国资委）下属产业投资平台寿县新桥商业经营管理有限公司签署股份转让协议。江西鑫盛拟转让76,930,822股，占公司总股本约7.27%，转让价格为8.19元/股，转让总价款为630,063,432.18元，约6.30亿元。交易完成后，寿县新桥拟成为控股股东，寿县财政局（寿县国资委）拟成为实际控制人。公司股票于2026年7月23日起停牌，2026年7月30日复牌。交易仍需取得相关国资监管机构审核批准、可能涉及的反垄断审查、深交所合规确认及中国结算股份过户登记，截至2026年9月13日尚未完成。</w:t>
      </w:r>
    </w:p>
    <w:p>
      <w:pPr>
        <w:pStyle w:val="Heading2"/>
        <w:spacing w:after="120" w:before="240"/>
      </w:pPr>
      <w:r>
        <w:rPr>
          <w:b/>
          <w:bCs/>
          <w:color w:val="2E74B5"/>
          <w:sz w:val="24"/>
          <w:szCs w:val="24"/>
        </w:rPr>
        <w:t xml:space="preserve">4.7 控股股东及一致行动人股份高比例质押</w:t>
      </w:r>
    </w:p>
    <w:p>
      <w:pPr>
        <w:spacing w:after="160" w:line="300"/>
      </w:pPr>
      <w:r>
        <w:rPr>
          <w:sz w:val="22"/>
          <w:szCs w:val="22"/>
        </w:rPr>
        <w:t xml:space="preserve">2026年8月12日，公司披露控股股东江西鑫盛股份补充质押公告，并提示控股股东及其一致行动人质押股份数量占其持有公司股份数量的比例已超过80%。第三方行情信息显示，截至2026年8月12日，江西鑫盛累计质押股份约7,800万股，占公司总股本约7.38%；具体质押明细以公司公告及后续解除质押、过户公告为准。高比例质押可能增加控制权转让执行难度及股东层面的被动处置风险。</w:t>
      </w:r>
    </w:p>
    <w:p>
      <w:pPr>
        <w:pStyle w:val="Heading2"/>
        <w:spacing w:after="120" w:before="240"/>
      </w:pPr>
      <w:r>
        <w:rPr>
          <w:b/>
          <w:bCs/>
          <w:color w:val="2E74B5"/>
          <w:sz w:val="24"/>
          <w:szCs w:val="24"/>
        </w:rPr>
        <w:t xml:space="preserve">4.8 新增诉讼、仲裁案件72件，涉案金额约1.07亿元</w:t>
      </w:r>
    </w:p>
    <w:p>
      <w:pPr>
        <w:spacing w:after="160" w:line="300"/>
      </w:pPr>
      <w:r>
        <w:rPr>
          <w:sz w:val="22"/>
          <w:szCs w:val="22"/>
        </w:rPr>
        <w:t xml:space="preserve">2026年8月25日，公司披露《关于累计新增诉讼、仲裁情况的公告》。自2026年4月28日上次披露累计诉讼、仲裁公告至2026年8月25日，公司及控股子公司新增诉讼、仲裁案件共72件，涉及金额合计10,667.05万元，占公司最近一期经审计净资产的10.18%。其中，作为原告的案件金额合计2,351.46万元，占22.04%；作为被告或第三人的案件金额合计8,315.59万元，占77.96%。单笔金额1,000万元以上的案件包括租赁合同纠纷2,337.50万元、买卖合同纠纷1,392.24万元。部分案件尚未开庭或结案，对本期及期后利润的影响存在不确定性。</w:t>
      </w:r>
    </w:p>
    <w:p>
      <w:pPr>
        <w:pStyle w:val="Heading2"/>
        <w:spacing w:after="120" w:before="240"/>
      </w:pPr>
      <w:r>
        <w:rPr>
          <w:b/>
          <w:bCs/>
          <w:color w:val="2E74B5"/>
          <w:sz w:val="24"/>
          <w:szCs w:val="24"/>
        </w:rPr>
        <w:t xml:space="preserve">4.9 独立董事辞职及股东户数变化</w:t>
      </w:r>
    </w:p>
    <w:p>
      <w:pPr>
        <w:spacing w:after="160" w:line="300"/>
      </w:pPr>
      <w:r>
        <w:rPr>
          <w:sz w:val="22"/>
          <w:szCs w:val="22"/>
        </w:rPr>
        <w:t xml:space="preserve">公司于2026年8月8日披露独立董事辞职公告，暂未检索到其直接引发监管处罚或经营层重大调整的公开信息。公开数据披露，2026年8月20日公布的截至2026年8月20日股东户数为129,600户，较2026年7月31日减少9,261户；截至2026年8月31日股东户数为127,453户，较前期进一步减少2,147户。股东户数数据来自第三方行情及股东数据页面，仅作辅助参考。</w:t>
      </w:r>
    </w:p>
    <w:p>
      <w:pPr>
        <w:pStyle w:val="Heading2"/>
        <w:spacing w:after="120" w:before="240"/>
      </w:pPr>
      <w:r>
        <w:rPr>
          <w:b/>
          <w:bCs/>
          <w:color w:val="2E74B5"/>
          <w:sz w:val="24"/>
          <w:szCs w:val="24"/>
        </w:rPr>
        <w:t xml:space="preserve">4.10 本次检索期内未发现新增回购计划及监管处罚</w:t>
      </w:r>
    </w:p>
    <w:p>
      <w:pPr>
        <w:spacing w:after="160" w:line="300"/>
      </w:pPr>
      <w:r>
        <w:rPr>
          <w:sz w:val="22"/>
          <w:szCs w:val="22"/>
        </w:rPr>
        <w:t xml:space="preserve">截至2026年8月20日半年度报告，公司披露“股份回购的实施进展情况”不适用；未检索到2026年7月至9月新的股份回购计划或回购实施公告。另截至2026年9月13日，未发现公司在2026年7月至9月期间收到中国证监会、江西证监局或深圳证券交易所行政处罚、纪律处分或公开监管措施的新增公告。公司仍持续提示对外担保规模较大、为高资产负债率子公司提供担保、债务逾期可能引发诉讼仲裁及资产冻结，以及控制权协议转让尚需履行监管审批、深交所合规确认和股份过户等程序。</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6.33元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-0.13元/-2.01%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6.39元/6.42元/6.19元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约2985.34万股，约29.85万手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约1.876亿元/2.83%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按收盘价和约10.58亿股总股本估算约66.96亿元，非行情页面直接披露值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52周高点/低点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12.98元/5.90元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相对52周高低点位置</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较52周高点低约51.2%，较52周低点高约7.3%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近期走势</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8月31日收盘7.14元，9月1日收盘7.29元并触及阶段性反弹高点7.43元；9月4日收盘6.87元，成交额约4.99亿元、换手率6.76%；9月8日至9月11日连续四个交易日收跌，收盘价由6.77元降至6.33元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总股本/流通A股</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约10.58亿股/约10.55亿股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估值信息</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公司当前处于亏损状态，动态PE显示为“--”，不具备正常比较意义；最新公开页面显示市净率约6.23倍</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6.69元/6.88元/6.82元，数据截至2026年9月10日收盘</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三条短周期均线均高于9月11日收盘价6.33元，股价已跌破主要短周期均线，短线趋势偏弱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-0.10，DEA -0.07，MACD柱 -0.06，数据截至2026年9月10日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DIF位于DEA下方，且两者均处于零轴下方，当前仍处于空头结构，下跌动能尚未完全扭转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RSI6 25.3，RSI12 37.3，RSI24 42.2，数据截至2026年9月10日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RSI6低于30，进入传统短线超卖区域；RSI12和RSI24仍高于30，短线存在技术性反弹可能，但不代表趋势已经反转</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上轨7.28元，中轨6.82元，下轨6.36元，数据截至2026年9月10日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9月11日收盘6.33元低于前一交易日披露的布林下轨6.36元；若不能收回6.36至6.45元区域，短线弱势可能延续。该指标来自单一技术数据页面，存在参数和更新时间差异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近期量价关系</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9月4日成交额约4.99亿元、换手率6.76%；随后9月8日至9月11日成交额约1.36亿元至2.76亿元，换手率约1.89%至3.84%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更接近放量释放压力后的缩量弱势整理，近期抛压有所收敛，但尚未出现明确的放量止跌信号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截至2026年9月10日单日净流入约1073万元；近10个交易日合计净流出约3387万元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单日净流入尚不足以改变阶段性资金偏弱格局；不同平台资金统计口径存在差异，不宜简单相加</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融资融券</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截至2026年9月10日，融资余额约6.09亿元，占流通市值约8.93%；当日融资买入约1328.52万元；融券余量约52.59万股；融资融券余额约6.12亿元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市场存在一定杠杆资金参与；若股价继续下跌，融资盘可能增加短期卖压，但仅凭融资余额无法判断具体盈亏及平仓压力</w:t>
            </w:r>
          </w:p>
        </w:tc>
      </w:tr>
    </w:tbl>
    <w:p>
      <w:pPr>
        <w:spacing w:before="200"/>
      </w:pPr>
    </w:p>
    <w:p>
      <w:pPr>
        <w:spacing w:after="160" w:line="300"/>
      </w:pPr>
      <w:r>
        <w:rPr>
          <w:sz w:val="22"/>
          <w:szCs w:val="22"/>
        </w:rPr>
        <w:t xml:space="preserve">截至2026年9月11日，联创电子股价在7.00元上方反弹失败后重新回落，短线价格重心下移。9月4日出现放量下跌，随后成交量回落，9月11日收盘价6.33元低于截至9月10日披露的布林下轨6.36元，并低于MA5、MA10及MA20，技术形态整体偏弱。RSI6降至25.3，显示短线处于超卖区域，存在技术性反弹可能，但MACD仍处于零轴下方的空头结构，尚不足以确认趋势反转。股价当前位于52周区间下部，距离52周低点5.90元较近。资金方面，9月10日主力资金虽净流入约1073万元，但近10个交易日仍为净流出约3387万元；融资余额占流通市值比例较高，短线波动需关注杠杆资金影响。</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风险提示：以下内容仅为基于截至2026年9月11日收盘数据、历史价格和公开技术指标的主观情景推演，不构成投资建议，也不代表对未来股价方向的确定性判断。</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6.45~6.70元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6.45~6.55元对应近期枢轴点、9月10日收盘附近及短线反抽压力；若放量突破6.55元，下一压力关注6.65~6.70元。进一步突破6.70元，才有机会向6.80~6.90元区域修复</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6.15~6.30元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6.19元为2026年9月11日盘中低点，6.30元接近当前收盘价。若该区域失守，且成交量持续放大，下方支撑可能进一步下移至5.90~6.05元区域</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5.90~6.05元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该区域接近2026年以来及52周低点5.90元。若6.15元附近失守且成交量持续放大，股价可能向该区域寻找支撑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启发式权重相对较高，约五成；非统计概率）：关注区间约6.20~6.60元。触发条件是6.15~6.30元区域获得承接，成交额维持近期正常水平附近，且不再出现连续放量下跌。若反弹重新站上6.45元但成交量没有明显放大，更可能表现为弱势技术反抽，而非趋势反转</w:t>
      </w:r>
    </w:p>
    <w:p>
      <w:pPr>
        <w:pStyle w:val="ListParagraph"/>
        <w:numPr>
          <w:ilvl w:val="0"/>
          <w:numId w:val="2"/>
        </w:numPr>
        <w:spacing w:after="80" w:line="280"/>
      </w:pPr>
      <w:r>
        <w:rPr>
          <w:sz w:val="22"/>
          <w:szCs w:val="22"/>
        </w:rPr>
        <w:t xml:space="preserve">偏弱下行（主观启发式权重中等，约三成；非统计概率）：关注区间约5.90~6.20元。触发条件包括收盘有效跌破6.15元，且单日成交额持续高于近期平均水平、下跌过程中换手率重新升至5%左右或更高。该情景下关注5.90~6.05元强支撑区</w:t>
      </w:r>
    </w:p>
    <w:p>
      <w:pPr>
        <w:pStyle w:val="ListParagraph"/>
        <w:numPr>
          <w:ilvl w:val="0"/>
          <w:numId w:val="2"/>
        </w:numPr>
        <w:spacing w:after="80" w:line="280"/>
      </w:pPr>
      <w:r>
        <w:rPr>
          <w:sz w:val="22"/>
          <w:szCs w:val="22"/>
        </w:rPr>
        <w:t xml:space="preserve">反弹走强（主观启发式权重偏低，约两成；非统计概率）：关注区间约6.60~6.90元。触发条件是股价先收复6.45~6.55元，再进一步站上6.65~6.70元，同时单日成交额明显高于近期约2.66亿元的5日均值，并且电子、光学光电子或相关科技板块同步走强。若仅出现无量反弹，突破6.55元后的持续性仍需观察</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近5个交易日换手率约1.89%~6.76%，成交额约1.36亿~4.99亿元，5日平均成交额约2.66亿元、平均换手率约3.72%。其中9月4日放量下跌后，成交额回落至约1.36亿~2.76亿元，换手率降至约1.89%~3.84%，说明抛压有所收敛，但增量资金承接尚不明显。股东数据方面，截至2026年6月30日，前十大流通股东合计持有约1.45亿股，占流通股本约13.73%；机构持仓约1.21亿股，占流通股本约11.46%，其中基金持仓约占0.52%，其他机构约占10.91%，同花顺评价主力控盘度较低。前十大股东中控股股东江西鑫盛投资有限公司持股约9158.43万股，占总股本8.66%，其直接持股质押比例约85.17%。上述股东结构数据至少滞后一个季度，可能已发生变化，不能代表2026年9月11日实时持仓结构。实务上，筹码较为分散、基金持仓比例较低，结合近期成交额回落，意味着短线承接强度仍需通过成交量确认；高质押比例及融资余额较高也可能放大波动，但仅凭现有数据无法判断具体平仓压力。</w:t>
      </w:r>
    </w:p>
    <w:p>
      <w:pPr>
        <w:spacing w:after="160" w:line="300"/>
      </w:pPr>
      <w:r>
        <w:rPr>
          <w:sz w:val="22"/>
          <w:szCs w:val="22"/>
        </w:rPr>
        <w:t xml:space="preserve">若后续出现单日成交额连续放大至约3.5亿元以上，并且股价同时收复6.45~6.55元区间，可作为短线资金承接增强的观察信号；若放量同时继续跌破6.15元，则更偏向于风险释放或放量出逃信号。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观察6.15~6.30元区域能否止跌；若失守，则关注5.90~6.05元强支撑区。</w:t>
      </w:r>
    </w:p>
    <w:p>
      <w:pPr>
        <w:pStyle w:val="ListParagraph"/>
        <w:numPr>
          <w:ilvl w:val="0"/>
          <w:numId w:val="2"/>
        </w:numPr>
        <w:spacing w:after="80" w:line="280"/>
      </w:pPr>
      <w:r>
        <w:rPr>
          <w:sz w:val="22"/>
          <w:szCs w:val="22"/>
        </w:rPr>
        <w:t xml:space="preserve">观察股价能否重新收复6.45~6.55元，并进一步挑战6.65~6.70元压力区。</w:t>
      </w:r>
    </w:p>
    <w:p>
      <w:pPr>
        <w:pStyle w:val="ListParagraph"/>
        <w:numPr>
          <w:ilvl w:val="0"/>
          <w:numId w:val="2"/>
        </w:numPr>
        <w:spacing w:after="80" w:line="280"/>
      </w:pPr>
      <w:r>
        <w:rPr>
          <w:sz w:val="22"/>
          <w:szCs w:val="22"/>
        </w:rPr>
        <w:t xml:space="preserve">观察成交额能否连续放大至约3.5亿元以上，并与收盘价上行同步出现。</w:t>
      </w:r>
    </w:p>
    <w:p>
      <w:pPr>
        <w:pStyle w:val="ListParagraph"/>
        <w:numPr>
          <w:ilvl w:val="0"/>
          <w:numId w:val="2"/>
        </w:numPr>
        <w:spacing w:after="80" w:line="280"/>
      </w:pPr>
      <w:r>
        <w:rPr>
          <w:sz w:val="22"/>
          <w:szCs w:val="22"/>
        </w:rPr>
        <w:t xml:space="preserve">关注融资余额较高、控股股东高比例质押及筹码分散对短线波动和流动性的影响。以上均为观察思路，非操作指令。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横跨车载镜头及车载摄像头模组、手机镜头及摄像头模组、安防及运动相机镜头、机器视觉和智能感知光学、触控显示模组、车载显示、HUD及智能照明等细分行业。当前车载光学是最重要的成长赛道，智能汽车单车摄像头数量增加、前视摄像头向高像素升级、L2+/L3级辅助驾驶渗透及智能座舱发展共同推动车载光学需求。</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需求端增长较快，尤其是ADAS、智能座舱和机器视觉相关产品。</w:t>
      </w:r>
    </w:p>
    <w:p>
      <w:pPr>
        <w:pStyle w:val="ListParagraph"/>
        <w:numPr>
          <w:ilvl w:val="0"/>
          <w:numId w:val="2"/>
        </w:numPr>
        <w:spacing w:after="80" w:line="280"/>
      </w:pPr>
      <w:r>
        <w:rPr>
          <w:sz w:val="22"/>
          <w:szCs w:val="22"/>
        </w:rPr>
        <w:t xml:space="preserve">供给端竞争者较多，消费电子镜头企业、摄像头模组企业及传统汽车零部件厂商均在进入。</w:t>
      </w:r>
    </w:p>
    <w:p>
      <w:pPr>
        <w:pStyle w:val="ListParagraph"/>
        <w:numPr>
          <w:ilvl w:val="0"/>
          <w:numId w:val="2"/>
        </w:numPr>
        <w:spacing w:after="80" w:line="280"/>
      </w:pPr>
      <w:r>
        <w:rPr>
          <w:sz w:val="22"/>
          <w:szCs w:val="22"/>
        </w:rPr>
        <w:t xml:space="preserve">下游整车厂和Tier 1客户议价能力较强，产品定点和验证要求较高，量产后面临年度降价及成本压降压力。</w:t>
      </w:r>
    </w:p>
    <w:p>
      <w:pPr>
        <w:pStyle w:val="ListParagraph"/>
        <w:numPr>
          <w:ilvl w:val="0"/>
          <w:numId w:val="2"/>
        </w:numPr>
        <w:spacing w:after="80" w:line="280"/>
      </w:pPr>
      <w:r>
        <w:rPr>
          <w:sz w:val="22"/>
          <w:szCs w:val="22"/>
        </w:rPr>
        <w:t xml:space="preserve">产品价格可能随着规模化量产及智驾功能普及持续下降，行业竞争重点由单纯技术竞争转向技术、可靠性、交付和成本控制的综合竞争。</w:t>
      </w:r>
    </w:p>
    <w:p>
      <w:pPr>
        <w:pStyle w:val="ListParagraph"/>
        <w:numPr>
          <w:ilvl w:val="0"/>
          <w:numId w:val="2"/>
        </w:numPr>
        <w:spacing w:after="80" w:line="280"/>
      </w:pPr>
      <w:r>
        <w:rPr>
          <w:sz w:val="22"/>
          <w:szCs w:val="22"/>
        </w:rPr>
        <w:t xml:space="preserve">联创电子车载光学产量为8962.42万片/万颗，销量6324.64万片/万颗，产能利用率68.94%，均截至2025年12月31日。根据产量及利用率粗略推算的约1.30亿片/颗年化产能仅为数量级参考，不宜等同于单一产品的物理产能。</w:t>
      </w:r>
    </w:p>
    <w:p>
      <w:pPr>
        <w:pStyle w:val="ListParagraph"/>
        <w:numPr>
          <w:ilvl w:val="0"/>
          <w:numId w:val="2"/>
        </w:numPr>
        <w:spacing w:after="80" w:line="280"/>
      </w:pPr>
      <w:r>
        <w:rPr>
          <w:sz w:val="22"/>
          <w:szCs w:val="22"/>
        </w:rPr>
        <w:t xml:space="preserve">合肥车载光学产业园于2024年10月正式投产，设计年产能为车载镜头5000万颗/年、车载影像模组5000万颗/年；2025年年报披露墨西哥工厂继续爬坡上量，越南工厂已建成投产。</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舜宇光学科技（02382.HK）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综合性光学及摄像头模组厂商，覆盖手机镜头、手机摄像模组、车载镜头、车载相机解决方案、安防镜头、XR及精密光学仪器。</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规模、客户覆盖和供应链议价能力明显强于联创电子；2025年年报披露其车载相机解决方案按出货量排名全球第一。联创电子主要在高端ADAS镜头、模造玻璃镜片及特定客户定制化方向形成差异化。</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欧菲光（002456.SZ）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覆盖光学镜头、摄像头模组、触控显示、机器视觉和智能汽车相关产品。</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在摄像头模组规模、消费电子客户、车载摄像头、激光雷达及环视系统方面具有优势；联创电子更强调车载镜头、模造玻璃、ADAS高像素镜头及车规光学产品。</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丘钛科技（01478.HK）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传统优势为手机摄像头模组，并向车载摄像头模组、激光雷达及非手机视觉产品拓展。</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汽车摄像头业务覆盖ADAS、环视及智能座舱模组，并通过Tier 1向车企供货；其优势偏向模组制造、封装、规模化生产和成本控制，联创电子在镜头及光学元件端的垂直能力更突出。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宇瞳光学（300790.SZ）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传统优势为安防监控镜头，近年来扩展至车载镜头、HUD、激光雷达及智能车灯。</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在安防镜头规模、成本控制、精密加工及标准化镜头量产方面具有优势，可能在安防和中低成本镜头市场形成价格竞争；联创电子在高端ADAS车载镜头及多场景光学协同方面更综合。</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联合光电（300691.SZ）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主要从事安防监控镜头、变焦镜头、车载光学及其他光学产品。</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更偏向安防监控、变焦镜头及相关光学系统；联创电子在车载ADAS镜头、手机镜头及影像模组方面业务更广，双方在车载光学和机器视觉领域部分重叠、部分错位竞争。</w:t>
            </w:r>
          </w:p>
        </w:tc>
      </w:tr>
    </w:tbl>
    <w:p>
      <w:pPr>
        <w:spacing w:before="200"/>
      </w:pPr>
    </w:p>
    <w:p>
      <w:pPr>
        <w:spacing w:after="160" w:line="300"/>
      </w:pPr>
      <w:r>
        <w:rPr>
          <w:sz w:val="22"/>
          <w:szCs w:val="22"/>
        </w:rPr>
        <w:t xml:space="preserve">联创电子相较主要竞争对手的差异化优势在于模造玻璃镜片、棱镜及光学镜头工程能力，车载ADAS镜头和车规级产品研发量产经验，以及手机、车载、运动相机等多场景布局。相较舜宇光学等大型综合厂商，公司规模、客户覆盖、资金实力和供应链议价能力相对较弱；相较欧菲光、丘钛科技，公司更偏向镜头及光学元件端，而非单纯追求大规模模组制造。竞争对手市场份额数据来源不完全一致，除舜宇光学相关全球领先表述有其年报及官网支持外，联创电子具体全球市场份额尚缺少统一且可交叉核实的披露口径。</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流动性及债务逾期风险：截至2026年9月9日，公司及子公司累计债务逾期金额为3.56亿元，部分银行、融资租赁债务及商业承兑汇票尚未化解；若续贷、展期或还款计划调整不及预期，可能进一步引发诉讼、仲裁、罚息、违约金及资产冻结。</w:t>
      </w:r>
    </w:p>
    <w:p>
      <w:pPr>
        <w:pStyle w:val="ListParagraph"/>
        <w:numPr>
          <w:ilvl w:val="0"/>
          <w:numId w:val="2"/>
        </w:numPr>
        <w:spacing w:after="80" w:line="280"/>
      </w:pPr>
      <w:r>
        <w:rPr>
          <w:sz w:val="22"/>
          <w:szCs w:val="22"/>
        </w:rPr>
        <w:t xml:space="preserve">对外担保及连带清偿风险：公司及控股子公司对外担保余额为82.14亿元，占2025年末经审计净资产的783.73%；逾期担保金额为3.31亿元，占最近一期经审计净资产的31.58%。若相关子公司无法偿债，公司可能在保证范围内承担连带清偿责任。</w:t>
      </w:r>
    </w:p>
    <w:p>
      <w:pPr>
        <w:pStyle w:val="ListParagraph"/>
        <w:numPr>
          <w:ilvl w:val="0"/>
          <w:numId w:val="2"/>
        </w:numPr>
        <w:spacing w:after="80" w:line="280"/>
      </w:pPr>
      <w:r>
        <w:rPr>
          <w:sz w:val="22"/>
          <w:szCs w:val="22"/>
        </w:rPr>
        <w:t xml:space="preserve">持续亏损及净资产收缩风险：公司2025年归母净利润亏损10.11亿元，2026年上半年进一步亏损3.58亿元，2026年6月末归属于上市公司股东的净资产约6.73亿元，较2025年末明显下降；若盈利不能尽快恢复，净资产可能继续收缩并加大融资和担保压力。</w:t>
      </w:r>
    </w:p>
    <w:p>
      <w:pPr>
        <w:pStyle w:val="ListParagraph"/>
        <w:numPr>
          <w:ilvl w:val="0"/>
          <w:numId w:val="2"/>
        </w:numPr>
        <w:spacing w:after="80" w:line="280"/>
      </w:pPr>
      <w:r>
        <w:rPr>
          <w:sz w:val="22"/>
          <w:szCs w:val="22"/>
        </w:rPr>
        <w:t xml:space="preserve">车载光学高增长低盈利风险：2025年车载光学收入同比增长49.10%，但成本增长52.99%，毛利率降至18.39%。整车厂和Tier 1客户议价能力较强，量产后可能持续要求年度降价和成本压降，车载业务收入增长不一定能够同步带动利润增长。</w:t>
      </w:r>
    </w:p>
    <w:p>
      <w:pPr>
        <w:pStyle w:val="ListParagraph"/>
        <w:numPr>
          <w:ilvl w:val="0"/>
          <w:numId w:val="2"/>
        </w:numPr>
        <w:spacing w:after="80" w:line="280"/>
      </w:pPr>
      <w:r>
        <w:rPr>
          <w:sz w:val="22"/>
          <w:szCs w:val="22"/>
        </w:rPr>
        <w:t xml:space="preserve">消费电子及触控显示业务下滑风险：2025年触控显示收入同比下降61.50%，应用终端毛利率仅4.74%；2026年上半年公司又受到存储芯片价格上涨、终端需求走弱及客户下调生产计划影响，若消费电子订单继续减少，可能进一步拖累收入、产能利用率和现金流。</w:t>
      </w:r>
    </w:p>
    <w:p>
      <w:pPr>
        <w:pStyle w:val="ListParagraph"/>
        <w:numPr>
          <w:ilvl w:val="0"/>
          <w:numId w:val="2"/>
        </w:numPr>
        <w:spacing w:after="80" w:line="280"/>
      </w:pPr>
      <w:r>
        <w:rPr>
          <w:sz w:val="22"/>
          <w:szCs w:val="22"/>
        </w:rPr>
        <w:t xml:space="preserve">营运资金占用及回款风险：截至2025年末，公司应收账款账面余额29.90亿元，其中2年以上账龄余额约11.88亿元、3年以上账龄余额约5.90亿元；存货账面价值22.69亿元。应收账款和存货占用较重，客户回款不及预期可能加剧流动性压力及资产减值风险。</w:t>
      </w:r>
    </w:p>
    <w:p>
      <w:pPr>
        <w:pStyle w:val="ListParagraph"/>
        <w:numPr>
          <w:ilvl w:val="0"/>
          <w:numId w:val="2"/>
        </w:numPr>
        <w:spacing w:after="80" w:line="280"/>
      </w:pPr>
      <w:r>
        <w:rPr>
          <w:sz w:val="22"/>
          <w:szCs w:val="22"/>
        </w:rPr>
        <w:t xml:space="preserve">诉讼仲裁及经营扰动风险：2026年4月28日至8月25日期间，公司及控股子公司新增诉讼、仲裁案件72件，涉案金额合计约1.07亿元，其中作为被告或第三人的金额约8315.59万元；部分案件尚未开庭或结案，可能对利润、资产和日常经营造成不确定影响。</w:t>
      </w:r>
    </w:p>
    <w:p>
      <w:pPr>
        <w:pStyle w:val="ListParagraph"/>
        <w:numPr>
          <w:ilvl w:val="0"/>
          <w:numId w:val="2"/>
        </w:numPr>
        <w:spacing w:after="80" w:line="280"/>
      </w:pPr>
      <w:r>
        <w:rPr>
          <w:sz w:val="22"/>
          <w:szCs w:val="22"/>
        </w:rPr>
        <w:t xml:space="preserve">控制权变更及股东质押风险：寿县新桥拟受让控股股东股份并取得控制权，但交易仍需履行国资监管审核、反垄断审查、深交所合规确认及股份过户等程序，尚未完成；同时控股股东及一致行动人质押股份占其持股比例超过80%，可能增加交易执行、股份被动处置及控制权稳定性风险。</w:t>
      </w:r>
    </w:p>
    <w:p>
      <w:pPr>
        <w:pStyle w:val="ListParagraph"/>
        <w:numPr>
          <w:ilvl w:val="0"/>
          <w:numId w:val="2"/>
        </w:numPr>
        <w:spacing w:after="80" w:line="280"/>
      </w:pPr>
      <w:r>
        <w:rPr>
          <w:sz w:val="22"/>
          <w:szCs w:val="22"/>
        </w:rPr>
        <w:t xml:space="preserve">技术面及杠杆资金波动风险：截至2026年9月11日，股价跌破短期均线和布林下轨，MACD处于零轴下方，且融资余额约6.09亿元、占流通市值约8.93%。若股价继续走弱，融资盘和高质押结构可能放大短期波动；技术指标出现超卖也不代表基本面或趋势已经反转。</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从增长逻辑看，车载光学是公司当前最明确的业务主线。2025年车载光学收入同比增长49.10%，公司具备模造玻璃镜片、棱镜、ADAS镜头及车载影像模组的研发量产能力，并已推进合肥、墨西哥和越南等产能布局。若车载光学产品结构向高像素ADAS镜头、HUD/PGU、智能照明和高附加值感知模组升级，同时产能利用率、产品价格和成本控制改善，公司业务结构仍存在修复空间。</w:t>
      </w:r>
    </w:p>
    <w:p>
      <w:pPr>
        <w:spacing w:after="160" w:line="300"/>
      </w:pPr>
      <w:r>
        <w:rPr>
          <w:sz w:val="22"/>
          <w:szCs w:val="22"/>
        </w:rPr>
        <w:t xml:space="preserve">但短期内增长逻辑受到盈利、现金流和资本结构的明显制约。车载光学2025年成本增速高于收入增速，毛利率降至18.39%；消费电子需求走弱、存储芯片价格上涨、终端客户削减订单以及公司主动收缩业务规模，已导致2026年上半年收入和利润进一步恶化。历史研报对2026—2027年的盈利预测形成于业绩恶化前，不能作为当前有效的一致预期，公司2026年实现营业收入90亿元并扭亏为盈的目标也不属于经审计或具有约束力的业绩预测。</w:t>
      </w:r>
    </w:p>
    <w:p>
      <w:pPr>
        <w:spacing w:after="160" w:line="300"/>
      </w:pPr>
      <w:r>
        <w:rPr>
          <w:sz w:val="22"/>
          <w:szCs w:val="22"/>
        </w:rPr>
        <w:t xml:space="preserve">后续观察重点在于车载光学收入增长能否转化为毛利和现金流改善、消费电子订单是否恢复、应收账款及存货占用能否下降，以及债务逾期、担保责任、诉讼仲裁和控制权变更事项能否得到妥善解决。控制权转让尚未完成，原定定向增发已终止，叠加控股股东及一致行动人高比例质押，公司的经营修复与治理、融资能力和资产负债表变化仍具有较大不确定性。</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联创电子(002036)_股票行情，行情首页_中财网 — https://quotewh.cfi.cn/002036.html?utm_source=openai</w:t>
      </w:r>
    </w:p>
    <w:p>
      <w:pPr>
        <w:spacing w:after="200"/>
      </w:pPr>
      <w:r>
        <w:rPr>
          <w:i/>
          <w:iCs/>
          <w:color w:val="595959"/>
          <w:sz w:val="18"/>
          <w:szCs w:val="18"/>
        </w:rPr>
        <w:t xml:space="preserve">联创电子(002036)_公司公告_联创电子：关于子公司债务逾期暨担保进展的公告新浪财经_新浪网 — https://money.finance.sina.com.cn/corp/view/vCB_AllBulletinDetail.php?id=12590300&amp;stockid=002036</w:t>
      </w:r>
    </w:p>
    <w:p>
      <w:pPr>
        <w:spacing w:after="200"/>
      </w:pPr>
      <w:r>
        <w:rPr>
          <w:i/>
          <w:iCs/>
          <w:color w:val="595959"/>
          <w:sz w:val="18"/>
          <w:szCs w:val="18"/>
        </w:rPr>
        <w:t xml:space="preserve">联创电子(002036)_公司公告_联创电子：关于公司提供担保的进展公告新浪财经_新浪网 — https://money.finance.sina.com.cn/corp/view/vCB_AllBulletinDetail.php?id=12590299&amp;stockid=002036</w:t>
      </w:r>
    </w:p>
    <w:p>
      <w:pPr>
        <w:spacing w:after="200"/>
      </w:pPr>
      <w:r>
        <w:rPr>
          <w:i/>
          <w:iCs/>
          <w:color w:val="595959"/>
          <w:sz w:val="18"/>
          <w:szCs w:val="18"/>
        </w:rPr>
        <w:t xml:space="preserve">联创电子(002036)_公司公告_联创电子：2026年半年度业绩预告新浪财经_新浪网 — https://vip.stock.finance.sina.com.cn/corp/view/vCB_AllBulletinDetail.php?CompanyCode=10001434&amp;gather=1&amp;id=12446539&amp;utm_source=openai</w:t>
      </w:r>
    </w:p>
    <w:p>
      <w:pPr>
        <w:spacing w:after="200"/>
      </w:pPr>
      <w:r>
        <w:rPr>
          <w:i/>
          <w:iCs/>
          <w:color w:val="595959"/>
          <w:sz w:val="18"/>
          <w:szCs w:val="18"/>
        </w:rPr>
        <w:t xml:space="preserve">联创电子_ 个股日历 _ 东方财富网_ 数据频道 — https://data.eastmoney.com/stockcalendar/002036.html?utm_source=openai</w:t>
      </w:r>
    </w:p>
    <w:p>
      <w:pPr>
        <w:spacing w:after="200"/>
      </w:pPr>
      <w:r>
        <w:rPr>
          <w:i/>
          <w:iCs/>
          <w:color w:val="595959"/>
          <w:sz w:val="18"/>
          <w:szCs w:val="18"/>
        </w:rPr>
        <w:t xml:space="preserve">联创电子(002036)_公司公告_联创电子：关于终止2025年度向特定对象发行股票的公告新浪财经_新浪网 — https://money.finance.sina.com.cn/corp/view/vCB_AllBulletinDetail.php?id=12507181&amp;stockid=002036</w:t>
      </w:r>
    </w:p>
    <w:p>
      <w:pPr>
        <w:spacing w:after="200"/>
      </w:pPr>
      <w:r>
        <w:rPr>
          <w:i/>
          <w:iCs/>
          <w:color w:val="595959"/>
          <w:sz w:val="18"/>
          <w:szCs w:val="18"/>
        </w:rPr>
        <w:t xml:space="preserve">https://static.cninfo.com.cn/finalpage/2026-07-30/1225447271.PDF — https://static.cninfo.com.cn/finalpage/2026-07-30/1225447271.PDF</w:t>
      </w:r>
    </w:p>
    <w:p>
      <w:pPr>
        <w:spacing w:after="200"/>
      </w:pPr>
      <w:r>
        <w:rPr>
          <w:i/>
          <w:iCs/>
          <w:color w:val="595959"/>
          <w:sz w:val="18"/>
          <w:szCs w:val="18"/>
        </w:rPr>
        <w:t xml:space="preserve">联创电子科技股份有限公司关于筹划控制权变更事项进展暨复牌的公告|上海证券报 — https://paper.cnstock.com/html/2026-07/30/content_2249889.htm?utm_source=openai</w:t>
      </w:r>
    </w:p>
    <w:p>
      <w:pPr>
        <w:spacing w:after="200"/>
      </w:pPr>
      <w:r>
        <w:rPr>
          <w:i/>
          <w:iCs/>
          <w:color w:val="595959"/>
          <w:sz w:val="18"/>
          <w:szCs w:val="18"/>
        </w:rPr>
        <w:t xml:space="preserve">https://disc.static.szse.cn/download/disc/disk03/finalpage/2026-08-12/b0040aba-7b29-4d2b-930e-00b5d8103c20.PDF — https://disc.static.szse.cn/download/disc/disk03/finalpage/2026-08-12/b0040aba-7b29-4d2b-930e-00b5d8103c20.PDF</w:t>
      </w:r>
    </w:p>
    <w:p>
      <w:pPr>
        <w:spacing w:after="200"/>
      </w:pPr>
      <w:r>
        <w:rPr>
          <w:i/>
          <w:iCs/>
          <w:color w:val="595959"/>
          <w:sz w:val="18"/>
          <w:szCs w:val="18"/>
        </w:rPr>
        <w:t xml:space="preserve">联创电子(002036)_公司公告_联创电子：关于累计新增诉讼、仲裁情况的公告新浪财经_新浪网 — https://money.finance.sina.com.cn/corp/view/vCB_AllBulletinDetail.php?id=12524004&amp;stockid=002036&amp;utm_source=openai</w:t>
      </w:r>
    </w:p>
    <w:p>
      <w:pPr>
        <w:spacing w:after="200"/>
      </w:pPr>
      <w:r>
        <w:rPr>
          <w:i/>
          <w:iCs/>
          <w:color w:val="595959"/>
          <w:sz w:val="18"/>
          <w:szCs w:val="18"/>
        </w:rPr>
        <w:t xml:space="preserve">联创电子(002036)_重大事项提醒与新闻公告_投资提醒_新浪财经_新浪网 — https://vip.stock.finance.sina.com.cn/corp/view/vCB_AllMemordDetail.php?stockid=002036&amp;utm_source=openai</w:t>
      </w:r>
    </w:p>
    <w:p>
      <w:pPr>
        <w:spacing w:after="200"/>
      </w:pPr>
      <w:r>
        <w:rPr>
          <w:i/>
          <w:iCs/>
          <w:color w:val="595959"/>
          <w:sz w:val="18"/>
          <w:szCs w:val="18"/>
        </w:rPr>
        <w:t xml:space="preserve">https://static.cninfo.com.cn/finalpage/2026-08-20/1225484062.pdf — https://static.cninfo.com.cn/finalpage/2026-08-20/1225484062.pdf</w:t>
      </w:r>
    </w:p>
    <w:p>
      <w:pPr>
        <w:spacing w:after="200"/>
      </w:pPr>
      <w:r>
        <w:rPr>
          <w:i/>
          <w:iCs/>
          <w:color w:val="595959"/>
          <w:sz w:val="18"/>
          <w:szCs w:val="18"/>
        </w:rPr>
        <w:t xml:space="preserve">联创电子(002036)_股票行情，行情首页_中财网 — https://quote.cfi.cn/quote2087_002036.html</w:t>
      </w:r>
    </w:p>
    <w:p>
      <w:pPr>
        <w:spacing w:after="200"/>
      </w:pPr>
      <w:r>
        <w:rPr>
          <w:i/>
          <w:iCs/>
          <w:color w:val="595959"/>
          <w:sz w:val="18"/>
          <w:szCs w:val="18"/>
        </w:rPr>
        <w:t xml:space="preserve">联创电子(002036.SZ) 股票行情_历史数据_主力资金 - 大波浪数据 — https://www.yyqyx.com/s/002036.SZ</w:t>
      </w:r>
    </w:p>
    <w:p>
      <w:pPr>
        <w:spacing w:after="200"/>
      </w:pPr>
      <w:r>
        <w:rPr>
          <w:i/>
          <w:iCs/>
          <w:color w:val="595959"/>
          <w:sz w:val="18"/>
          <w:szCs w:val="18"/>
        </w:rPr>
        <w:t xml:space="preserve">联创电子(002036.SZ) 股票行情_历史数据_主力资金 - 大波浪数据 — https://www.yyqyx.com/s/002036.SZ?utm_source=openai</w:t>
      </w:r>
    </w:p>
    <w:p>
      <w:pPr>
        <w:spacing w:after="200"/>
      </w:pPr>
      <w:r>
        <w:rPr>
          <w:i/>
          <w:iCs/>
          <w:color w:val="595959"/>
          <w:sz w:val="18"/>
          <w:szCs w:val="18"/>
        </w:rPr>
        <w:t xml:space="preserve">联创电子(002036) 最新动态_F10_同花顺金融服务网 — https://basic.10jqka.com.cn/002036/</w:t>
      </w:r>
    </w:p>
    <w:p>
      <w:pPr>
        <w:spacing w:after="200"/>
      </w:pPr>
      <w:r>
        <w:rPr>
          <w:i/>
          <w:iCs/>
          <w:color w:val="595959"/>
          <w:sz w:val="18"/>
          <w:szCs w:val="18"/>
        </w:rPr>
        <w:t xml:space="preserve">本报告由AI基于公开渠道信息自动检索、整理并生成，信息截至 截至2026年9月11日收盘；均线、MACD、RSI及布林带主要采用截至2026年9月10日收盘数据，股东结构数据截至2026年6月30日，股东人数数据截至2026年8月31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2026-09-13T11:42:21.130Z</dcterms:created>
  <dcterms:modified xsi:type="dcterms:W3CDTF">2026-09-13T11:42:21.130Z</dcterms:modified>
</cp:coreProperties>
</file>

<file path=docProps/custom.xml><?xml version="1.0" encoding="utf-8"?>
<Properties xmlns="http://schemas.openxmlformats.org/officeDocument/2006/custom-properties" xmlns:vt="http://schemas.openxmlformats.org/officeDocument/2006/docPropsVTypes"/>
</file>