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国轩高科股份有限公司 (002074)</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行业：动力电池与储能电池制造</w:t>
      </w:r>
    </w:p>
    <w:p>
      <w:pPr>
        <w:jc w:val="center"/>
      </w:pPr>
      <w:r>
        <w:rPr>
          <w:color w:val="595959"/>
          <w:sz w:val="22"/>
          <w:szCs w:val="22"/>
        </w:rPr>
        <w:t xml:space="preserve">报告日期：2026年9月13日</w:t>
      </w:r>
    </w:p>
    <w:p>
      <w:pPr>
        <w:jc w:val="center"/>
      </w:pPr>
      <w:r>
        <w:rPr>
          <w:color w:val="595959"/>
          <w:sz w:val="20"/>
          <w:szCs w:val="20"/>
        </w:rPr>
        <w:t xml:space="preserve">截至2026年9月11日收盘；技术指标基于研究纪要所述历史收盘价测算，股东结构数据截至2026年6月30日，存在约三个月滞后。</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国轩高科最新业绩呈现“收入高增长、归母利润大幅增长但主营盈利质量偏弱”的特征：2026年上半年实现营业收入277.76亿元，同比增长43.22%，归母净利润13.86亿元，同比增长278.05%，但扣非归母净利润仅1.07亿元，同比增长46.71%，归母净利润与扣非净利润相差约12.79亿元，股票投资收益、公允价值变动损益等非经常性因素对利润贡献较大。同期动力电池系统收入225.97亿元，同比增长61.01%，储能电池系统收入36.89亿元，同比下降19.14%，海外收入94.76亿元，同比增长48.06%。</w:t>
      </w:r>
    </w:p>
    <w:p>
      <w:pPr>
        <w:spacing w:after="160" w:line="300"/>
      </w:pPr>
      <w:r>
        <w:rPr>
          <w:sz w:val="22"/>
          <w:szCs w:val="22"/>
        </w:rPr>
        <w:t xml:space="preserve">公司主营业务仍以动力电池和储能电池为核心，2024年两项业务收入合计占营业收入94.60%；2025年营业收入450.70亿元，同比增长27.35%，归母净利润23.83亿元，同比增长97.49%。不过，2026年上半年销售毛利率约15.60%，同比下降约0.82个百分点，财务费用同比增长131.47%至14.51亿元，经营性现金流净额为4.28亿元，显示规模扩张尚未完全转化为稳定的主营利润和现金流改善。</w:t>
      </w:r>
    </w:p>
    <w:p>
      <w:pPr>
        <w:spacing w:after="160" w:line="300"/>
      </w:pPr>
      <w:r>
        <w:rPr>
          <w:sz w:val="22"/>
          <w:szCs w:val="22"/>
        </w:rPr>
        <w:t xml:space="preserve">公司具备磷酸铁锂、储能产品、海外布局及大众汽车战略合作等基础，2024年海外收入占比已达31.09%，且海外业务毛利率22.28%，高于中国大陆地区的16.07%。但行业仍处于产能、价格、客户认证和海外本地化竞争阶段，2024年国轩高科国内动力电池装车量25.04GWh、市场份额4.59%，位居国内第四，与宁德时代、比亚迪等头部企业在规模、客户覆盖和盈利能力方面仍存在差距。</w:t>
      </w:r>
    </w:p>
    <w:p>
      <w:pPr>
        <w:spacing w:after="160" w:line="300"/>
      </w:pPr>
      <w:r>
        <w:rPr>
          <w:sz w:val="22"/>
          <w:szCs w:val="22"/>
        </w:rPr>
        <w:t xml:space="preserve">截至2026年9月11日，公司股价25.02元，较8月26日收盘价回落约10.3%，低于MA5、MA10和MA20，RSI14约30.3，且超大单、大单合计净流出约2210.45万元，短线技术面偏弱并接近超卖。当前市场对公司价值的判断，核心仍取决于扣非利润、动力电池及储能毛利率、经营性现金流、汇兑损益以及海外和储能业务能否持续兑现。</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002074</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国轩高科</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注册地址/总部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安徽省合肥市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前身</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江苏东源电器集团股份有限公司，2015年更名为国轩高科</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主要依据</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国轩高科2024年年度报告，数据截至2024年12月31日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353.92亿元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2024年归母净利润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12.07亿元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2024年海外收入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110.05亿元，占营业收入31.09%；同比增长71.21%</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动力电池系统：包括磷酸铁锂电芯及电池系统、磷酸锰铁锂相关产品、三元材料电芯及动力电池组、电池管理系统、模组和电池包等。2024年收入256.48亿元，占营业收入72.47%，毛利率15.14%。</w:t>
      </w:r>
    </w:p>
    <w:p>
      <w:pPr>
        <w:pStyle w:val="ListParagraph"/>
        <w:numPr>
          <w:ilvl w:val="0"/>
          <w:numId w:val="2"/>
        </w:numPr>
        <w:spacing w:after="80" w:line="280"/>
      </w:pPr>
      <w:r>
        <w:rPr>
          <w:sz w:val="22"/>
          <w:szCs w:val="22"/>
        </w:rPr>
        <w:t xml:space="preserve">储能电池系统：包括储能电芯、标准化电池箱和电池簇、液冷电池舱、工商业储能户外柜、户用储能系统、移动储能和便携式储能设备及储能电站综合解决方案。2024年收入78.32亿元，占营业收入22.13%，毛利率21.75%。</w:t>
      </w:r>
    </w:p>
    <w:p>
      <w:pPr>
        <w:pStyle w:val="ListParagraph"/>
        <w:numPr>
          <w:ilvl w:val="0"/>
          <w:numId w:val="2"/>
        </w:numPr>
        <w:spacing w:after="80" w:line="280"/>
      </w:pPr>
      <w:r>
        <w:rPr>
          <w:sz w:val="22"/>
          <w:szCs w:val="22"/>
        </w:rPr>
        <w:t xml:space="preserve">输配电设备：包括高低压开关成套设备、电器数字化设备、配网智能化设备、变压器、断路器、一体化充电桩、储能机柜及输变电运维服务和EPC工程总包。2024年收入4.57亿元，占营业收入1.29%，毛利率19.68%。</w:t>
      </w:r>
    </w:p>
    <w:p>
      <w:pPr>
        <w:pStyle w:val="ListParagraph"/>
        <w:numPr>
          <w:ilvl w:val="0"/>
          <w:numId w:val="2"/>
        </w:numPr>
        <w:spacing w:after="80" w:line="280"/>
      </w:pPr>
      <w:r>
        <w:rPr>
          <w:sz w:val="22"/>
          <w:szCs w:val="22"/>
        </w:rPr>
        <w:t xml:space="preserve">其他业务及新应用场景：包括低空飞行器电池、电动船舶电池、工程机械电池、移动补电、便携式储能、电池回收和资源循环利用等。2024年收入14.55亿元，占营业收入4.11%，毛利率47.80%；该口径较为综合，不能简单等同于单一新兴业务。</w:t>
      </w:r>
    </w:p>
    <w:p>
      <w:pPr>
        <w:pStyle w:val="ListParagraph"/>
        <w:numPr>
          <w:ilvl w:val="0"/>
          <w:numId w:val="2"/>
        </w:numPr>
        <w:spacing w:after="80" w:line="280"/>
      </w:pPr>
      <w:r>
        <w:rPr>
          <w:sz w:val="22"/>
          <w:szCs w:val="22"/>
        </w:rPr>
        <w:t xml:space="preserve">动力电池和储能电池合计收入334.80亿元，占营业收入94.60%，公司本质上已是一家以动力电池和储能电池为主的新能源电池企业。</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国轩高科位于新能源产业链中游，核心业务是动力电池和储能电池制造，并向上游材料、矿产资源和电池回收延伸，向下游整车、电力储能和海外能源应用拓展。2024年销售收入全部以直销模式确认，主要面向整车企业、储能系统集成商和大型能源客户。</w:t>
      </w:r>
    </w:p>
    <w:p>
      <w:pPr>
        <w:pStyle w:val="ListParagraph"/>
        <w:numPr>
          <w:ilvl w:val="0"/>
          <w:numId w:val="2"/>
        </w:numPr>
        <w:spacing w:after="80" w:line="280"/>
      </w:pPr>
      <w:r>
        <w:rPr>
          <w:sz w:val="22"/>
          <w:szCs w:val="22"/>
        </w:rPr>
        <w:t xml:space="preserve">实际采购或使用的主要上游材料包括锂资源及碳酸锂、镍、钴等金属资源、正极材料、负极材料、隔膜、电解液、铜箔、铝箔、结构件及电子元器件；同时采购生产设备和自动化设备。</w:t>
      </w:r>
    </w:p>
    <w:p>
      <w:pPr>
        <w:pStyle w:val="ListParagraph"/>
        <w:numPr>
          <w:ilvl w:val="0"/>
          <w:numId w:val="2"/>
        </w:numPr>
        <w:spacing w:after="80" w:line="280"/>
      </w:pPr>
      <w:r>
        <w:rPr>
          <w:sz w:val="22"/>
          <w:szCs w:val="22"/>
        </w:rPr>
        <w:t xml:space="preserve">公司已布局宜春锂矿、印尼镍资源、阿根廷盐湖、正极材料、负极材料、铜箔、隔膜、前驱体和电池回收等环节，但这些表述主要反映项目、权益投资或产业链布局，不等同于已拥有可独立控制、可直接确认的全部矿产储量；公开年报未提供统一、可核验的权益锂、镍资源储量数据。</w:t>
      </w:r>
    </w:p>
    <w:p>
      <w:pPr>
        <w:pStyle w:val="ListParagraph"/>
        <w:numPr>
          <w:ilvl w:val="0"/>
          <w:numId w:val="2"/>
        </w:numPr>
        <w:spacing w:after="80" w:line="280"/>
      </w:pPr>
      <w:r>
        <w:rPr>
          <w:sz w:val="22"/>
          <w:szCs w:val="22"/>
        </w:rPr>
        <w:t xml:space="preserve">2024年动力电池行业原材料成本为231.19亿元，占动力电池营业成本79.66%，虽低于2023年的86.03%，原材料仍是成本端核心变量。</w:t>
      </w:r>
    </w:p>
    <w:p>
      <w:pPr>
        <w:pStyle w:val="ListParagraph"/>
        <w:numPr>
          <w:ilvl w:val="0"/>
          <w:numId w:val="2"/>
        </w:numPr>
        <w:spacing w:after="80" w:line="280"/>
      </w:pPr>
      <w:r>
        <w:rPr>
          <w:sz w:val="22"/>
          <w:szCs w:val="22"/>
        </w:rPr>
        <w:t xml:space="preserve">公司通过长期合作、战略投资和部分材料自产提升供应链稳定性，但对锂、镍、铜、铝等大宗商品价格仍具有较强的价格接受者特征；成本优势更多来自规模采购、材料一体化、工艺降本和产品结构，而非资源垄断。</w:t>
      </w:r>
    </w:p>
    <w:p>
      <w:pPr>
        <w:pStyle w:val="ListParagraph"/>
        <w:numPr>
          <w:ilvl w:val="0"/>
          <w:numId w:val="2"/>
        </w:numPr>
        <w:spacing w:after="80" w:line="280"/>
      </w:pPr>
      <w:r>
        <w:rPr>
          <w:sz w:val="22"/>
          <w:szCs w:val="22"/>
        </w:rPr>
        <w:t xml:space="preserve">2024年前五大供应商采购额占年度采购总额24.24%；供应商具体名称在年报中匿名披露为“供应商一至供应商五”，无法仅凭年报确认具体身份。</w:t>
      </w:r>
    </w:p>
    <w:p>
      <w:pPr>
        <w:pStyle w:val="ListParagraph"/>
        <w:numPr>
          <w:ilvl w:val="0"/>
          <w:numId w:val="2"/>
        </w:numPr>
        <w:spacing w:after="80" w:line="280"/>
      </w:pPr>
      <w:r>
        <w:rPr>
          <w:sz w:val="22"/>
          <w:szCs w:val="22"/>
        </w:rPr>
        <w:t xml:space="preserve">下游客户主要包括乘用车和商用车整车企业、重卡及工程机械企业、特种车辆企业、储能系统集成商、电力和能源集团以及海外汽车和储能客户。</w:t>
      </w:r>
    </w:p>
    <w:p>
      <w:pPr>
        <w:pStyle w:val="ListParagraph"/>
        <w:numPr>
          <w:ilvl w:val="0"/>
          <w:numId w:val="2"/>
        </w:numPr>
        <w:spacing w:after="80" w:line="280"/>
      </w:pPr>
      <w:r>
        <w:rPr>
          <w:sz w:val="22"/>
          <w:szCs w:val="22"/>
        </w:rPr>
        <w:t xml:space="preserve">2024年年报披露的车企客户包括VinFast、Rivian、Ebusco、奇瑞、吉利、上汽通用五菱、零跑、长安、长城、江淮和三一等；储能客户包括PowerCo、NextEra、大和能源、华为、龙源电力、三峡集团和华润电力等。但披露的客户或合作客户名单不等同于各家客户均在2024年形成大规模收入。</w:t>
      </w:r>
    </w:p>
    <w:p>
      <w:pPr>
        <w:pStyle w:val="ListParagraph"/>
        <w:numPr>
          <w:ilvl w:val="0"/>
          <w:numId w:val="2"/>
        </w:numPr>
        <w:spacing w:after="80" w:line="280"/>
      </w:pPr>
      <w:r>
        <w:rPr>
          <w:sz w:val="22"/>
          <w:szCs w:val="22"/>
        </w:rPr>
        <w:t xml:space="preserve">2024年前五大客户销售额合计132.90亿元，占年度销售总额37.55%；单一最大客户占比9.49%，前五大客户中未披露关联方销售。上述集中度为2024年度数据，客户名称被匿名处理为“客户一至客户五”，无法交叉确认具体客户身份，具体以最新年报为准。</w:t>
      </w:r>
    </w:p>
    <w:p>
      <w:pPr>
        <w:pStyle w:val="ListParagraph"/>
        <w:numPr>
          <w:ilvl w:val="0"/>
          <w:numId w:val="2"/>
        </w:numPr>
        <w:spacing w:after="80" w:line="280"/>
      </w:pPr>
      <w:r>
        <w:rPr>
          <w:sz w:val="22"/>
          <w:szCs w:val="22"/>
        </w:rPr>
        <w:t xml:space="preserve">动力电池面对整车企业，通常存在车型定点开发、年度降价、车型生命周期价格管理和质量赔偿等压力；储能电池面对系统集成商和能源客户，价格竞争、招投标和项目交付能力较为重要。</w:t>
      </w:r>
    </w:p>
    <w:p>
      <w:pPr>
        <w:pStyle w:val="ListParagraph"/>
        <w:numPr>
          <w:ilvl w:val="0"/>
          <w:numId w:val="2"/>
        </w:numPr>
        <w:spacing w:after="80" w:line="280"/>
      </w:pPr>
      <w:r>
        <w:rPr>
          <w:sz w:val="22"/>
          <w:szCs w:val="22"/>
        </w:rPr>
        <w:t xml:space="preserve">公司不具备类似消费品牌企业的终端定价权，议价能力主要依赖产品性能、成本、质量认证、客户定点关系和海外本地化能力；海外业务还面临认证、汇率、当地供应链和项目回款风险。</w:t>
      </w:r>
    </w:p>
    <w:p>
      <w:pPr>
        <w:pStyle w:val="ListParagraph"/>
        <w:numPr>
          <w:ilvl w:val="0"/>
          <w:numId w:val="2"/>
        </w:numPr>
        <w:spacing w:after="80" w:line="280"/>
      </w:pPr>
      <w:r>
        <w:rPr>
          <w:sz w:val="22"/>
          <w:szCs w:val="22"/>
        </w:rPr>
        <w:t xml:space="preserve">截至2024年12月31日，应收账款账面价值164.54亿元，约占当年营业收入46.5%，较2023年末129.11亿元增加27.45%；应付账款166.48亿元，较2023年末134.07亿元增加；预付款项为数亿元级别，年末具体数值低于应收账款和应付账款。应收账款增幅高于收入增幅，反映动力电池和储能业务存在较明显的营运资金占用，可能受下游客户账期、海外业务扩张和项目交付节奏影响；仅凭应付账款略高于应收账款，不能认定公司对上游拥有强议价权。</w:t>
      </w:r>
    </w:p>
    <w:p>
      <w:pPr>
        <w:pStyle w:val="ListParagraph"/>
        <w:numPr>
          <w:ilvl w:val="0"/>
          <w:numId w:val="2"/>
        </w:numPr>
        <w:spacing w:after="80" w:line="280"/>
      </w:pPr>
      <w:r>
        <w:rPr>
          <w:sz w:val="22"/>
          <w:szCs w:val="22"/>
        </w:rPr>
        <w:t xml:space="preserve">客户集中度方面，2024年前五大客户销售额占年度销售总额37.55%，单一最大客户占9.49%；供应商集中度方面，2024年前五大供应商采购额占年度采购总额24.24%。客户及供应商均以匿名方式披露，具体名称无法核实；上述数据主要来自2024年年度报告，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18.61%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约0.98%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动力电池需求增长，但碳酸锂等原材料价格快速上涨，成本涨幅高于收入增速，原材料价格上升和毛利率下降明显挤压利润。</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约17.79%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约1.35%</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动力电池和储能收入高速增长，公司通过产品涨价和成本传导部分对冲材料上涨，但动力电池仍受材料价格上涨及价格传导滞后影响；储能业务占比提升形成一定支撑。</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约16.92%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约2.97%</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动力电池毛利率下降至15.04%，行业成本和价格竞争压力较大；储能收入同比增长97.61%、毛利率提升至18.29%，对利润形成补偿。</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约18.00%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约3.41%</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动力电池毛利率回升至15.14%，储能电池毛利率升至21.75%；海外收入同比增长71.21%，海外业务毛利率22.28%高于中国大陆地区16.07%，产品结构、储能增长、海外占比提升及原材料成本占比下降推动毛利率修复。</w:t>
            </w:r>
          </w:p>
        </w:tc>
      </w:tr>
    </w:tbl>
    <w:p>
      <w:pPr>
        <w:spacing w:before="200"/>
      </w:pPr>
    </w:p>
    <w:p>
      <w:pPr>
        <w:spacing w:after="160" w:line="300"/>
      </w:pPr>
      <w:r>
        <w:rPr>
          <w:sz w:val="22"/>
          <w:szCs w:val="22"/>
        </w:rPr>
        <w:t xml:space="preserve">公司处于新能源产业链中游制造环节，既非上游资源型高毛利企业，也不是拥有终端品牌定价权的整车企业，整体呈现中游制造、利润率中等偏低的特征。进一步改善利润主要依赖储能和海外业务占比提升、材料一体化和长期采购降本、产能利用率提升、高能量密度及快充等产品放量、客户结构优化和回款改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450.70亿元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同比增长27.35%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归母净利润23.83亿元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同比增长97.49%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2026年第一季度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117.08亿元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同比增长29.30%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归母净利润约0.21亿元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同比下降79.04%</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277.76亿元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同比增长43.22%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归母净利润13.86亿元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同比增长278.05%</w:t>
            </w:r>
          </w:p>
        </w:tc>
      </w:tr>
    </w:tbl>
    <w:p>
      <w:pPr>
        <w:spacing w:after="200"/>
      </w:pPr>
      <w:r>
        <w:rPr>
          <w:i/>
          <w:iCs/>
          <w:color w:val="595959"/>
          <w:sz w:val="18"/>
          <w:szCs w:val="18"/>
        </w:rPr>
        <w:t xml:space="preserve">最新正式披露财报为2026年半年度报告，披露日期为2026年8月25日。2026年上半年扣非归母净利润为1.07亿元，同比增长46.71%；2025年同期为0.73亿元。2026年上半年基本每股收益0.76元，同比增长280.00%；经营活动产生的现金流量净额为4.28亿元，同比增长31.74%。2025年度扣非归母净利润为4.32亿元，同比增长64.48%；经营活动现金流量净额为36.24亿元，同比增长33.96%。</w:t>
      </w:r>
    </w:p>
    <w:p>
      <w:pPr>
        <w:spacing w:after="160" w:line="300"/>
      </w:pPr>
      <w:r>
        <w:rPr>
          <w:sz w:val="22"/>
          <w:szCs w:val="22"/>
        </w:rPr>
        <w:t xml:space="preserve">2026年上半年收入增长较快，动力电池系统收入225.97亿元，同比增长61.01%，储能电池系统收入36.89亿元，同比下降19.14%，海外地区收入94.76亿元，同比增长48.06%。但归母净利润13.86亿元与扣非归母净利润1.07亿元相差约12.79亿元，非经常性损益贡献较大，主营业务盈利能力尚未与收入规模完全匹配。2026年上半年销售毛利率约15.60%，同比下降约0.82个百分点；研发投入15.58亿元，同比增长12.80%；财务费用14.51亿元，同比增长131.47%，公司披露主要受汇率波动影响。</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11日，同花顺数据显示近六个月共有13家机构对2026年度业绩进行预测。公开可核实的综合预测显示，2026年营业收入约658.51亿元；不同机构对收入预测大体集中在600亿至670亿元附近。机构对归母净利润预测分歧较大，已披露的2026年预测区间约为9.68亿元至32.90亿元，主要预测受非经常性损益、原材料价格、毛利率修复、海外及储能业务放量、汇率和公允价值变动等因素影响。</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2026年机构一致预期</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约658.51亿元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约20.28亿元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较2025年实际归母净利润下降约14.92%</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约1.12元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2027年机构一致预期</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约29.58亿元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约1.63元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2028年机构一致预期</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约40.58亿元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约2.24元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2026年东吴证券预测</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667.75亿元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0.53元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2027年东吴证券预测</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952.80亿元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约16.0亿元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0.87元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2028年东吴证券预测</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1213.60亿元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约22.9亿元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1.26元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国联民生</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2026年9月2日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预测2026年至2028年归母净利润分别为18.47亿元、25.17亿元和33.41亿元，EPS分别为1.02元、1.39元和1.84元。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华安证券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2026年9月2日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预测2026年至2028年归母净利润分别为21.73亿元、36.92亿元和54.29亿元，EPS分别为1.20元、2.03元和2.99元。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交银国际证券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2026年8月25日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预测2026年至2028年归母净利润分别为32.90亿元、41.38亿元和61.49亿元，EPS分别为1.854元、2.332元和3.47元；最新目标价未在公开摘要中完整披露。</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天风证券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2026年7月19日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预测2026年至2028年归母净利润分别为11.95亿元、15.30亿元和20.12亿元，EPS分别为0.66元、0.84元和1.11元。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2026年6月18日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预测2026年至2028年归母净利润约为9.7亿元、16.0亿元和22.9亿元，EPS分别为0.53元、0.87元和1.26元；未给出明确目标价。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东兴证券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2026年5月11日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预测2026年至2028年归母净利润分别为26.62亿元、42.50亿元和60.01亿元，EPS分别为1.47元、2.34元和3.31元；公开检索结果未显示明确目标价。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西部证券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预测2026年至2028年归母净利润分别为22.35亿元、32.37亿元和43.15亿元，EPS分别为1.23元、1.78元和2.38元。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2026年8月25日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目标价35.00元；认为当前股价对应2026年、2027年预测市盈率约25.3倍和17.1倍，并将目标价下调30%。</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2026年5月10日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目标价44.27元；预测2026年至2028年归母净利润为15.9亿元、22.9亿元和29.6亿元。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交银国际证券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2026年5月6日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目标价54.84元；2026年8月25日最新信息显示其已下调目标价，但具体最新目标价未完整披露。</w:t>
            </w:r>
          </w:p>
        </w:tc>
      </w:tr>
    </w:tbl>
    <w:p>
      <w:pPr>
        <w:spacing w:before="200"/>
      </w:pPr>
    </w:p>
    <w:p>
      <w:pPr>
        <w:spacing w:after="160" w:line="300"/>
      </w:pPr>
      <w:r>
        <w:rPr>
          <w:sz w:val="22"/>
          <w:szCs w:val="22"/>
        </w:rPr>
        <w:t xml:space="preserve">最近交易日为2026年9月11日，公开数据记录的收盘价约为25.06元或25.47元，存在数据更新时间或日期标注差异，建议以交易所或券商终端最终行情为准。同期公开估值数据为：总市值约455亿至462亿元，市盈率TTM约13.6倍至16.4倍，市净率约1.5倍至1.65倍，总股本约18.15亿股，52周价格区间约24.26元至49.83元。按股价25元至25.5元计算，按2025年归母净利润计算的静态市盈率约19倍；按2026年、2027年和2028年机构一致预期归母净利润计算的预期市盈率分别约22.5倍、15.4倍和11.2倍。按最新滚动利润口径，部分数据平台显示动态市盈率约13.6倍至16.4倍，但该口径受到2026年上半年非经常性收益影响，不宜单独作为估值判断依据。公开目标价大致分布在35元至54.84元之间，不同目标价对应的盈利预测和估值中枢差异较大，不能简单横向比较。当前估值的核心验证指标为动力电池和储能业务毛利率、扣非归母净利润、经营性现金流以及汇兑和公允价值损益的边际变化。</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2026年半年度业绩大幅增长，但扣非利润增幅相对有限</w:t>
      </w:r>
    </w:p>
    <w:p>
      <w:pPr>
        <w:spacing w:after="160" w:line="300"/>
      </w:pPr>
      <w:r>
        <w:rPr>
          <w:sz w:val="22"/>
          <w:szCs w:val="22"/>
        </w:rPr>
        <w:t xml:space="preserve">公司于2026年8月25日披露2026年半年度报告。2026年上半年实现营业收入277.76亿元，同比增长43.22%；归属于上市公司股东的净利润13.86亿元，同比增长278.05%；扣除非经常性损益后的归母净利润约1.07亿元，同比增长46.71%。公司此前于2026年7月15日披露业绩预告，预计归母净利润为12.00亿元至15.50亿元，扣非归母净利润为0.85亿元至1.20亿元，非经常性损益预计影响净利润约11亿元至14亿元。正式半年报数据基本落在业绩预告区间内，但归母净利润大幅增长主要受到股票投资收益及公允价值变动损益等非经常性因素影响，主营业务盈利质量仍需结合后续季度扣非利润、毛利率及经营现金流观察。</w:t>
      </w:r>
    </w:p>
    <w:p>
      <w:pPr>
        <w:pStyle w:val="Heading2"/>
        <w:spacing w:after="120" w:before="240"/>
      </w:pPr>
      <w:r>
        <w:rPr>
          <w:b/>
          <w:bCs/>
          <w:color w:val="2E74B5"/>
          <w:sz w:val="24"/>
          <w:szCs w:val="24"/>
        </w:rPr>
        <w:t xml:space="preserve">4.2 半年度计提减值准备5.26亿元，主要涉及应收账款及存货</w:t>
      </w:r>
    </w:p>
    <w:p>
      <w:pPr>
        <w:spacing w:after="160" w:line="300"/>
      </w:pPr>
      <w:r>
        <w:rPr>
          <w:sz w:val="22"/>
          <w:szCs w:val="22"/>
        </w:rPr>
        <w:t xml:space="preserve">公司于2026年8月25日披露《关于计提减值准备的公告》。截至2026年半年度末，公司及子公司拟计提各项减值损失合计52,561.81万元，其中信用减值损失24,602.41万元，资产减值损失27,959.40万元，主要为存货跌价损失；应收账款坏账损失36,374.50万元，应收票据坏账损失转回或冲回10,875.18万元，其他应收款坏账损失转回896.92万元。该事项对当期利润形成负面影响，但仅根据公告无法判断减值是否已充分反映相关风险，后续需关注应收账款回款及存货周转情况。</w:t>
      </w:r>
    </w:p>
    <w:p>
      <w:pPr>
        <w:pStyle w:val="Heading2"/>
        <w:spacing w:after="120" w:before="240"/>
      </w:pPr>
      <w:r>
        <w:rPr>
          <w:b/>
          <w:bCs/>
          <w:color w:val="2E74B5"/>
          <w:sz w:val="24"/>
          <w:szCs w:val="24"/>
        </w:rPr>
        <w:t xml:space="preserve">4.3 获准注册70亿元债务融资工具</w:t>
      </w:r>
    </w:p>
    <w:p>
      <w:pPr>
        <w:spacing w:after="160" w:line="300"/>
      </w:pPr>
      <w:r>
        <w:rPr>
          <w:sz w:val="22"/>
          <w:szCs w:val="22"/>
        </w:rPr>
        <w:t xml:space="preserve">公司于2026年8月26日披露，中国银行间市场交易商协会已接受公司债务融资工具注册，注册金额为70亿元，注册额度自通知书落款之日起两年内有效，由兴业银行股份有限公司主承销。注册品种包括超短期融资券、短期融资券、中期票据和永续票据。该事项意味着融资额度已获注册，但不代表70亿元已经全部发行或已经形成新增负债，后续发行规模、期限和利率仍取决于公司资金需求及市场融资环境。</w:t>
      </w:r>
    </w:p>
    <w:p>
      <w:pPr>
        <w:pStyle w:val="Heading2"/>
        <w:spacing w:after="120" w:before="240"/>
      </w:pPr>
      <w:r>
        <w:rPr>
          <w:b/>
          <w:bCs/>
          <w:color w:val="2E74B5"/>
          <w:sz w:val="24"/>
          <w:szCs w:val="24"/>
        </w:rPr>
        <w:t xml:space="preserve">4.4 授权未来12个月择机出售上市公司股票资产</w:t>
      </w:r>
    </w:p>
    <w:p>
      <w:pPr>
        <w:spacing w:after="160" w:line="300"/>
      </w:pPr>
      <w:r>
        <w:rPr>
          <w:sz w:val="22"/>
          <w:szCs w:val="22"/>
        </w:rPr>
        <w:t xml:space="preserve">公司于2026年8月25日披露，公司董事会授权公司及控股子公司经营管理层，在未来12个月内择机出售直接或间接持有的已流通境内外上市公司股票资产，出售总成交金额不超过公司最近一期经审计归属于母公司股东净资产的15%。出售方式可包括二级市场竞价交易、协议转让等，出售时间、价格、数量及交易对手尚未确定，交易金额及可能产生的利润暂时无法确定。所得资金拟用于补充流动资金、项目建设及经营发展。公告未披露拟出售的具体股票品种及账面价值，暂无法测算潜在收益或损失。</w:t>
      </w:r>
    </w:p>
    <w:p>
      <w:pPr>
        <w:pStyle w:val="Heading2"/>
        <w:spacing w:after="120" w:before="240"/>
      </w:pPr>
      <w:r>
        <w:rPr>
          <w:b/>
          <w:bCs/>
          <w:color w:val="2E74B5"/>
          <w:sz w:val="24"/>
          <w:szCs w:val="24"/>
        </w:rPr>
        <w:t xml:space="preserve">4.5 对外担保进展：新增多笔融资及租赁担保</w:t>
      </w:r>
    </w:p>
    <w:p>
      <w:pPr>
        <w:spacing w:after="160" w:line="300"/>
      </w:pPr>
      <w:r>
        <w:rPr>
          <w:sz w:val="22"/>
          <w:szCs w:val="22"/>
        </w:rPr>
        <w:t xml:space="preserve">公司于2026年8月29日披露近期与金融机构签署的多笔担保合同，较大金额担保包括：为合肥国轩高科动力能源有限公司提供2.03亿欧元、0.97亿欧元及30,000万元担保；为乾元设备进出口贸易有限公司提供98,567.01万元担保；为桐城国轩电池技术有限公司提供40,000万元担保；为南京国轩新能源有限公司提供25,000万元担保；为唐山国轩电池有限公司提供11,000万元担保；为芜湖国轩动力科技有限公司提供9,000万元担保。上述担保均属于2026年度担保额度预计范围内，公司此前审议通过的2026年度对外提供担保额度合计不超过1,220亿元或等值外币。公告披露的担保合同金额不等同于已经实际发生的损失，后续需关注担保余额、被担保方现金流及代偿风险。</w:t>
      </w:r>
    </w:p>
    <w:p>
      <w:pPr>
        <w:pStyle w:val="Heading2"/>
        <w:spacing w:after="120" w:before="240"/>
      </w:pPr>
      <w:r>
        <w:rPr>
          <w:b/>
          <w:bCs/>
          <w:color w:val="2E74B5"/>
          <w:sz w:val="24"/>
          <w:szCs w:val="24"/>
        </w:rPr>
        <w:t xml:space="preserve">4.6 董事辞任，大众汽车提名新任非独立董事候选人</w:t>
      </w:r>
    </w:p>
    <w:p>
      <w:pPr>
        <w:spacing w:after="160" w:line="300"/>
      </w:pPr>
      <w:r>
        <w:rPr>
          <w:sz w:val="22"/>
          <w:szCs w:val="22"/>
        </w:rPr>
        <w:t xml:space="preserve">公司于2026年8月25日披露，Olaf Korzinovski因个人工作调整辞去公司非独立董事职务，辞职后不再担任公司其他职务。大众汽车（中国）投资有限公司提名Jörg Fenstermann为第十届董事会非独立董事候选人。该事项尚需提交公司2026年第二次临时股东会审议，公司已公告临时股东会拟于2026年9月24日召开。该事项有利于维持公司与大众汽车之间的战略联系，但不直接构成新增订单或业绩承诺。</w:t>
      </w:r>
    </w:p>
    <w:p>
      <w:pPr>
        <w:pStyle w:val="Heading2"/>
        <w:spacing w:after="120" w:before="240"/>
      </w:pPr>
      <w:r>
        <w:rPr>
          <w:b/>
          <w:bCs/>
          <w:color w:val="2E74B5"/>
          <w:sz w:val="24"/>
          <w:szCs w:val="24"/>
        </w:rPr>
        <w:t xml:space="preserve">4.7 新增2026年度日常关联交易预计</w:t>
      </w:r>
    </w:p>
    <w:p>
      <w:pPr>
        <w:spacing w:after="160" w:line="300"/>
      </w:pPr>
      <w:r>
        <w:rPr>
          <w:sz w:val="22"/>
          <w:szCs w:val="22"/>
        </w:rPr>
        <w:t xml:space="preserve">公司于2026年8月25日披露新增2026年度日常关联交易预计。部分新增关联采购预计金额包括：南京盛世精密工业有限公司电芯壳体及配件新增预计5亿元，年度增加后预计金额25亿元；合肥乾锐科技有限公司电解液新增预计2亿元，年度增加后预计金额12亿元；安徽国轩肥东新能源科技有限公司及其子公司碳酸锂、电池箱体及配件新增预计10亿元，年度增加后预计金额15亿元；安徽国轩象铝科技有限公司及其子公司电池箱体及配件新增预计2亿元，年度增加后预计金额7亿元；蚌埠金实科技有限公司电池材料及配件新增预计0.5亿元，年度增加后预计金额3.5亿元。上述事项尚需提交股东会审议，关联交易预计金额不等同于公司新增收入或利润。</w:t>
      </w:r>
    </w:p>
    <w:p>
      <w:pPr>
        <w:pStyle w:val="Heading2"/>
        <w:spacing w:after="120" w:before="240"/>
      </w:pPr>
      <w:r>
        <w:rPr>
          <w:b/>
          <w:bCs/>
          <w:color w:val="2E74B5"/>
          <w:sz w:val="24"/>
          <w:szCs w:val="24"/>
        </w:rPr>
        <w:t xml:space="preserve">4.8 2022年股票期权激励计划完成部分期权注销</w:t>
      </w:r>
    </w:p>
    <w:p>
      <w:pPr>
        <w:spacing w:after="160" w:line="300"/>
      </w:pPr>
      <w:r>
        <w:rPr>
          <w:sz w:val="22"/>
          <w:szCs w:val="22"/>
        </w:rPr>
        <w:t xml:space="preserve">公司于2026年8月29日披露，因2022年股票期权激励计划首次授予部分第三个行权期于2026年7月7日届满，公司注销15名激励对象已获授但尚未行权的股票期权合计15.2623万份。本次注销完成后，2022年股票期权激励计划已实施完毕。公告称，该事项不会对公司股权结构、财务状况和经营成果产生实质性影响。</w:t>
      </w:r>
    </w:p>
    <w:p>
      <w:pPr>
        <w:pStyle w:val="Heading2"/>
        <w:spacing w:after="120" w:before="240"/>
      </w:pPr>
      <w:r>
        <w:rPr>
          <w:b/>
          <w:bCs/>
          <w:color w:val="2E74B5"/>
          <w:sz w:val="24"/>
          <w:szCs w:val="24"/>
        </w:rPr>
        <w:t xml:space="preserve">4.9 披露沙特6GWh储能订单消息，正式合同细节尚待确认</w:t>
      </w:r>
    </w:p>
    <w:p>
      <w:pPr>
        <w:spacing w:after="160" w:line="300"/>
      </w:pPr>
      <w:r>
        <w:rPr>
          <w:sz w:val="22"/>
          <w:szCs w:val="22"/>
        </w:rPr>
        <w:t xml:space="preserve">截至2026年9月13日，公司官网及媒体披露，公司获得沙特首批大型电池储能项目核心6GWh储能订单，将为当地三大主力储能站点提供全套储能解决方案，公司称该订单为其单笔最大储能订单。相关信息主要集中于2026年9月11日披露。截至目前，检索到的主要是公司官网新闻和媒体报道，尚未检索到对应的深交所或巨潮资讯网正式重大合同公告。公司官网新闻未披露合同金额、订单单价、交付周期、收入确认方式、客户名称及违约条款；“订单”是否已经签署正式合同以及是否包含长期运营服务收入，仍需以后续正式公告或定期报告确认为准，暂不宜据此直接测算未来营业收入和利润。</w:t>
      </w:r>
    </w:p>
    <w:p>
      <w:pPr>
        <w:pStyle w:val="Heading2"/>
        <w:spacing w:after="120" w:before="240"/>
      </w:pPr>
      <w:r>
        <w:rPr>
          <w:b/>
          <w:bCs/>
          <w:color w:val="2E74B5"/>
          <w:sz w:val="24"/>
          <w:szCs w:val="24"/>
        </w:rPr>
        <w:t xml:space="preserve">4.10 9月公司新闻：新产品上市、技术获奖及专利奖项</w:t>
      </w:r>
    </w:p>
    <w:p>
      <w:pPr>
        <w:spacing w:after="160" w:line="300"/>
      </w:pPr>
      <w:r>
        <w:rPr>
          <w:sz w:val="22"/>
          <w:szCs w:val="22"/>
        </w:rPr>
        <w:t xml:space="preserve">公司官网披露，2026年9月8日第五代磷酸铁锂电池配套奇瑞风云T7上市；2026年9月2日，公司GotionGuard电池安全预警平台获得全国新能源汽车动力电池安全预警算法大赛相关奖项；2026年9月1日，公司获得第二十六届中国专利银奖。上述信息属于公司新闻、技术及市场推广信息，目前未发现其已形成可量化的新增收入或利润承诺。</w:t>
      </w:r>
    </w:p>
    <w:p>
      <w:pPr>
        <w:pStyle w:val="Heading2"/>
        <w:spacing w:after="120" w:before="240"/>
      </w:pPr>
      <w:r>
        <w:rPr>
          <w:b/>
          <w:bCs/>
          <w:color w:val="2E74B5"/>
          <w:sz w:val="24"/>
          <w:szCs w:val="24"/>
        </w:rPr>
        <w:t xml:space="preserve">4.11 股东及员工持股计划动态</w:t>
      </w:r>
    </w:p>
    <w:p>
      <w:pPr>
        <w:spacing w:after="160" w:line="300"/>
      </w:pPr>
      <w:r>
        <w:rPr>
          <w:sz w:val="22"/>
          <w:szCs w:val="22"/>
        </w:rPr>
        <w:t xml:space="preserve">根据公司2026年半年度报告，截至2026年6月30日，董事长李缜持股未发生变化，董事及高级管理人员在报告期内未发生明显增持或减持。第三期员工持股计划因存续期届满，报告期内出售公司股份94.4584万股；第四期员工持股计划部分解锁股份出售274.61万股；第五期员工持股计划完成非交易过户943.9993万股。截至2026年6月30日，第四期员工持股计划持有824.89万股，第五期员工持股计划持有943.9993万股。半年报股东名册变化不等同于公司控股股东或董事长主动减持。</w:t>
      </w:r>
    </w:p>
    <w:p>
      <w:pPr>
        <w:pStyle w:val="Heading2"/>
        <w:spacing w:after="120" w:before="240"/>
      </w:pPr>
      <w:r>
        <w:rPr>
          <w:b/>
          <w:bCs/>
          <w:color w:val="2E74B5"/>
          <w:sz w:val="24"/>
          <w:szCs w:val="24"/>
        </w:rPr>
        <w:t xml:space="preserve">4.12 截至2026年9月13日未发现新增回购公告或重大并购事项</w:t>
      </w:r>
    </w:p>
    <w:p>
      <w:pPr>
        <w:spacing w:after="160" w:line="300"/>
      </w:pPr>
      <w:r>
        <w:rPr>
          <w:sz w:val="22"/>
          <w:szCs w:val="22"/>
        </w:rPr>
        <w:t xml:space="preserve">截至2026年9月13日，未发现公司在2026年9月新披露股份回购实施公告或新的回购方案公告。公司历史上曾有回购相关安排，但不能将历史回购计划直接视为当前仍在实施，当前是否存在尚未完成的回购余额需以最新回购进展公告或定期报告为准。同时，未检索到公司在2026年9月披露新的重大资产重组、重大并购、控制权变更或监管处罚公告。公司向特定对象发行A股股票事项及不超过50亿元募集资金预案属于此前已披露的资本运作安排，不属于9月新增事项。</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国轩高科（002074）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25.02元/股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下跌0.45元，跌幅约1.77%</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25.25元/25.25元/24.67元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约1572万股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约3.92亿元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约0.91%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约454.1亿元，为基于收盘价和股本的估算值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约434.7亿元，为基于收盘价和流通股本的估算值</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约13.5~16.7倍，平台统计口径存在差异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约24.26~49.83元；高低点具体日期未完整披露</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近期价格表现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8月26日至9月11日收盘价由27.89元回落至25.02元，回落约10.3%；9月8日至9月11日连续四个交易日收跌或近似收跌</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约25.63元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当前股价低于MA5；MA5低于MA10，短期均线呈空头排列。</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约25.97元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当前股价低于MA10；25.5~26.0元为布林带下轨、MA5和MA10附近的短期修复区域。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约26.53元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当前股价低于MA20，距离约1.51元、偏离约5.7%；26.4~26.8元接近MA20及近期成交密集区，为更强压力区域。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约30.3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接近传统超卖区域，表明短线下跌动能较强并存在技术性反弹可能；但超卖不等同于趋势反转。</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截至2026年9月11日未能交叉核实到最新绝对值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较新可访问快照为2026年8月28日约0.05，但并非9月11日数据，不能直接作为当前MACD读数。基于股价持续低于多条均线及9月初以来回落，方向性判断偏弱，但不替代最新DIF、DEA和MACD柱值。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中轨约26.53元，上轨约27.56元，下轨约25.49元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收盘价25.02元低于测算下轨约0.47元，短线处于偏弱、偏超卖状态；若不能重新回到25.5元上方，弱势运行或继续探底风险仍在。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主力资金流向（2026年9月11日）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超大单净流出2060.04万元，大单净流出150.41万元，合计净流出约2210.45万元，合计净占比约-5.64%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大资金承接力度偏弱；小单净流入3224.56万元，对冲部分抛压。9月上旬尚未出现连续多个交易日的大单资金净流入确认。</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近期量价结构</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8月26日成交额约11.97亿元，随后成交额回落；9月8日至9月11日成交额约2.84亿~3.92亿元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放量冲高后缩量回落，暂未形成新的放量止跌结构。</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股东集中度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截至2026年6月30日，前十大股东合计持股约8.48亿股，占比46.74%；前十大流通股东持股约占流通盘44.4%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集中度较高，但较大部分来自大众汽车（中国）投资有限公司、实际控制人及其一致行动人，不完全等同于公募基金或主动型机构集中持仓。</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机构持仓背景</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截至2026年6月30日，合计机构持仓约占流通盘44.24%，其中其他机构约39.5%、基金约3.67%、银行约0.94%；香港中央结算有限公司约1.95%，Citibank约0.90%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基金及ETF等持仓占比相对有限；部分机构数据存在季度披露滞后，不能据此判断2026年9月11日的实时筹码结构。</w:t>
            </w:r>
          </w:p>
        </w:tc>
      </w:tr>
    </w:tbl>
    <w:p>
      <w:pPr>
        <w:spacing w:before="200"/>
      </w:pPr>
    </w:p>
    <w:p>
      <w:pPr>
        <w:spacing w:after="160" w:line="300"/>
      </w:pPr>
      <w:r>
        <w:rPr>
          <w:sz w:val="22"/>
          <w:szCs w:val="22"/>
        </w:rPr>
        <w:t xml:space="preserve">截至2026年9月11日，国轩高科收盘25.02元，处于52周价格区间约24.26~49.83元的较低位置，较52周高点低约49.8%，距离52周低点约0.76元。当前股价低于MA5、MA10和MA20，短期均线呈空头排列；同时收盘价低于测算布林带下轨，RSI14约30.3，技术面表现为弱势且接近超卖。短线反弹首先需要重新收复25.5~26.0元，进一步压力位在26.4~26.8元。资金面上，9月11日超大单与大单合计净流出约2210.45万元，近期成交额和换手率较8月下旬放量阶段回落，暂未出现连续大资金净流入及放量止跌信号。</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风险提示：以下内容仅为基于截至2026年9月11日收盘数据、历史价格和技术指标测算的主观情景推演，不构成投资建议，也不代表对未来价格的确定性预测。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25.5~26.0元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对应测算布林带下轨约25.49元、MA5约25.63元和MA10约25.97元。若放量收复并稳定在26元上方，短线弱势结构可能得到初步修复；若不能收复，布林下轨跌破状态可能延续。</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更强压力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26.4~26.8元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接近MA20约26.53元及近期成交密集区。若反弹至该区域但成交额未同步放大，需观察解套盘和短线抛压。</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24.6~25.0元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对应9月11日盘中低点24.67元及收盘价25.02元附近。若该区域缩量止跌并重新站回25元上方，可能形成技术性反弹基础；有效跌破则需关注下方强支撑。</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24.2~24.6元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靠近52周低点约24.26元。若有效跌破该区间，技术上可能打开向52周新低方向运行的空间；若出现放量承接，则需观察是否形成阶段性底部。</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启发式权重相对较高，约五成至六成；该权重基于当前技术、资金与成交量结构，不是统计概率）：观察区间为24.6~26.0元。触发条件包括24.6~25.0元附近出现承接、成交额维持约3亿~5亿元、股价不再连续跌破日内低点，且电池及新能源板块未出现明显普跌。若反弹，首先面临25.5~26.0元压力，量能不足时突破26元的持续性仍需观察。</w:t>
      </w:r>
    </w:p>
    <w:p>
      <w:pPr>
        <w:pStyle w:val="ListParagraph"/>
        <w:numPr>
          <w:ilvl w:val="0"/>
          <w:numId w:val="2"/>
        </w:numPr>
        <w:spacing w:after="80" w:line="280"/>
      </w:pPr>
      <w:r>
        <w:rPr>
          <w:sz w:val="22"/>
          <w:szCs w:val="22"/>
        </w:rPr>
        <w:t xml:space="preserve">偏弱下行（主观启发式权重中等，约三成；该权重基于当前技术、资金与成交量结构，不是统计概率）：观察区间为24.2~24.8元，弱势情况下可能测试52周低点附近。触发条件包括收盘有效跌破24.6元、跌破时成交额明显高于近期约3亿~5亿元的正常区间、主力资金继续连续净流出，以及新能源电池板块或深成指同步走弱。若24.2~24.6元支撑带被放量击穿，短线技术结构风险将进一步增大，但不代表必然下跌。</w:t>
      </w:r>
    </w:p>
    <w:p>
      <w:pPr>
        <w:pStyle w:val="ListParagraph"/>
        <w:numPr>
          <w:ilvl w:val="0"/>
          <w:numId w:val="2"/>
        </w:numPr>
        <w:spacing w:after="80" w:line="280"/>
      </w:pPr>
      <w:r>
        <w:rPr>
          <w:sz w:val="22"/>
          <w:szCs w:val="22"/>
        </w:rPr>
        <w:t xml:space="preserve">反弹走强（主观启发式权重偏低，约一成至两成；该权重基于当前技术、资金与成交量结构，不是统计概率）：观察区间为25.8~26.8元。触发条件包括重新站上25.5元并突破26.0元、单日成交额放大至约6亿元以上、超大单和大单资金由净流出转为连续净流入、电池及新能源板块同步反弹，以及26元上方能够连续收盘而非仅盘中冲高。若放量突破26元，下一观察区域为26.4~26.8元；若量能不足，更可能属于弱势反抽。</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约0.91%，成交额约3.92亿元。9月8日至9月11日成交额约2.84亿~3.92亿元，近期换手率主要在0.6%~1.4%附近；8月27日至9月4日成交额约4.16亿~9.98亿元，8月26日约11.97亿元，换手率曾升至约2.1%~2.5%，当前交易活跃度较放量阶段明显回落。对于总市值约454亿元的股票，0.91%换手率不属于极低流动性，但相较前期放量区间，资金参与度和价格推动力有所减弱。股东结构方面，截至2026年6月30日，前十大股东持股比例为46.74%，其中较大部分来自大众中国、实际控制人及其一致行动人；基金持仓约占流通盘3.67%，其他机构约39.5%，银行约0.94%，另有香港中央结算有限公司约1.95%、Citibank约0.90%。上述股东及机构数据存在季度披露滞后，距最新价格日期约三个月，当前筹码结构可能已经变化，不能替代实时持仓判断。</w:t>
      </w:r>
    </w:p>
    <w:p>
      <w:pPr>
        <w:spacing w:after="160" w:line="300"/>
      </w:pPr>
      <w:r>
        <w:rPr>
          <w:sz w:val="22"/>
          <w:szCs w:val="22"/>
        </w:rPr>
        <w:t xml:space="preserve">若未来一周单日成交额连续达到或超过约6亿元，且股价收盘重新站上26.0元，同时超大单和大单资金合计转为净流入，可视为短线资金参与度改善的观察信号；若成交额放大至6亿元以上但收盘跌破24.6元且主力资金继续净流出，则需关注放量破位风险。</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观察25.5~26.0元第一压力区能否重新收复并站稳，以及26.4~26.8元区域反弹时是否有成交额配合。</w:t>
      </w:r>
    </w:p>
    <w:p>
      <w:pPr>
        <w:pStyle w:val="ListParagraph"/>
        <w:numPr>
          <w:ilvl w:val="0"/>
          <w:numId w:val="2"/>
        </w:numPr>
        <w:spacing w:after="80" w:line="280"/>
      </w:pPr>
      <w:r>
        <w:rPr>
          <w:sz w:val="22"/>
          <w:szCs w:val="22"/>
        </w:rPr>
        <w:t xml:space="preserve">观察24.6~25.0元第一支撑区和24.2~24.6元强支撑区的承接情况，尤其关注是否出现放量跌破。</w:t>
      </w:r>
    </w:p>
    <w:p>
      <w:pPr>
        <w:pStyle w:val="ListParagraph"/>
        <w:numPr>
          <w:ilvl w:val="0"/>
          <w:numId w:val="2"/>
        </w:numPr>
        <w:spacing w:after="80" w:line="280"/>
      </w:pPr>
      <w:r>
        <w:rPr>
          <w:sz w:val="22"/>
          <w:szCs w:val="22"/>
        </w:rPr>
        <w:t xml:space="preserve">观察RSI14约30.3的接近超卖状态是否得到价格和成交量确认，不将RSI单独视为趋势反转信号。</w:t>
      </w:r>
    </w:p>
    <w:p>
      <w:pPr>
        <w:pStyle w:val="ListParagraph"/>
        <w:numPr>
          <w:ilvl w:val="0"/>
          <w:numId w:val="2"/>
        </w:numPr>
        <w:spacing w:after="80" w:line="280"/>
      </w:pPr>
      <w:r>
        <w:rPr>
          <w:sz w:val="22"/>
          <w:szCs w:val="22"/>
        </w:rPr>
        <w:t xml:space="preserve">观察成交额能否由近期约3亿~5亿元的常态放大至6亿元以上，并同时配合超大单和大单资金转为净流入。以上均为观察思路，非买入、卖出或持有等操作指令。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动力电池行业处于新能源车和储能产业链核心中游，竞争集中于电芯能量密度、安全性、快充性能、循环寿命、材料成本、制造规模和良率、客户定点、海外本地化产能及储能系统集成能力。2024年行业仍具有较明显的产能竞争、价格竞争和客户认证竞争特征。</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根据中国汽车动力电池产业创新联盟披露的2024年全年数据，全国动力电池累计装车量548.4GWh，同比增长41.5%；磷酸铁锂电池装车量409.0GWh，占74.6%，三元电池装车量139.0GWh，占25.3%。</w:t>
      </w:r>
    </w:p>
    <w:p>
      <w:pPr>
        <w:pStyle w:val="ListParagraph"/>
        <w:numPr>
          <w:ilvl w:val="0"/>
          <w:numId w:val="2"/>
        </w:numPr>
        <w:spacing w:after="80" w:line="280"/>
      </w:pPr>
      <w:r>
        <w:rPr>
          <w:sz w:val="22"/>
          <w:szCs w:val="22"/>
        </w:rPr>
        <w:t xml:space="preserve">2024年宁德时代装车量246.01GWh、市占率45.08%；比亚迪装车量135.02GWh、市占率24.74%；中创新航装车量36.48GWh、市占率6.68%；国轩高科装车量25.04GWh、市占率4.59%。</w:t>
      </w:r>
    </w:p>
    <w:p>
      <w:pPr>
        <w:pStyle w:val="ListParagraph"/>
        <w:numPr>
          <w:ilvl w:val="0"/>
          <w:numId w:val="2"/>
        </w:numPr>
        <w:spacing w:after="80" w:line="280"/>
      </w:pPr>
      <w:r>
        <w:rPr>
          <w:sz w:val="22"/>
          <w:szCs w:val="22"/>
        </w:rPr>
        <w:t xml:space="preserve">宁德时代和比亚迪合计占国内动力电池装车量约69.82%，行业呈现明显的“一超一强”格局；国轩高科位居国内第四，属于第二梯队头部企业，但在规模、客户覆盖、盈利能力和产能利用率方面与前两名仍有差距。</w:t>
      </w:r>
    </w:p>
    <w:p>
      <w:pPr>
        <w:pStyle w:val="ListParagraph"/>
        <w:numPr>
          <w:ilvl w:val="0"/>
          <w:numId w:val="2"/>
        </w:numPr>
        <w:spacing w:after="80" w:line="280"/>
      </w:pPr>
      <w:r>
        <w:rPr>
          <w:sz w:val="22"/>
          <w:szCs w:val="22"/>
        </w:rPr>
        <w:t xml:space="preserve">行业竞争重点包括磷酸铁锂、三元、锰铁锂及固态等技术路线，快充、大容量电芯、材料成本与供应链控制、规模制造和良率、整车客户定点、海外本地化产能以及储能系统集成和售后服务。</w:t>
      </w:r>
    </w:p>
    <w:p>
      <w:pPr>
        <w:pStyle w:val="ListParagraph"/>
        <w:numPr>
          <w:ilvl w:val="0"/>
          <w:numId w:val="2"/>
        </w:numPr>
        <w:spacing w:after="80" w:line="280"/>
      </w:pPr>
      <w:r>
        <w:rPr>
          <w:sz w:val="22"/>
          <w:szCs w:val="22"/>
        </w:rPr>
        <w:t xml:space="preserve">公司2023年年报披露约150GWh全球产能规模，但2024年年报未重新披露统一全球产能数字；该150GWh为此前披露口径，不能直接视为2024年末全部有效产能或实际达产产能。</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宁德时代（300750.SZ）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全球动力电池和储能电池龙头</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规模、客户覆盖、研发制造、供应链能力及行业议价能力明显强于国轩高科，是最直接但规模更大的综合性对标公司。</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比亚迪（002594.SZ）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新能源汽车与动力电池一体化企业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刀片电池和磷酸铁锂技术成熟，电池与整车业务协同，部分电池需求由内部整车业务消化，垂直一体化程度高。</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中创新航（03931.HK）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动力电池和储能电池专业企业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在广汽、吉利等整车客户中拥有配套基础，动力电池装车量位居国内前三，与国轩高科同属国内第二梯队核心企业。</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亿纬锂能（300014.SZ）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动力电池、储能电池和消费电池综合企业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圆柱电池、大型储能电芯和动力电池布局较强，与国轩高科在动力电池、储能电池和海外拓展方面存在较强重叠。</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欣旺达（300207.SZ）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消费电池起家、向动力电池和储能拓展的综合电池厂商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在动力电池、储能和电池系统集成方面持续扩张，与国轩高科业务存在一定重合，但业务结构不同；国轩高科的磷酸铁锂和商用车电池属性更明显。</w:t>
            </w:r>
          </w:p>
        </w:tc>
      </w:tr>
    </w:tbl>
    <w:p>
      <w:pPr>
        <w:spacing w:before="200"/>
      </w:pPr>
    </w:p>
    <w:p>
      <w:pPr>
        <w:spacing w:after="160" w:line="300"/>
      </w:pPr>
      <w:r>
        <w:rPr>
          <w:sz w:val="22"/>
          <w:szCs w:val="22"/>
        </w:rPr>
        <w:t xml:space="preserve">国轩高科的优势在于多年动力电池积累、磷酸铁锂路线、储能产品、海外布局和大众汽车战略合作；相较宁德时代、比亚迪等头部企业，其整体规模、客户覆盖和盈利能力仍有差距。与中创新航相比，双方同属国内第二梯队核心企业；与亿纬锂能、欣旺达相比，国轩高科更突出磷酸铁锂、商用车电池及独立第三方电池供应商属性。</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主营盈利质量不足：2026年上半年归母净利润13.86亿元，而扣非归母净利润仅1.07亿元，非经常性损益预计影响约11亿至14亿元；若股票投资收益、公允价值变动等收益减少，公司归母利润可能明显回落。</w:t>
      </w:r>
    </w:p>
    <w:p>
      <w:pPr>
        <w:pStyle w:val="ListParagraph"/>
        <w:numPr>
          <w:ilvl w:val="0"/>
          <w:numId w:val="2"/>
        </w:numPr>
        <w:spacing w:after="80" w:line="280"/>
      </w:pPr>
      <w:r>
        <w:rPr>
          <w:sz w:val="22"/>
          <w:szCs w:val="22"/>
        </w:rPr>
        <w:t xml:space="preserve">应收账款及存货减值风险：截至2024年末应收账款账面价值164.54亿元，约占当年营业收入46.5%；2026年上半年又计提减值准备合计5.26亿元，其中应收账款坏账损失3.64亿元、存货跌价损失属于资产减值的重要组成部分，后续回款和存货周转仍可能影响利润及现金流。</w:t>
      </w:r>
    </w:p>
    <w:p>
      <w:pPr>
        <w:pStyle w:val="ListParagraph"/>
        <w:numPr>
          <w:ilvl w:val="0"/>
          <w:numId w:val="2"/>
        </w:numPr>
        <w:spacing w:after="80" w:line="280"/>
      </w:pPr>
      <w:r>
        <w:rPr>
          <w:sz w:val="22"/>
          <w:szCs w:val="22"/>
        </w:rPr>
        <w:t xml:space="preserve">储能业务波动风险：2026年上半年储能电池系统收入36.89亿元，同比下降19.14%，而2024年储能业务曾实现78.32亿元收入、毛利率21.75%；若储能项目交付、招投标或客户需求不及预期，公司业务结构改善和利润修复可能受到影响。</w:t>
      </w:r>
    </w:p>
    <w:p>
      <w:pPr>
        <w:pStyle w:val="ListParagraph"/>
        <w:numPr>
          <w:ilvl w:val="0"/>
          <w:numId w:val="2"/>
        </w:numPr>
        <w:spacing w:after="80" w:line="280"/>
      </w:pPr>
      <w:r>
        <w:rPr>
          <w:sz w:val="22"/>
          <w:szCs w:val="22"/>
        </w:rPr>
        <w:t xml:space="preserve">海外业务执行与汇率风险：2026年上半年海外收入94.76亿元，同比增长48.06%，但公司披露财务费用同比增长131.47%，主要受汇率波动影响；海外业务还面临认证、本地供应链、项目交付、回款及合同执行风险。沙特6GWh储能订单目前主要来自公司官网及媒体信息，合同金额、单价、交付周期和收入确认方式尚未正式披露，不能直接等同于已确认收入。</w:t>
      </w:r>
    </w:p>
    <w:p>
      <w:pPr>
        <w:pStyle w:val="ListParagraph"/>
        <w:numPr>
          <w:ilvl w:val="0"/>
          <w:numId w:val="2"/>
        </w:numPr>
        <w:spacing w:after="80" w:line="280"/>
      </w:pPr>
      <w:r>
        <w:rPr>
          <w:sz w:val="22"/>
          <w:szCs w:val="22"/>
        </w:rPr>
        <w:t xml:space="preserve">原材料和价格竞争风险：2024年动力电池原材料成本231.19亿元，占动力电池营业成本79.66%，公司对锂、镍、铜、铝等大宗材料仍具有较强价格接受者特征；同时整车客户存在年度降价、车型生命周期价格管理及质量赔偿压力，原材料价格上涨或产品售价下行均可能压缩毛利率。</w:t>
      </w:r>
    </w:p>
    <w:p>
      <w:pPr>
        <w:pStyle w:val="ListParagraph"/>
        <w:numPr>
          <w:ilvl w:val="0"/>
          <w:numId w:val="2"/>
        </w:numPr>
        <w:spacing w:after="80" w:line="280"/>
      </w:pPr>
      <w:r>
        <w:rPr>
          <w:sz w:val="22"/>
          <w:szCs w:val="22"/>
        </w:rPr>
        <w:t xml:space="preserve">客户集中与回款风险：2024年前五大客户销售额占年度销售总额37.55%，单一最大客户占9.49%；客户名称匿名披露，无法核实具体客户质量和订单稳定性。若主要整车、储能或海外客户调整采购计划、延长账期或出现项目回款迟延，可能加大营运资金占用。</w:t>
      </w:r>
    </w:p>
    <w:p>
      <w:pPr>
        <w:pStyle w:val="ListParagraph"/>
        <w:numPr>
          <w:ilvl w:val="0"/>
          <w:numId w:val="2"/>
        </w:numPr>
        <w:spacing w:after="80" w:line="280"/>
      </w:pPr>
      <w:r>
        <w:rPr>
          <w:sz w:val="22"/>
          <w:szCs w:val="22"/>
        </w:rPr>
        <w:t xml:space="preserve">融资、担保与资金压力风险：公司获准注册70亿元债务融资工具，但该额度不代表已经完成发行；同时2026年度对外担保额度合计不超过1220亿元或等值外币，已披露多笔大额融资及租赁担保。若被担保主体现金流恶化或项目收益不及预期，可能形成代偿、负债及资金压力。</w:t>
      </w:r>
    </w:p>
    <w:p>
      <w:pPr>
        <w:pStyle w:val="ListParagraph"/>
        <w:numPr>
          <w:ilvl w:val="0"/>
          <w:numId w:val="2"/>
        </w:numPr>
        <w:spacing w:after="80" w:line="280"/>
      </w:pPr>
      <w:r>
        <w:rPr>
          <w:sz w:val="22"/>
          <w:szCs w:val="22"/>
        </w:rPr>
        <w:t xml:space="preserve">行业竞争和产能利用风险：2024年宁德时代、比亚迪合计占国内动力电池装车量约69.82%，国轩高科装车量市场份额为4.59%，与头部企业在规模、客户覆盖和盈利能力方面存在差距；在行业产能竞争、价格竞争持续的情况下，公司此前披露的约150GWh全球产能口径不能直接视为2024年末全部有效或达产产能，产能利用率和固定成本摊薄仍需关注。</w:t>
      </w:r>
    </w:p>
    <w:p>
      <w:pPr>
        <w:pStyle w:val="ListParagraph"/>
        <w:numPr>
          <w:ilvl w:val="0"/>
          <w:numId w:val="2"/>
        </w:numPr>
        <w:spacing w:after="80" w:line="280"/>
      </w:pPr>
      <w:r>
        <w:rPr>
          <w:sz w:val="22"/>
          <w:szCs w:val="22"/>
        </w:rPr>
        <w:t xml:space="preserve">股价与技术面风险：截至2026年9月11日股价25.02元，低于MA5、MA10和MA20，收盘价低于测算布林带下轨，且近期大单资金净流出、成交额较前期放量阶段回落；若24.2至24.6元支撑区被放量跌破，短期弱势结构可能延续。技术指标存在滞后性，不能代表公司基本面或未来价格的确定性变化。</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中长期增长逻辑主要来自动力电池出货扩张、海外业务增长、储能产品及新型应用场景拓展，以及材料一体化、规模采购和制造效率改善。2026年上半年动力电池收入快速增长，海外收入保持较高增速，且公司已获准注册70亿元债务融资工具；此外，沙特6GWh储能订单信息和大众汽车提名新任非独立董事，分别体现海外储能拓展和战略合作关系的延续，但前者尚缺乏正式重大合同公告，后者也不直接构成新增订单或业绩承诺。</w:t>
      </w:r>
    </w:p>
    <w:p>
      <w:pPr>
        <w:spacing w:after="160" w:line="300"/>
      </w:pPr>
      <w:r>
        <w:rPr>
          <w:sz w:val="22"/>
          <w:szCs w:val="22"/>
        </w:rPr>
        <w:t xml:space="preserve">盈利弹性与业绩可持续性仍需进一步验证。2026年上半年归母净利润主要受到非经常性损益推动，扣非利润规模仍低；储能收入同比下降，毛利率同比下滑，财务费用受汇率波动影响明显，且机构对2026年归母净利润预测区间约为9.68亿元至32.90亿元，分歧较大。未来需要重点观察动力电池和储能业务毛利率能否修复、储能收入能否恢复增长、海外项目交付与回款、经营性现金流以及非经常性收益减少后的主营盈利表现。</w:t>
      </w:r>
    </w:p>
    <w:p>
      <w:pPr>
        <w:spacing w:after="160" w:line="300"/>
      </w:pPr>
      <w:r>
        <w:rPr>
          <w:sz w:val="22"/>
          <w:szCs w:val="22"/>
        </w:rPr>
        <w:t xml:space="preserve">从技术与估值观察，公司股价处于52周价格区间较低位置，但尚未形成放量止跌结构，25.5至26.0元和26.4至26.8元分别构成短期及更强压力区域，24.2至24.6元附近为重要支撑观察区。公开估值数据存在口径差异，动态市盈率受到上半年非经常性收益影响，不能单独反映主营估值水平；因此，后续估值中枢能否稳定，取决于扣非利润和现金流改善能否与收入规模同步。</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国轩高科股份有限公司 2024 年年度报告全文 — https://static.cninfo.com.cn/finalpage/2025-04-25/1223284129.PDF?utm_source=openai</w:t>
      </w:r>
    </w:p>
    <w:p>
      <w:pPr>
        <w:spacing w:after="200"/>
      </w:pPr>
      <w:r>
        <w:rPr>
          <w:i/>
          <w:iCs/>
          <w:color w:val="595959"/>
          <w:sz w:val="18"/>
          <w:szCs w:val="18"/>
        </w:rPr>
        <w:t xml:space="preserve">https://static.cninfo.com.cn/finalpage/2025-04-25/1223284129.PDF — https://static.cninfo.com.cn/finalpage/2025-04-25/1223284129.PDF</w:t>
      </w:r>
    </w:p>
    <w:p>
      <w:pPr>
        <w:spacing w:after="200"/>
      </w:pPr>
      <w:r>
        <w:rPr>
          <w:i/>
          <w:iCs/>
          <w:color w:val="595959"/>
          <w:sz w:val="18"/>
          <w:szCs w:val="18"/>
        </w:rPr>
        <w:t xml:space="preserve">合并资产负债表  
2024年12月31日
单位名称：国轩高科股份有限公司  
单位：人民币元 — https://static.cninfo.com.cn/finalpage/2025-04-25/1223284112.PDF?utm_source=openai</w:t>
      </w:r>
    </w:p>
    <w:p>
      <w:pPr>
        <w:spacing w:after="200"/>
      </w:pPr>
      <w:r>
        <w:rPr>
          <w:i/>
          <w:iCs/>
          <w:color w:val="595959"/>
          <w:sz w:val="18"/>
          <w:szCs w:val="18"/>
        </w:rPr>
        <w:t xml:space="preserve">国轩高科股份有限公司 2021 年年度报告全文 — https://disc.static.szse.cn/disc/disk03/finalpage/2022-04-29/85b3437d-35f9-4ae7-997f-00e2fc501814.PDF?utm_source=openai</w:t>
      </w:r>
    </w:p>
    <w:p>
      <w:pPr>
        <w:spacing w:after="200"/>
      </w:pPr>
      <w:r>
        <w:rPr>
          <w:i/>
          <w:iCs/>
          <w:color w:val="595959"/>
          <w:sz w:val="18"/>
          <w:szCs w:val="18"/>
        </w:rPr>
        <w:t xml:space="preserve">国轩高科2022可视化年报|上海证券报·中国证券网 — https://visualfin.cnstock.com/h5/202212/002074.html?utm_source=openai</w:t>
      </w:r>
    </w:p>
    <w:p>
      <w:pPr>
        <w:spacing w:after="200"/>
      </w:pPr>
      <w:r>
        <w:rPr>
          <w:i/>
          <w:iCs/>
          <w:color w:val="595959"/>
          <w:sz w:val="18"/>
          <w:szCs w:val="18"/>
        </w:rPr>
        <w:t xml:space="preserve">国轩高科(002074)_公司公告_国轩高科：2023年年度报告新浪财经_新浪网 — https://money.finance.sina.com.cn/corp/view/vCB_AllBulletinDetail.php?id=10013854&amp;stockid=002074&amp;utm_source=openai</w:t>
      </w:r>
    </w:p>
    <w:p>
      <w:pPr>
        <w:spacing w:after="200"/>
      </w:pPr>
      <w:r>
        <w:rPr>
          <w:i/>
          <w:iCs/>
          <w:color w:val="595959"/>
          <w:sz w:val="18"/>
          <w:szCs w:val="18"/>
        </w:rPr>
        <w:t xml:space="preserve">〖深发彩钢板·关注〗产销突破1TWh！2024年中国动力电池装机量TOP15出炉！|新能源_新浪财经_新浪网 — https://finance.sina.com.cn/roll/2025-01-13/doc-ineevkuv2077985.shtml?utm_source=openai</w:t>
      </w:r>
    </w:p>
    <w:p>
      <w:pPr>
        <w:spacing w:after="200"/>
      </w:pPr>
      <w:r>
        <w:rPr>
          <w:i/>
          <w:iCs/>
          <w:color w:val="595959"/>
          <w:sz w:val="18"/>
          <w:szCs w:val="18"/>
        </w:rPr>
        <w:t xml:space="preserve">国轩高科(002074)_公司公告_国轩高科：2026年半年度报告摘要新浪财经_新浪网 — https://money.finance.sina.com.cn/corp/view/vCB_AllBulletinDetail.php?id=12525861&amp;stockid=002074&amp;utm_source=openai</w:t>
      </w:r>
    </w:p>
    <w:p>
      <w:pPr>
        <w:spacing w:after="200"/>
      </w:pPr>
      <w:r>
        <w:rPr>
          <w:i/>
          <w:iCs/>
          <w:color w:val="595959"/>
          <w:sz w:val="18"/>
          <w:szCs w:val="18"/>
        </w:rPr>
        <w:t xml:space="preserve">国轩高科(002074)_公司公告_国轩高科：2026年半年度报告新浪财经_新浪网 — https://money.finance.sina.com.cn/corp/view/vCB_AllBulletinDetail.php?id=12525887&amp;stockid=002074&amp;utm_source=openai</w:t>
      </w:r>
    </w:p>
    <w:p>
      <w:pPr>
        <w:spacing w:after="200"/>
      </w:pPr>
      <w:r>
        <w:rPr>
          <w:i/>
          <w:iCs/>
          <w:color w:val="595959"/>
          <w:sz w:val="18"/>
          <w:szCs w:val="18"/>
        </w:rPr>
        <w:t xml:space="preserve">国轩高科(002074)业绩预告_新浪财经_新浪网 — https://money.finance.sina.com.cn/corp/go.php/vFD_AchievementNotice/stockid/002074.phtml?utm_source=openai</w:t>
      </w:r>
    </w:p>
    <w:p>
      <w:pPr>
        <w:spacing w:after="200"/>
      </w:pPr>
      <w:r>
        <w:rPr>
          <w:i/>
          <w:iCs/>
          <w:color w:val="595959"/>
          <w:sz w:val="18"/>
          <w:szCs w:val="18"/>
        </w:rPr>
        <w:t xml:space="preserve">证券代码：002074 — https://file.finance.sina.com.cn/cn/diaoyan/jgdy/2026/2026-05/2026-05-06/10178953_1.PDF?utm_source=openai</w:t>
      </w:r>
    </w:p>
    <w:p>
      <w:pPr>
        <w:spacing w:after="200"/>
      </w:pPr>
      <w:r>
        <w:rPr>
          <w:i/>
          <w:iCs/>
          <w:color w:val="595959"/>
          <w:sz w:val="18"/>
          <w:szCs w:val="18"/>
        </w:rPr>
        <w:t xml:space="preserve">国轩高科(002074)_公司公告_国轩高科：投资者关系管理信息20260430新浪财经_新浪网 — https://vip.stock.finance.sina.com.cn/corp/view/vCB_AllBulletinDetail.php?CompanyCode=80086243&amp;gather=1&amp;id=12297938&amp;utm_source=openai</w:t>
      </w:r>
    </w:p>
    <w:p>
      <w:pPr>
        <w:spacing w:after="200"/>
      </w:pPr>
      <w:r>
        <w:rPr>
          <w:i/>
          <w:iCs/>
          <w:color w:val="595959"/>
          <w:sz w:val="18"/>
          <w:szCs w:val="18"/>
        </w:rPr>
        <w:t xml:space="preserve">国轩高科(002074)：规模效应强化 盈利拐点将至-格隆汇 — https://www.gelonghui.com/news/5296577?utm_source=openai</w:t>
      </w:r>
    </w:p>
    <w:p>
      <w:pPr>
        <w:spacing w:after="200"/>
      </w:pPr>
      <w:r>
        <w:rPr>
          <w:i/>
          <w:iCs/>
          <w:color w:val="595959"/>
          <w:sz w:val="18"/>
          <w:szCs w:val="18"/>
        </w:rPr>
        <w:t xml:space="preserve">国轩高科(002074) 盈利预测_F10_同花顺金融服务网 — https://basic.10jqka.com.cn/144/002074/worth.html?utm_source=openai</w:t>
      </w:r>
    </w:p>
    <w:p>
      <w:pPr>
        <w:spacing w:after="200"/>
      </w:pPr>
      <w:r>
        <w:rPr>
          <w:i/>
          <w:iCs/>
          <w:color w:val="595959"/>
          <w:sz w:val="18"/>
          <w:szCs w:val="18"/>
        </w:rPr>
        <w:t xml:space="preserve">国轩高科(002074)-机构评级详细 — https://basic.10jqka.com.cn/mobile/002074/ratingn.html</w:t>
      </w:r>
    </w:p>
    <w:p>
      <w:pPr>
        <w:spacing w:after="200"/>
      </w:pPr>
      <w:r>
        <w:rPr>
          <w:i/>
          <w:iCs/>
          <w:color w:val="595959"/>
          <w:sz w:val="18"/>
          <w:szCs w:val="18"/>
        </w:rPr>
        <w:t xml:space="preserve">https://pdf.dfcfw.com/pdf/H3_AP202606181823659851_1.pdf?1781787944000.pdf= — https://pdf.dfcfw.com/pdf/H3_AP202606181823659851_1.pdf?1781787944000.pdf=</w:t>
      </w:r>
    </w:p>
    <w:p>
      <w:pPr>
        <w:spacing w:after="200"/>
      </w:pPr>
      <w:r>
        <w:rPr>
          <w:i/>
          <w:iCs/>
          <w:color w:val="595959"/>
          <w:sz w:val="18"/>
          <w:szCs w:val="18"/>
        </w:rPr>
        <w:t xml:space="preserve">国轩高科(002074) 盈利预测_F10_同花顺金融服务网 — https://basic.10jqka.com.cn/144/002074/worth.html</w:t>
      </w:r>
    </w:p>
    <w:p>
      <w:pPr>
        <w:spacing w:after="200"/>
      </w:pPr>
      <w:r>
        <w:rPr>
          <w:i/>
          <w:iCs/>
          <w:color w:val="595959"/>
          <w:sz w:val="18"/>
          <w:szCs w:val="18"/>
        </w:rPr>
        <w:t xml:space="preserve">交银国际-国轩高科(002074)出货量高增，预计盈利能力于2H26逐步修复；维持买入-260506.pdf — https://pdf.dfcfw.com/pdf/H3_AP202605061821983929_1.pdf?1778076221000.pdf=&amp;utm_source=openai</w:t>
      </w:r>
    </w:p>
    <w:p>
      <w:pPr>
        <w:spacing w:after="200"/>
      </w:pPr>
      <w:r>
        <w:rPr>
          <w:i/>
          <w:iCs/>
          <w:color w:val="595959"/>
          <w:sz w:val="18"/>
          <w:szCs w:val="18"/>
        </w:rPr>
        <w:t xml:space="preserve">东兴证券-国轩高科(002074)2025年年报及2026年一季报点评：业绩维持高增，大众与海外布局进入兑现期-260511.pdf — https://pdf.dfcfw.com/pdf/H3_AP202605111822157346_1.pdf?1778515937000.pdf=&amp;utm_source=openai</w:t>
      </w:r>
    </w:p>
    <w:p>
      <w:pPr>
        <w:spacing w:after="200"/>
      </w:pPr>
      <w:r>
        <w:rPr>
          <w:i/>
          <w:iCs/>
          <w:color w:val="595959"/>
          <w:sz w:val="18"/>
          <w:szCs w:val="18"/>
        </w:rPr>
        <w:t xml:space="preserve">国轩高科(002074)股票历史数据:历史行情,价格,走势图表_英为财情Investing.com — https://cn.investing.com/equities/dongyuan-electri-a-historical-data?utm_source=openai</w:t>
      </w:r>
    </w:p>
    <w:p>
      <w:pPr>
        <w:spacing w:after="200"/>
      </w:pPr>
      <w:r>
        <w:rPr>
          <w:i/>
          <w:iCs/>
          <w:color w:val="595959"/>
          <w:sz w:val="18"/>
          <w:szCs w:val="18"/>
        </w:rPr>
        <w:t xml:space="preserve">国轩高科(002074)市盈率|估值|基本面 - 理杏仁 — https://www.lixinger.com/equity/company/detail/sz/002074/2074/fundamental/valuation/pe-ttm?utm_source=openai</w:t>
      </w:r>
    </w:p>
    <w:p>
      <w:pPr>
        <w:spacing w:after="200"/>
      </w:pPr>
      <w:r>
        <w:rPr>
          <w:i/>
          <w:iCs/>
          <w:color w:val="595959"/>
          <w:sz w:val="18"/>
          <w:szCs w:val="18"/>
        </w:rPr>
        <w:t xml:space="preserve">本报告由AI基于公开渠道信息自动检索、整理并生成，信息截至 截至2026年9月11日收盘；技术指标基于研究纪要所述历史收盘价测算，股东结构数据截至2026年6月30日，存在约三个月滞后。，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2026-09-13T15:08:30.645Z</dcterms:created>
  <dcterms:modified xsi:type="dcterms:W3CDTF">2026-09-13T15:08:30.646Z</dcterms:modified>
</cp:coreProperties>
</file>

<file path=docProps/custom.xml><?xml version="1.0" encoding="utf-8"?>
<Properties xmlns="http://schemas.openxmlformats.org/officeDocument/2006/custom-properties" xmlns:vt="http://schemas.openxmlformats.org/officeDocument/2006/docPropsVTypes"/>
</file>