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中材科技股份有限公司 (002080)</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行业：特种纤维、复合材料与新能源材料</w:t>
      </w:r>
    </w:p>
    <w:p>
      <w:pPr>
        <w:jc w:val="center"/>
      </w:pPr>
      <w:r>
        <w:rPr>
          <w:color w:val="595959"/>
          <w:sz w:val="22"/>
          <w:szCs w:val="22"/>
        </w:rPr>
        <w:t xml:space="preserve">报告日期：2026年9月13日</w:t>
      </w:r>
    </w:p>
    <w:p>
      <w:pPr>
        <w:jc w:val="center"/>
      </w:pPr>
      <w:r>
        <w:rPr>
          <w:color w:val="595959"/>
          <w:sz w:val="20"/>
          <w:szCs w:val="20"/>
        </w:rPr>
        <w:t xml:space="preserve">截至2026年9月11日收盘；技术指标主要采用大波浪数据的不复权日线口径，部分数据由英为财情、打板客等交叉参考</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中材科技2026年上半年实现营业收入162.57亿元，同比增长21.95%；归母净利润12.08亿元，同比增长20.93%，扣非归母净利润同比增长35.54%，主营盈利修复快于归母净利润。但同期经营活动现金流净额为-2.00亿元，上年同期为19.85亿元，利润增长与现金流改善并不同步，这是当前最具决策意义的基本面特征。分业务看，锂电池隔膜收入同比增长135.03%、销量同比增长113%，玻璃纤维及制品收入同比增长21.86%，成为利润改善的重要来源；工程复合材料收入同比下降11.09%。</w:t>
      </w:r>
    </w:p>
    <w:p>
      <w:pPr>
        <w:spacing w:after="160" w:line="300"/>
      </w:pPr>
      <w:r>
        <w:rPr>
          <w:sz w:val="22"/>
          <w:szCs w:val="22"/>
        </w:rPr>
        <w:t xml:space="preserve">公司业务覆盖风电叶片、玻璃纤维、锂电池隔膜、高压气瓶及工程复合材料，2024年风电叶片和玻璃纤维收入分别占营业收入约32.57%和29.44%，业务结构多元且具备玻纤与叶片的产业协同，但各板块盈利均受到价格、产能和客户议价能力影响。2024年综合毛利率已由2021年的30.00%降至17.02%，主要由于风电叶片和玻纤产品价格下降、锂膜竞争加剧及折旧费用上升；2025年及2026年上半年业绩增长显示盈利正在修复，但持续性仍取决于产品价格、产能利用率、成本控制和锂膜良率。</w:t>
      </w:r>
    </w:p>
    <w:p>
      <w:pPr>
        <w:spacing w:after="160" w:line="300"/>
      </w:pPr>
      <w:r>
        <w:rPr>
          <w:sz w:val="22"/>
          <w:szCs w:val="22"/>
        </w:rPr>
        <w:t xml:space="preserve">截至2026年9月11日，公司股价为51.52元，动态及TTM市盈率约42.65至42.66倍；按机构预测均值计算，2026至2028年预测市盈率约为28.4倍、20.4倍和16.4倍，但这些预测并非公司业绩承诺，且预测区间存在明显差异。技术上股价从9月4日的47.44元反弹至51.52元，短线站上MA5和MA10，但仍低于MA20及布林带中轨约52.11元，成交量未出现显著放大，当前仍属于高波动反弹修复。公司向特定对象发行股票已获注册同意，但截至9月11日尚未披露发行完成，最终发行规模、价格及摊薄影响仍不确定。</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002080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2006年11月20日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中国建材集团有限公司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公司定位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特种纤维、复合材料和新能源材料企业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业务体系</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形成研发、工程设计、装备制造、产品生产和销售相结合的业务体系</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风电叶片：主要由中材科技风电叶片股份有限公司经营，开展大型复合材料风电叶片的设计、研发、制造和服务。2024年销售风电叶片23.996GW，销售收入85.65亿元，占公司营业收入约32.57%；公司披露市场占有率保持全球第一。</w:t>
      </w:r>
    </w:p>
    <w:p>
      <w:pPr>
        <w:pStyle w:val="ListParagraph"/>
        <w:numPr>
          <w:ilvl w:val="0"/>
          <w:numId w:val="2"/>
        </w:numPr>
        <w:spacing w:after="80" w:line="280"/>
      </w:pPr>
      <w:r>
        <w:rPr>
          <w:sz w:val="22"/>
          <w:szCs w:val="22"/>
        </w:rPr>
        <w:t xml:space="preserve">玻璃纤维及制品：主要由泰山玻璃纤维有限公司经营，产品包括玻璃纤维纱及制品、电子级细纱和电子布、风电叶片用高模量纱、多轴向经编织物、低介电超薄玻璃布、高锆耐碱玻璃纤维、玻纤湿法毡和保温材料等。2024年销售136万吨，营业收入77.41亿元，占公司营业收入约29.44%。</w:t>
      </w:r>
    </w:p>
    <w:p>
      <w:pPr>
        <w:pStyle w:val="ListParagraph"/>
        <w:numPr>
          <w:ilvl w:val="0"/>
          <w:numId w:val="2"/>
        </w:numPr>
        <w:spacing w:after="80" w:line="280"/>
      </w:pPr>
      <w:r>
        <w:rPr>
          <w:sz w:val="22"/>
          <w:szCs w:val="22"/>
        </w:rPr>
        <w:t xml:space="preserve">锂电池隔膜：主要由中材锂膜经营，重点发展湿法锂电池隔膜和涂覆隔膜。2024年销售约18.96亿平方米，营业收入14.68亿元，占公司营业收入约5.58%。</w:t>
      </w:r>
    </w:p>
    <w:p>
      <w:pPr>
        <w:pStyle w:val="ListParagraph"/>
        <w:numPr>
          <w:ilvl w:val="0"/>
          <w:numId w:val="2"/>
        </w:numPr>
        <w:spacing w:after="80" w:line="280"/>
      </w:pPr>
      <w:r>
        <w:rPr>
          <w:sz w:val="22"/>
          <w:szCs w:val="22"/>
        </w:rPr>
        <w:t xml:space="preserve">高压复合气瓶及其他复合材料：包括车载压缩天然气气瓶、燃料电池氢气瓶、工业气瓶和储氢容器、高温过滤材料、玻璃微纤维纸、工程复合材料、先进复合材料、技术装备和工程设计服务。2024年高压气瓶、工程复合材料、技术与装备收入分别为11.23亿元、20.88亿元和18.40亿元。</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公司业务横跨玻璃纤维、风电叶片、锂电池隔膜、气瓶及工程复合材料等环节，整体位于特种纤维和复合材料产业链中游偏上游。其中，玻璃纤维处于材料制造环节，风电叶片处于复合材料深加工和风电整机配套环节，锂电池隔膜处于新能源材料中游。</w:t>
      </w:r>
    </w:p>
    <w:p>
      <w:pPr>
        <w:pStyle w:val="ListParagraph"/>
        <w:numPr>
          <w:ilvl w:val="0"/>
          <w:numId w:val="2"/>
        </w:numPr>
        <w:spacing w:after="80" w:line="280"/>
      </w:pPr>
      <w:r>
        <w:rPr>
          <w:sz w:val="22"/>
          <w:szCs w:val="22"/>
        </w:rPr>
        <w:t xml:space="preserve">玻璃纤维业务主要采购叶蜡石、高岭土、石英砂、石灰石、硼钙石等矿物原料，主要燃料为天然气。公司采用统一采购、统一定价和统一调剂模式，并通过年度协议或参股合作锁定部分供货价格和数量。</w:t>
      </w:r>
    </w:p>
    <w:p>
      <w:pPr>
        <w:pStyle w:val="ListParagraph"/>
        <w:numPr>
          <w:ilvl w:val="0"/>
          <w:numId w:val="2"/>
        </w:numPr>
        <w:spacing w:after="80" w:line="280"/>
      </w:pPr>
      <w:r>
        <w:rPr>
          <w:sz w:val="22"/>
          <w:szCs w:val="22"/>
        </w:rPr>
        <w:t xml:space="preserve">玻璃纤维业务对矿物原料和天然气成本较为敏感。公司凭借规模采购、窑炉技术和供应链体系具备一定成本控制能力，但对天然气和部分大宗矿物原料总体仍属于价格接受者，而非拥有完全定价权的买方。</w:t>
      </w:r>
    </w:p>
    <w:p>
      <w:pPr>
        <w:pStyle w:val="ListParagraph"/>
        <w:numPr>
          <w:ilvl w:val="0"/>
          <w:numId w:val="2"/>
        </w:numPr>
        <w:spacing w:after="80" w:line="280"/>
      </w:pPr>
      <w:r>
        <w:rPr>
          <w:sz w:val="22"/>
          <w:szCs w:val="22"/>
        </w:rPr>
        <w:t xml:space="preserve">2024年合并口径原材料成本为120.79亿元，占营业成本约62.16%；能源成本18.25亿元，占比约9.39%；人工成本15.17亿元，占比约7.81%；折旧费用12.68亿元，占比约6.53%。</w:t>
      </w:r>
    </w:p>
    <w:p>
      <w:pPr>
        <w:pStyle w:val="ListParagraph"/>
        <w:numPr>
          <w:ilvl w:val="0"/>
          <w:numId w:val="2"/>
        </w:numPr>
        <w:spacing w:after="80" w:line="280"/>
      </w:pPr>
      <w:r>
        <w:rPr>
          <w:sz w:val="22"/>
          <w:szCs w:val="22"/>
        </w:rPr>
        <w:t xml:space="preserve">风电叶片主要采购玻璃纤维、碳纤维、BALSA、PET、PVC等夹芯材料以及环氧树脂等基体材料，同时承担人工、能源、模具设备、大型化工艺、海运、运输和海外本地化制造成本。</w:t>
      </w:r>
    </w:p>
    <w:p>
      <w:pPr>
        <w:pStyle w:val="ListParagraph"/>
        <w:numPr>
          <w:ilvl w:val="0"/>
          <w:numId w:val="2"/>
        </w:numPr>
        <w:spacing w:after="80" w:line="280"/>
      </w:pPr>
      <w:r>
        <w:rPr>
          <w:sz w:val="22"/>
          <w:szCs w:val="22"/>
        </w:rPr>
        <w:t xml:space="preserve">风电叶片主要采用招标采购，通过供应商综合评标和采购平台提升议价能力。公司拥有泰山玻纤这一内部玻纤供应平台，具备一定产业链协同优势，但碳纤维、树脂和夹芯材料等仍需外部采购。</w:t>
      </w:r>
    </w:p>
    <w:p>
      <w:pPr>
        <w:pStyle w:val="ListParagraph"/>
        <w:numPr>
          <w:ilvl w:val="0"/>
          <w:numId w:val="2"/>
        </w:numPr>
        <w:spacing w:after="80" w:line="280"/>
      </w:pPr>
      <w:r>
        <w:rPr>
          <w:sz w:val="22"/>
          <w:szCs w:val="22"/>
        </w:rPr>
        <w:t xml:space="preserve">锂电池隔膜业务核心成本包括聚烯烃基膜材料、涂覆材料、设备折旧、能源和制造费用。行业竞争集中于薄型化、产品强度、良率、涂覆配方、设备效率和单位成本，公司需要通过规模化生产、设备效率提升和客户结构优化降低成本。</w:t>
      </w:r>
    </w:p>
    <w:p>
      <w:pPr>
        <w:pStyle w:val="ListParagraph"/>
        <w:numPr>
          <w:ilvl w:val="0"/>
          <w:numId w:val="2"/>
        </w:numPr>
        <w:spacing w:after="80" w:line="280"/>
      </w:pPr>
      <w:r>
        <w:rPr>
          <w:sz w:val="22"/>
          <w:szCs w:val="22"/>
        </w:rPr>
        <w:t xml:space="preserve">研究纪要未披露各主要原材料供应商集中度的具体比例；现有资料显示，公司通过统一采购、年度协议或参股合作等方式加强供应保障，但无法据此判断其对上游具有完全定价权。</w:t>
      </w:r>
    </w:p>
    <w:p>
      <w:pPr>
        <w:pStyle w:val="ListParagraph"/>
        <w:numPr>
          <w:ilvl w:val="0"/>
          <w:numId w:val="2"/>
        </w:numPr>
        <w:spacing w:after="80" w:line="280"/>
      </w:pPr>
      <w:r>
        <w:rPr>
          <w:sz w:val="22"/>
          <w:szCs w:val="22"/>
        </w:rPr>
        <w:t xml:space="preserve">风电叶片直接客户主要为风机整机厂商，终端用户为风电场开发商。整机商客户集中度较高，对叶片供应商具有较强采购议价能力，叶片企业需要满足整机厂商的型号、尺寸、认证和交付要求。</w:t>
      </w:r>
    </w:p>
    <w:p>
      <w:pPr>
        <w:pStyle w:val="ListParagraph"/>
        <w:numPr>
          <w:ilvl w:val="0"/>
          <w:numId w:val="2"/>
        </w:numPr>
        <w:spacing w:after="80" w:line="280"/>
      </w:pPr>
      <w:r>
        <w:rPr>
          <w:sz w:val="22"/>
          <w:szCs w:val="22"/>
        </w:rPr>
        <w:t xml:space="preserve">2024年公司前五大客户销售额合计79.79亿元，占年度销售总额33.27%，前五大客户中无关联方销售。该数据为2024年年报披露口径，研究纪要未提供其他年度数据或独立来源交叉核验，具体以最新年报为准。</w:t>
      </w:r>
    </w:p>
    <w:p>
      <w:pPr>
        <w:pStyle w:val="ListParagraph"/>
        <w:numPr>
          <w:ilvl w:val="0"/>
          <w:numId w:val="2"/>
        </w:numPr>
        <w:spacing w:after="80" w:line="280"/>
      </w:pPr>
      <w:r>
        <w:rPr>
          <w:sz w:val="22"/>
          <w:szCs w:val="22"/>
        </w:rPr>
        <w:t xml:space="preserve">风电叶片价格受到风机整机价格和风电项目招标价格影响，行业存在大客户集中、产品定制化和供应商围绕整机厂商认证竞争等特征；大型化、轻量化、海上风电技术、交付能力和海外本地化制造是主要竞争方向。</w:t>
      </w:r>
    </w:p>
    <w:p>
      <w:pPr>
        <w:pStyle w:val="ListParagraph"/>
        <w:numPr>
          <w:ilvl w:val="0"/>
          <w:numId w:val="2"/>
        </w:numPr>
        <w:spacing w:after="80" w:line="280"/>
      </w:pPr>
      <w:r>
        <w:rPr>
          <w:sz w:val="22"/>
          <w:szCs w:val="22"/>
        </w:rPr>
        <w:t xml:space="preserve">玻璃纤维下游覆盖建筑、汽车、风电、电子、家电、交通和基础设施等领域，客户结构相对分散，但粗纱、电子布等产品价格仍受到行业供需和新增产能影响。泰山玻纤国内销售约90%采用直销、约10%采用经销商代理；海外销售约85%采用直销、约15%采用代理。</w:t>
      </w:r>
    </w:p>
    <w:p>
      <w:pPr>
        <w:pStyle w:val="ListParagraph"/>
        <w:numPr>
          <w:ilvl w:val="0"/>
          <w:numId w:val="2"/>
        </w:numPr>
        <w:spacing w:after="80" w:line="280"/>
      </w:pPr>
      <w:r>
        <w:rPr>
          <w:sz w:val="22"/>
          <w:szCs w:val="22"/>
        </w:rPr>
        <w:t xml:space="preserve">锂电池隔膜下游客户为锂电池企业，客户认证周期较长。头部电池客户对产品一致性、良率、供货稳定性和成本要求较高，具备较强议价能力；隔膜企业主要依靠规模、技术认证、海外布局和产品质量建立客户黏性。</w:t>
      </w:r>
    </w:p>
    <w:p>
      <w:pPr>
        <w:pStyle w:val="ListParagraph"/>
        <w:numPr>
          <w:ilvl w:val="0"/>
          <w:numId w:val="2"/>
        </w:numPr>
        <w:spacing w:after="80" w:line="280"/>
      </w:pPr>
      <w:r>
        <w:rPr>
          <w:sz w:val="22"/>
          <w:szCs w:val="22"/>
        </w:rPr>
        <w:t xml:space="preserve">公司整体下游议价能力并不均衡：风电叶片和锂电池隔膜面对较强的头部客户议价压力，玻璃纤维则更多受到行业供需和产品价格周期影响。</w:t>
      </w:r>
    </w:p>
    <w:p>
      <w:pPr>
        <w:pStyle w:val="ListParagraph"/>
        <w:numPr>
          <w:ilvl w:val="0"/>
          <w:numId w:val="2"/>
        </w:numPr>
        <w:spacing w:after="80" w:line="280"/>
      </w:pPr>
      <w:r>
        <w:rPr>
          <w:sz w:val="22"/>
          <w:szCs w:val="22"/>
        </w:rPr>
        <w:t xml:space="preserve">截至2024年12月31日，公司合并口径应收账款69.56亿元，占2024年营业收入约29.0%；应收票据9.69亿元；应收款项融资34.49亿元；存货35.85亿元；应付账款81.49亿元，占营业收入约34.0%；合同负债7.06亿元。若合并观察，应收账款、应收票据和应收款项融资合计约113.75亿元，占营业收入约47.4%，但应收票据和应收款项融资具有不同结算属性，不宜全部等同于信用销售形成的应收账款。公司对下游存在一定资金占用，同时通过应付账款、应付票据和合同负债获得部分供应商及客户融资；年报未披露分业务应收账款周转天数，因此无法据此准确判断单个业务板块的议价能力。</w:t>
      </w:r>
    </w:p>
    <w:p>
      <w:pPr>
        <w:pStyle w:val="ListParagraph"/>
        <w:numPr>
          <w:ilvl w:val="0"/>
          <w:numId w:val="2"/>
        </w:numPr>
        <w:spacing w:after="80" w:line="280"/>
      </w:pPr>
      <w:r>
        <w:rPr>
          <w:sz w:val="22"/>
          <w:szCs w:val="22"/>
        </w:rPr>
        <w:t xml:space="preserve">下游集中度方面，2024年公司前五大客户销售额占年度销售总额33.27%，金额为79.79亿元，前五大客户中无关联方销售；该数据为2024年年报披露，研究纪要未提供其他年度数据或独立来源交叉核验，具体以最新年报为准。上游供应商集中度的具体比例未在研究纪要中披露。</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30.00%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玻纤和锂膜需求较好，产品结构和价格相对有利；风电叶片仍受到价格压力。</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25.54%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原材料、能源及制造成本上升，玻纤毛利率下降；锂膜处于快速放量阶段，但尚不足以完全抵消传统业务利润率回落。</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24.65%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风电叶片价格下降，但原材料价格回落、单位成本下降及中复连众并表后的管理协同改善，推动叶片毛利率回升；锂膜收入增长但毛利率较2022年略降。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17.02%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风电叶片和玻纤产品价格下降，锂膜行业扩产和价格竞争加剧，三大主业毛利率均承压；原材料成本占营业成本升至62.16%，折旧费用上升。</w:t>
            </w:r>
          </w:p>
        </w:tc>
      </w:tr>
    </w:tbl>
    <w:p>
      <w:pPr>
        <w:spacing w:before="200"/>
      </w:pPr>
    </w:p>
    <w:p>
      <w:pPr>
        <w:spacing w:after="160" w:line="300"/>
      </w:pPr>
      <w:r>
        <w:rPr>
          <w:sz w:val="22"/>
          <w:szCs w:val="22"/>
        </w:rPr>
        <w:t xml:space="preserve">公司位于特种纤维和复合材料产业链中游偏上游：玻璃纤维偏材料制造，风电叶片偏复合材料深加工和整机配套，锂电池隔膜偏新能源材料中游。当前盈利更多依赖规模、窑炉和制造技术、产品结构及成本控制，而非对下游拥有完全定价权；进一步改善利润主要取决于玻纤和叶片产品价格恢复、产能利用率提升、原材料与能源成本控制、风电叶片大型化及海外布局，以及锂膜良率提升和高端客户放量。</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2026年上半年（截至2026年6月30日）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162.57亿元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同比增长21.95%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归属于上市公司股东的净利润12.08亿元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同比增长20.93%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301.95亿元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同比增长25.90%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归属于上市公司股东的净利润18.18亿元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同比增长103.82%</w:t>
            </w:r>
          </w:p>
        </w:tc>
      </w:tr>
    </w:tbl>
    <w:p>
      <w:pPr>
        <w:spacing w:after="200"/>
      </w:pPr>
      <w:r>
        <w:rPr>
          <w:i/>
          <w:iCs/>
          <w:color w:val="595959"/>
          <w:sz w:val="18"/>
          <w:szCs w:val="18"/>
        </w:rPr>
        <w:t xml:space="preserve">最新官方定期报告为2026年半年度报告，报告披露日为2026年8月18日。2026年上半年扣除非经常性损益后的归母净利润为10.95亿元，同比增长35.54%；基本每股收益为0.7197元，同比增长20.94%；加权平均净资产收益率为5.92%，上年同期为5.27%。经营活动产生的现金流量净额为-2.00亿元，上年同期为19.85亿元，同比下降110.07%。截至2026年6月30日，归属于上市公司股东的净资产为204.10亿元，较2025年末增长2.51%。2025年度扣非归母净利润约12.80亿元，同比增长234.52%，基本每股收益为1.0832元。</w:t>
      </w:r>
    </w:p>
    <w:p>
      <w:pPr>
        <w:spacing w:after="160" w:line="300"/>
      </w:pPr>
      <w:r>
        <w:rPr>
          <w:sz w:val="22"/>
          <w:szCs w:val="22"/>
        </w:rPr>
        <w:t xml:space="preserve">2026年上半年收入和归母净利润保持较快增长，扣非归母净利润增速明显高于归母净利润，显示主营业务盈利修复较快。分业务看，风电叶片收入55.79亿元，同比增长7.29%；玻璃纤维及制品收入53.06亿元，同比增长21.86%；锂电池隔膜收入21.80亿元，同比增长135.03%；高压气瓶收入7.15亿元，同比增长12.58%；工程复合材料收入12.08亿元，同比下降11.09%。报告披露，玻璃纤维业务归母净利润同比增长49%，锂电池隔膜销量同比增长113%，是利润改善的重要来源。需要关注经营活动现金流转负，主要与票据兑付现金流出增加、应收及存货等营运资金占用增加有关，利润增长与经营现金流改善不同步。数据来源为中国证监会指定披露平台、深圳证券交易所及新浪财经披露的中材科技2026年半年度报告，以及中材科技2025年年度报告。 </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根据同花顺F10，截至2026年9月11日，近6个月内共有10家机构对中材科技2026年度业绩进行预测。2026年至2028年的营业收入、归母净利润和EPS均为机构预测，不是公司官方业绩承诺。机构净利润预测区间分别为：2026年25.96至32.90亿元、2027年30.97至55.15亿元、2028年35.76至77.28亿元。已披露的部分机构预测包括：国信证券（2026年9月5日）2026/2027/2028年EPS为1.85/3.14/4.09元，净利润为31.07/52.62/68.59亿元；中泰证券（2026年8月24日）EPS为1.91/3.09/4.61元，净利润为32.11/51.90/77.28亿元；东北证券（2026年8月22日）EPS为1.67/1.98/2.26元，净利润为28.05/33.25/38.00亿元；国金证券（2026年4月25日）EPS为1.71/2.20/2.59元，净利润为28.68/36.84/43.46亿元；中原证券（2026年4月22日）EPS为1.78/2.36/2.71元，净利润为29.88/39.54/45.51亿元；天风证券（2026年3月27日）EPS为1.82/2.15/2.57元，净利润为30.62/36.12/43.11亿元。证券之星披露的长江证券和中泰证券历史预测早于2026年半年度报告，当前参考价值低于8月至9月更新的预测。来源：同花顺F10盈利预测、证券之星机构预测。</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机构预测均值约357.07亿元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机构预测均值约30.12亿元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较2025年预测增长约65.72%</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约1.79元；预测区间1.55至1.96元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机构预测均值约400.55亿元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机构预测均值约41.69亿元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按2026年预测净利润计算，同比增长约38.4%</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约2.49元；预测区间1.85至3.29元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机构预测均值约444.39亿元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机构预测均值约52.03亿元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按2027年预测净利润计算，同比增长约24.8%</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约3.10元；预测区间2.13至4.61元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2026年8月24日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未披露可核实目标价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东方财富证券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2026年8月20日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未披露可核实目标价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2026年6月26日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未披露可核实目标价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东莞证券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2026年6月26日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未披露可核实目标价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2026年6月8日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目标价50.00元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2026年5月21日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未披露可核实目标价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长江证券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未披露可核实目标价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2026年4月26日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未披露可核实目标价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2026年4月12日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目标价51.39元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2026年5月7日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目标价49.57元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2026年3月23日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目标价49.57元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Investing.com分析师共识</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强力买入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6名分析师给出的12个月平均目标价为64.68元，最高88元，最低50元；为第三方平台汇总数据，具体分析师名单、预测口径和目标价发布日期需进一步核实</w:t>
            </w:r>
          </w:p>
        </w:tc>
      </w:tr>
    </w:tbl>
    <w:p>
      <w:pPr>
        <w:spacing w:before="200"/>
      </w:pPr>
    </w:p>
    <w:p>
      <w:pPr>
        <w:spacing w:after="160" w:line="300"/>
      </w:pPr>
      <w:r>
        <w:rPr>
          <w:sz w:val="22"/>
          <w:szCs w:val="22"/>
        </w:rPr>
        <w:t xml:space="preserve">截至2026年9月10日收盘，中材科技股价约50.85元，总市值约853.33亿元，总股本约16.78亿股。平台披露的主要估值指标包括：市盈率TTM约42.10倍、静态市盈率约46.94倍、动态市盈率约35.33倍、市净率约4.18倍。按照同花顺机构盈利预测均值及股价50.85元计算，2026年预测PE约28.4倍，2027年预测PE约20.4倍，2028年预测PE约16.4倍。当前估值较大程度上建立在未来两至三年利润持续增长的基础上；若预测兑现，估值将随利润增长而下降，但若玻纤价格、锂膜价格或风电叶片盈利修复不及预期，当前约42倍TTM市盈率则不算低。不同平台存在估值口径差异：爱股票显示TTM市盈率42.10倍、市净率4.18倍；经济通显示动态市盈率46.9442倍；中财网显示市盈率42.23倍、扣非后市盈率54.50倍、市净率2.96倍；Investing.com显示股价约50.69至50.77元、TTM EPS约1.21元，对应市盈率约41.7至42倍。差异可能来自数据更新时间、TTM利润计算方式、扣非与未扣非口径、净资产基准日及页面刷新时点。可核实的单家券商目标价大多集中在49.57至51.39元，第三方平台汇总的64.68元平均目标价明显更高，二者不宜直接比较。综合来看，公司业绩修复趋势较为明显，但锂电池隔膜行业竞争、玻纤及风电叶片价格与盈利波动，以及经营现金流转负和中长期机构预测分歧，构成主要估值风险。</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向特定对象发行股票获中国证监会同意注册</w:t>
      </w:r>
    </w:p>
    <w:p>
      <w:pPr>
        <w:spacing w:after="160" w:line="300"/>
      </w:pPr>
      <w:r>
        <w:rPr>
          <w:sz w:val="22"/>
          <w:szCs w:val="22"/>
        </w:rPr>
        <w:t xml:space="preserve">2026年8月7日，中材科技披露《关于2025年度向特定对象发行股票申请获得中国证监会同意注册批复的公告》（公告编号：2026-043）。公司收到中国证监会《关于同意中材科技股份有限公司向特定对象发行股票注册的批复》，批文文号为“证监许可〔2026〕1952号”。本次发行应按照报送深交所的申报文件和发行方案实施，注册批复自同意注册之日起12个月内有效。公司后续仍需办理发行、缴款、验资、股份登记等程序；截至2026年9月11日，未检索到本次发行已完成的公告，最终发行规模、发行价格、发行对象及摊薄影响尚不确定。来源：https://static.cninfo.com.cn/finalpage/2026-08-08/1225462939.PDF</w:t>
      </w:r>
    </w:p>
    <w:p>
      <w:pPr>
        <w:pStyle w:val="Heading2"/>
        <w:spacing w:after="120" w:before="240"/>
      </w:pPr>
      <w:r>
        <w:rPr>
          <w:b/>
          <w:bCs/>
          <w:color w:val="2E74B5"/>
          <w:sz w:val="24"/>
          <w:szCs w:val="24"/>
        </w:rPr>
        <w:t xml:space="preserve">4.2 2026年半年度报告披露，归母净利润同比增长20.93%</w:t>
      </w:r>
    </w:p>
    <w:p>
      <w:pPr>
        <w:spacing w:after="160" w:line="300"/>
      </w:pPr>
      <w:r>
        <w:rPr>
          <w:sz w:val="22"/>
          <w:szCs w:val="22"/>
        </w:rPr>
        <w:t xml:space="preserve">2026年8月18日，公司披露2026年半年度报告及摘要。2026年上半年归属于上市公司股东的净利润为12.0770亿元，同比增长20.93%；基本每股收益为0.72元。公司中期利润分配方案为不分配、不转增。报告期末普通股股东总数为109,013户，较2026年3月31日增加6,108户，增幅约5.94%。来源：https://disc.static.szse.cn/disc/disk03/finalpage/2026-08-18/8574aa65-18bd-4f05-af40-d22adc758aff.PDF</w:t>
      </w:r>
    </w:p>
    <w:p>
      <w:pPr>
        <w:pStyle w:val="Heading2"/>
        <w:spacing w:after="120" w:before="240"/>
      </w:pPr>
      <w:r>
        <w:rPr>
          <w:b/>
          <w:bCs/>
          <w:color w:val="2E74B5"/>
          <w:sz w:val="24"/>
          <w:szCs w:val="24"/>
        </w:rPr>
        <w:t xml:space="preserve">4.3 日常关联交易预计额度调整</w:t>
      </w:r>
    </w:p>
    <w:p>
      <w:pPr>
        <w:spacing w:after="160" w:line="300"/>
      </w:pPr>
      <w:r>
        <w:rPr>
          <w:sz w:val="22"/>
          <w:szCs w:val="22"/>
        </w:rPr>
        <w:t xml:space="preserve">2026年8月18日，公司披露《关于调整2026年日常关联交易预计的公告》（公告编号：2026-046）。公司2026年初预计与实际控制人、控股股东及其子公司发生的各类日常关联交易总额不超过15亿元。根据实际经营需求变化，公司拟增加与中国中材国际工程股份有限公司及其控股子公司、中建材石墨新材料有限公司及其控股子公司、天山材料股份有限公司及其控股子公司的日常关联交易预计金额。该议案于2026年8月17日经第七届董事会第十一次会议审议通过，关联董事黄再满、陈雨、冯俊回避表决，非关联董事以5票赞成、0票反对、0票弃权通过。研究纪要未完整列示各交易对手及各类别调整后的具体金额。来源：https://stock.stockstar.com/notice/SN2026081700022090.shtml</w:t>
      </w:r>
    </w:p>
    <w:p>
      <w:pPr>
        <w:pStyle w:val="Heading2"/>
        <w:spacing w:after="120" w:before="240"/>
      </w:pPr>
      <w:r>
        <w:rPr>
          <w:b/>
          <w:bCs/>
          <w:color w:val="2E74B5"/>
          <w:sz w:val="24"/>
          <w:szCs w:val="24"/>
        </w:rPr>
        <w:t xml:space="preserve">4.4 股票交易异常波动，公司提示特种玻纤布热点炒作风险</w:t>
      </w:r>
    </w:p>
    <w:p>
      <w:pPr>
        <w:spacing w:after="160" w:line="300"/>
      </w:pPr>
      <w:r>
        <w:rPr>
          <w:sz w:val="22"/>
          <w:szCs w:val="22"/>
        </w:rPr>
        <w:t xml:space="preserve">2026年8月7日，公司披露股票交易异常波动公告。公司股票于2026年8月4日、8月5日、8月6日连续3个交易日收盘价格涨幅偏离值累计超过20%。公司表示，全资子公司泰山玻璃纤维有限公司生产的特种纤维布产品受到市场关注，并提示投资者注意热点概念炒作风险。公司近期内外部经营环境未发生重大变化，经营情况正常；公司、控股股东和实际控制人不存在应披露而未披露的重大事项或处于筹划阶段的重大事项；异常波动期间，控股股东、实际控制人不存在买卖公司股票的情况。来源：https://money.finance.sina.com.cn/corp/view/vCB_AllBulletinDetail.php?id=12481661&amp;stockid=002080</w:t>
      </w:r>
    </w:p>
    <w:p>
      <w:pPr>
        <w:pStyle w:val="Heading2"/>
        <w:spacing w:after="120" w:before="240"/>
      </w:pPr>
      <w:r>
        <w:rPr>
          <w:b/>
          <w:bCs/>
          <w:color w:val="2E74B5"/>
          <w:sz w:val="24"/>
          <w:szCs w:val="24"/>
        </w:rPr>
        <w:t xml:space="preserve">4.5 泰玻邹城一期特种玻纤布项目进度获互动回复</w:t>
      </w:r>
    </w:p>
    <w:p>
      <w:pPr>
        <w:spacing w:after="160" w:line="300"/>
      </w:pPr>
      <w:r>
        <w:rPr>
          <w:sz w:val="22"/>
          <w:szCs w:val="22"/>
        </w:rPr>
        <w:t xml:space="preserve">2026年9月7日，公司在深交所互动易回复投资者关于“泰玻邹城一期特种玻纤布项目”进度的问题。公司表示，项目进度按报告期末累计实际投入金额计算，土建开工后建设期为12个月，并称“不存在延迟的情况”。该信息属于投资者互动回复，不等同于上市公司正式公告；截至2026年9月11日，公司未给出明确的具体投产日期。来源：https://www.hstong.com/news/detail/26090718431025208</w:t>
      </w:r>
    </w:p>
    <w:p>
      <w:pPr>
        <w:pStyle w:val="Heading2"/>
        <w:spacing w:after="120" w:before="240"/>
      </w:pPr>
      <w:r>
        <w:rPr>
          <w:b/>
          <w:bCs/>
          <w:color w:val="2E74B5"/>
          <w:sz w:val="24"/>
          <w:szCs w:val="24"/>
        </w:rPr>
        <w:t xml:space="preserve">4.6 股东结构及增减持情况</w:t>
      </w:r>
    </w:p>
    <w:p>
      <w:pPr>
        <w:spacing w:after="160" w:line="300"/>
      </w:pPr>
      <w:r>
        <w:rPr>
          <w:sz w:val="22"/>
          <w:szCs w:val="22"/>
        </w:rPr>
        <w:t xml:space="preserve">截至2026年6月30日，中国建材股份有限公司持有中材科技约10.1087亿股，持股比例为60.24%，报告期内持股数量未发生变化。半年报显示，香港中央结算有限公司、部分境外机构及公募基金持股出现变化，香港中央结算有限公司持股比例约4.45%，较上期增加，高盛国际、摩根士丹利国际、UBS AG等机构进入前十大股东名单。上述数据为截至2026年6月30日的半年报股东名册，并非2026年9月的实时增减持公告。截至2026年9月11日，未检索到控股股东、中国建材集团或公司董事高管在9月发布新的增减持公告。来源：https://disc.static.szse.cn/disc/disk03/finalpage/2026-08-18/8574aa65-18bd-4f05-af40-d22adc758aff.PDF</w:t>
      </w:r>
    </w:p>
    <w:p>
      <w:pPr>
        <w:pStyle w:val="Heading2"/>
        <w:spacing w:after="120" w:before="240"/>
      </w:pPr>
      <w:r>
        <w:rPr>
          <w:b/>
          <w:bCs/>
          <w:color w:val="2E74B5"/>
          <w:sz w:val="24"/>
          <w:szCs w:val="24"/>
        </w:rPr>
        <w:t xml:space="preserve">4.7 未检索到2026年9月新的回购、并购重组及监管处罚公告</w:t>
      </w:r>
    </w:p>
    <w:p>
      <w:pPr>
        <w:spacing w:after="160" w:line="300"/>
      </w:pPr>
      <w:r>
        <w:rPr>
          <w:sz w:val="22"/>
          <w:szCs w:val="22"/>
        </w:rPr>
        <w:t xml:space="preserve">截至2026年9月11日，未检索到中材科技在2026年9月披露新的股份回购、控股股东增减持、重大并购、重大资产购买、重大资产出售、重大资产重组或监管处罚公告。公司2026年半年度报告中的“股份回购的实施进展情况”显示为“不适用”，截至目前未检索到2026年内发布股份回购方案、回购进展公告或回购完成公告。上述结论受公告检索覆盖范围及第三方网站更新时滞影响，最终以深交所及巨潮资讯网披露内容为准。</w:t>
      </w:r>
    </w:p>
    <w:p>
      <w:pPr>
        <w:pStyle w:val="Heading2"/>
        <w:spacing w:after="120" w:before="240"/>
      </w:pPr>
      <w:r>
        <w:rPr>
          <w:b/>
          <w:bCs/>
          <w:color w:val="2E74B5"/>
          <w:sz w:val="24"/>
          <w:szCs w:val="24"/>
        </w:rPr>
        <w:t xml:space="preserve">4.8 同业竞争承诺持续推进，暂未出现新的实质性解决方案</w:t>
      </w:r>
    </w:p>
    <w:p>
      <w:pPr>
        <w:spacing w:after="160" w:line="300"/>
      </w:pPr>
      <w:r>
        <w:rPr>
          <w:sz w:val="22"/>
          <w:szCs w:val="22"/>
        </w:rPr>
        <w:t xml:space="preserve">公司控股股东中国建材股份有限公司及实际控制人中国建材集团有限公司此前就解决与中材科技之间的同业竞争作出承诺。公司在2026年4月3日业绩说明会互动中表示，相关承诺仍处于有效期内，相关工作稳步推进中。截至2026年9月11日，未发现公司就该事项发布新的实质性解决方案公告或完成资产整合公告。互动回复未给出明确时间表、交易方案或资产范围，不能据此推断同业竞争问题已经解决。来源：https://irm.cninfo.com.cn/interview/interview/activityInfo?activityId=1421054002431229952</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51.52元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上涨0.67元，涨幅1.32%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49.80元/51.69元/48.10元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约434.40万手，约4,344万股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约21.85亿元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2.59%</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约865亿元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动态市盈率/TTM市盈率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约42.65至42.66倍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约16.78亿股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近期走势</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9月4日收于47.44元后，9月7日至9月11日连续四个交易日收涨，反弹至51.52元；近5个交易日累计上涨约8.60%，近20个交易日下跌约14.03%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近20个交易日收盘区间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约47.44至62.00元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最高约102.22元（2026年6月26日）；最低约29.12元，另一前复权数据源显示约28.96元，低点口径存在差异</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50.59元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收盘价高于MA5约1.8%，短线反弹仍在延续</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50.52元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收盘价高于MA10约2.0%，短线价格表现有所修复</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52.11元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收盘价低于MA20约1.1%，尚未重新站稳20日均线，中期趋势仍偏向反弹修复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 -1.42；DEA -1.68；MACD柱0.51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DIF已高于DEA且MACD柱为正，短线动能改善；但DIF、DEA仍在零轴下方，趋势修复尚不充分</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RSI6 55.8；RSI12 48.6；RSI24 46.6</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RSI6处于30至70的中性区间，暂未进入明显超买或超卖状态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上轨59.01元；中轨52.11元；下轨45.21元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股价位于中轨下方、下轨上方，处于布林带下半区；若不能收复52元附近中轨，反弹仍可能被视为弱势反抽</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筹码成本</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中位成本约51.10元；平均成本约53.59元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收盘价略高于中位成本，但距离筹码平均成本仍有一定差距</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最近10个交易日合计净流入约8,374万元，其中8个交易日净流入、2个交易日净流出；最近5个交易日连续净流入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9月3日、9月4日大额流出后短线资金面有所修复，但该指标按大单和超大单成交金额差额估算，不能识别实际投资者身份，也不等同于机构真实持仓变化</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量价关系</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9月11日成交量约434万手，低于3个月平均成交量约535万手，但高于9月9日和9月10日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上涨过程中尚未出现显著超过近期水平的放量，暂不能视为强趋势突破式放量</w:t>
            </w:r>
          </w:p>
        </w:tc>
      </w:tr>
    </w:tbl>
    <w:p>
      <w:pPr>
        <w:spacing w:before="200"/>
      </w:pPr>
    </w:p>
    <w:p>
      <w:pPr>
        <w:spacing w:after="160" w:line="300"/>
      </w:pPr>
      <w:r>
        <w:rPr>
          <w:sz w:val="22"/>
          <w:szCs w:val="22"/>
        </w:rPr>
        <w:t xml:space="preserve">截至2026年9月11日，中材科技股价在快速下跌后出现反弹，9月4日收于47.44元后连续四个交易日收涨至51.52元，但仍低于2026年8月中旬60元以上区域以及MA20、布林带中轨52.11元，整体仍属于高波动反弹修复，尚未形成明确的中期转强信号。MA5、MA10上方运行，MACD柱转正且DIF高于DEA，显示短线动能有所改善；但MACD仍处于零轴下方，RSI处于中性区间，且上涨尚未伴随显著放量。资金方面，最近5个交易日主力资金连续净流入，但主力资金数据属于成交结构估算，不能直接证明机构持仓变化。股东结构数据显示控股股东集中度较高，但相关股东数据存在季度滞后，需结合最新行情和成交变化观察。</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风险提示：以下内容仅为基于截至2026年9月11日收盘数据及历史技术指标的主观情景推演，不构成投资建议，也不构成对未来实际走势的保证。</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52.1至52.8元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52.1元附近对应MA20及布林带中轨，52.8元附近为短线反弹进一步确认位置。若有效站稳52.8元并伴随成交额放大，可能打开向54.0至55.0元前期成交密集区或短线高点区域观察的空间。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50.3至50.8元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对应部分短周期均线、近期反弹平台及9月9日至9月10日收盘密集区域。若回踩后缩量企稳，技术上仍可视为反弹过程中的整理。</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47.4至49.0元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47.44元为9月4日收盘低点，48.10元为9月11日盘中低点，49元附近对应前期短线成交区域。若跌破47.4元，可能打开向45.2元附近布林带下轨回落的空间；下轨失守后需进一步观察更低价格区域支撑。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较高，约六成左右；该权重是基于当前技术面和资金面的启发式判断，不是统计学概率）：价格区间约50.3至53.0元。若成交额维持约15亿至22亿元、换手率维持约1.8%至2.8%，且股价无法有效突破52.8元，可能在50.3至53.0元之间消化整理。依据是股价已连续反弹但仍低于MA20和布林带中轨，RSI处于中性区间，MACD柱转正但DIF和DEA仍在零轴下方。</w:t>
      </w:r>
    </w:p>
    <w:p>
      <w:pPr>
        <w:pStyle w:val="ListParagraph"/>
        <w:numPr>
          <w:ilvl w:val="0"/>
          <w:numId w:val="2"/>
        </w:numPr>
        <w:spacing w:after="80" w:line="280"/>
      </w:pPr>
      <w:r>
        <w:rPr>
          <w:sz w:val="22"/>
          <w:szCs w:val="22"/>
        </w:rPr>
        <w:t xml:space="preserve">偏弱下行（主观权重中等；该权重是基于当前技术面和资金面的启发式判断，不是统计学概率）：价格区间约47.4至50.3元。触发条件包括股价跌破50.3元并连续收于其下，且成交额明显放大但价格不能收回；或玻纤、风电材料及建材板块整体走弱，引发反弹资金获利回吐。若进一步跌破47.4元，可能打开向45.2元附近布林带下轨回落的空间。</w:t>
      </w:r>
    </w:p>
    <w:p>
      <w:pPr>
        <w:pStyle w:val="ListParagraph"/>
        <w:numPr>
          <w:ilvl w:val="0"/>
          <w:numId w:val="2"/>
        </w:numPr>
        <w:spacing w:after="80" w:line="280"/>
      </w:pPr>
      <w:r>
        <w:rPr>
          <w:sz w:val="22"/>
          <w:szCs w:val="22"/>
        </w:rPr>
        <w:t xml:space="preserve">反弹走强（主观权重偏低至中等；该权重是基于当前技术面和资金面的启发式判断，不是统计学概率）：价格区间约52.8至55.0元。需要收盘价有效站上52.1至52.8元区域，同时单日成交额达到约25亿元以上、换手率达到3.0%左右或以上，并且上涨过程中主力资金继续保持净流入。若条件成立，可进一步观察54至55元附近；若仅无量冲高，突破有效性不足。</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2.59%，成交额约21.85亿元；最近几个交易日换手率约为1.84%至2.79%，成交额约为15.6亿至21.9亿元，8月25日换手率曾达到约3.53%。公司总市值约865亿元，日成交额约15亿至22亿元，日常换手率约2%左右，属于流动性相对较好的中大型股票。股东户数截至2026年6月30日约10.90万户，较2026年3月31日增加约5.94%；前十大流通股东数据截至2026年3月31日，合计持有流通股约67.00%，其中控股股东中国建材股份有限公司持有约60.24%，公募、保险、社保及陆股通等机构类股东虽有参与，但除控股股东外合计占比较有限。上述股东数据属于季度末快照，距2026年9月11日已有两个多月，不能直接代表实时机构持仓，期间筹码结构可能已经发生变化。由于公司规模和成交额较大，通常不会面临小盘股极端盘口流动性问题，但单日大幅波动时成交额和换手率仍可能快速放大。可检查的量价确认信号是：若未来一周单日成交额超过25亿元、换手率达到3.0%左右或以上，同时收盘价站稳52.8元，可视为突破获得成交量确认；若冲高时成交额低于近期约15亿至18亿元常态区间，则反弹动能仍需观察。</w:t>
      </w:r>
    </w:p>
    <w:p>
      <w:pPr>
        <w:spacing w:after="160" w:line="300"/>
      </w:pPr>
      <w:r>
        <w:rPr>
          <w:sz w:val="22"/>
          <w:szCs w:val="22"/>
        </w:rPr>
        <w:t xml:space="preserve">重点观察单日成交额是否超过25亿元、换手率是否达到3.0%左右或以上，并与收盘价站稳52.8元同步出现；若上涨但成交额降至约15亿元以下，反弹持续性需谨慎观察。</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观察52.1至52.8元区域能否由压力转为支撑；该观察思路不构成买卖指令。</w:t>
      </w:r>
    </w:p>
    <w:p>
      <w:pPr>
        <w:pStyle w:val="ListParagraph"/>
        <w:numPr>
          <w:ilvl w:val="0"/>
          <w:numId w:val="2"/>
        </w:numPr>
        <w:spacing w:after="80" w:line="280"/>
      </w:pPr>
      <w:r>
        <w:rPr>
          <w:sz w:val="22"/>
          <w:szCs w:val="22"/>
        </w:rPr>
        <w:t xml:space="preserve">观察50.3至50.8元区域回踩时是否缩量企稳；该观察思路不构成买卖指令。</w:t>
      </w:r>
    </w:p>
    <w:p>
      <w:pPr>
        <w:pStyle w:val="ListParagraph"/>
        <w:numPr>
          <w:ilvl w:val="0"/>
          <w:numId w:val="2"/>
        </w:numPr>
        <w:spacing w:after="80" w:line="280"/>
      </w:pPr>
      <w:r>
        <w:rPr>
          <w:sz w:val="22"/>
          <w:szCs w:val="22"/>
        </w:rPr>
        <w:t xml:space="preserve">若跌破47.4元，关注向45.2元附近布林带下轨回落的风险；该观察思路不构成买卖指令。</w:t>
      </w:r>
    </w:p>
    <w:p>
      <w:pPr>
        <w:pStyle w:val="ListParagraph"/>
        <w:numPr>
          <w:ilvl w:val="0"/>
          <w:numId w:val="2"/>
        </w:numPr>
        <w:spacing w:after="80" w:line="280"/>
      </w:pPr>
      <w:r>
        <w:rPr>
          <w:sz w:val="22"/>
          <w:szCs w:val="22"/>
        </w:rPr>
        <w:t xml:space="preserve">观察“成交额超过25亿元、换手率约3.0%以上、收盘站稳52.8元”是否同步出现；该观察思路不构成买卖指令。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材科技横跨玻璃纤维、风电叶片、锂电池隔膜、气瓶及工程复合材料等多个细分领域，不能用单一行业概括其产业链地位。玻璃纤维行业具有资本、能源、技术、环保和规模壁垒，盈利受供需和产品价格影响明显；风电叶片行业竞争集中于大型化、海上风电、整机厂商认证、交付和海外本地化能力；锂电池隔膜行业具有技术、设备、客户认证和规模壁垒，但2024年前后扩产较快，价格和盈利能力承压。</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玻璃纤维行业主要企业包括中国巨石、泰山玻纤、重庆国际或国际复材、山东玻纤、长海股份等。中国巨石、泰山玻纤和重庆国际处于国内第一梯队，但不同来源对产能和市场份额的统计口径存在差异，具体比例不宜作为精确事实直接使用。</w:t>
      </w:r>
    </w:p>
    <w:p>
      <w:pPr>
        <w:pStyle w:val="ListParagraph"/>
        <w:numPr>
          <w:ilvl w:val="0"/>
          <w:numId w:val="2"/>
        </w:numPr>
        <w:spacing w:after="80" w:line="280"/>
      </w:pPr>
      <w:r>
        <w:rPr>
          <w:sz w:val="22"/>
          <w:szCs w:val="22"/>
        </w:rPr>
        <w:t xml:space="preserve">中材科技在玻纤领域的优势包括泰山玻纤规模较大、产品品类丰富，以及在风电用纱、电子布、低介电纤维等特种产品方面具备研发和产业化能力，并可与风电叶片业务形成一定内部协同。</w:t>
      </w:r>
    </w:p>
    <w:p>
      <w:pPr>
        <w:pStyle w:val="ListParagraph"/>
        <w:numPr>
          <w:ilvl w:val="0"/>
          <w:numId w:val="2"/>
        </w:numPr>
        <w:spacing w:after="80" w:line="280"/>
      </w:pPr>
      <w:r>
        <w:rPr>
          <w:sz w:val="22"/>
          <w:szCs w:val="22"/>
        </w:rPr>
        <w:t xml:space="preserve">玻纤业务的主要压力包括粗纱等产品容易受到新增产能影响，天然气、矿物原料和环保成本较难完全向下游转移，以及与中国巨石存在同业竞争和关联交易关注事项。</w:t>
      </w:r>
    </w:p>
    <w:p>
      <w:pPr>
        <w:pStyle w:val="ListParagraph"/>
        <w:numPr>
          <w:ilvl w:val="0"/>
          <w:numId w:val="2"/>
        </w:numPr>
        <w:spacing w:after="80" w:line="280"/>
      </w:pPr>
      <w:r>
        <w:rPr>
          <w:sz w:val="22"/>
          <w:szCs w:val="22"/>
        </w:rPr>
        <w:t xml:space="preserve">风电叶片行业主要竞争因素包括叶片大型化和海上风电设计制造能力、整机厂商认证、交付与现场服务、单位重量成本、生产效率及海外本地化生产能力。中材科技披露2024年叶片销量约24GW、市场占有率保持全球第一，该市场地位为公司披露口径，缺少统一第三方统计口径。</w:t>
      </w:r>
    </w:p>
    <w:p>
      <w:pPr>
        <w:pStyle w:val="ListParagraph"/>
        <w:numPr>
          <w:ilvl w:val="0"/>
          <w:numId w:val="2"/>
        </w:numPr>
        <w:spacing w:after="80" w:line="280"/>
      </w:pPr>
      <w:r>
        <w:rPr>
          <w:sz w:val="22"/>
          <w:szCs w:val="22"/>
        </w:rPr>
        <w:t xml:space="preserve">锂电池隔膜行业主要竞争企业包括恩捷股份、星源材质、河北金力、中材科技或中材锂膜、沧州明珠和江苏厚生等。行业关键指标包括单位成本、薄型化能力、产品良率、涂覆工艺、客户认证、海外产能及电池厂客户结构。</w:t>
      </w:r>
    </w:p>
    <w:p>
      <w:pPr>
        <w:pStyle w:val="ListParagraph"/>
        <w:numPr>
          <w:ilvl w:val="0"/>
          <w:numId w:val="2"/>
        </w:numPr>
        <w:spacing w:after="80" w:line="280"/>
      </w:pPr>
      <w:r>
        <w:rPr>
          <w:sz w:val="22"/>
          <w:szCs w:val="22"/>
        </w:rPr>
        <w:t xml:space="preserve">中材叶片年产能超过30GW的2024年年报口径，与子公司官网截至2025年底披露的约38GW设计产能属于不同日期、不同统计口径，不能直接混用。泰山玻纤“全球排名约第二”及中材叶片“全球市场占有率第一”主要为公司或子公司公开披露，缺少完全统一的第三方统计口径。</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中国巨石（600176.SH）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玻璃纤维</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优势在于玻纤产能规模、全球化布局、成本控制和品牌；与泰山玻纤构成国内玻纤行业重要直接竞争关系。</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国际复材（301526.SZ）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玻璃纤维及制品</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具有较大玻纤产能和规模化制造能力，与泰山玻纤、中国巨石同属国内玻纤重要参与者。</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山东玻纤（605006.SH）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玻璃纤维</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在粗纱及玻纤制品领域具有产能基础，规模和产品体系相对较小，但在部分细分市场具有区域竞争力。</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时代新材（600458.SH）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风电叶片和复合材料</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与中材科技均服务风电整机厂商，面临客户集中、价格竞争和原材料成本波动；研究纪要列示2022年中材科技风电叶片毛利率9.83%、时代新材风力发电业务毛利率7.21%。</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天顺风能（002531.SZ）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风电叶片及风电装备</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具有较强的风电产业链布局，与中材科技叶片业务重合度较高，但叶片业务规模和产品结构并不完全一致。</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恩捷股份（002812.SZ）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锂电池隔膜</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在隔膜行业规模、客户认证和产品体系方面领先，中材锂膜属于重要参与者，但收入规模和盈利贡献仍处于扩张阶段。</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星源材质（300568.SZ）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锂电池隔膜</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在隔膜行业规模、客户认证和产品体系方面领先，是中材锂膜的主要可比企业之一。</w:t>
            </w:r>
          </w:p>
        </w:tc>
      </w:tr>
    </w:tbl>
    <w:p>
      <w:pPr>
        <w:spacing w:before="200"/>
      </w:pPr>
    </w:p>
    <w:p>
      <w:pPr>
        <w:spacing w:after="160" w:line="300"/>
      </w:pPr>
      <w:r>
        <w:rPr>
          <w:sz w:val="22"/>
          <w:szCs w:val="22"/>
        </w:rPr>
        <w:t xml:space="preserve">中材科技相较单一业务竞争对手，业务结构更为多元，覆盖玻纤、风电叶片和锂膜等材料及深加工环节，具备玻纤与叶片之间的产业协同和规模化制造优势；但不同业务面对的客户、成本和竞争格局差异较大。玻纤业务主要与中国巨石、国际复材和山东玻纤比较，叶片业务主要与时代新材、天顺风能等比较，锂膜业务则与恩捷股份、星源材质等头部企业比较。公司的综合利润弹性取决于玻纤和叶片价格周期、成本控制与产能利用率，以及锂膜业务的良率、客户放量和海外布局。</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风电叶片业务直接面对整机厂商，客户集中度和采购议价能力较强；2024年前五大客户销售额占公司年度销售总额33.27%，若主要客户压价、订单节奏变化或大型化、海上风电及海外项目推进不及预期，可能影响叶片收入和毛利率。</w:t>
      </w:r>
    </w:p>
    <w:p>
      <w:pPr>
        <w:pStyle w:val="ListParagraph"/>
        <w:numPr>
          <w:ilvl w:val="0"/>
          <w:numId w:val="2"/>
        </w:numPr>
        <w:spacing w:after="80" w:line="280"/>
      </w:pPr>
      <w:r>
        <w:rPr>
          <w:sz w:val="22"/>
          <w:szCs w:val="22"/>
        </w:rPr>
        <w:t xml:space="preserve">玻璃纤维业务对天然气、叶蜡石、高岭土等矿物原料及能源成本敏感。2024年原材料成本占营业成本62.16%、能源成本占9.39%，而玻纤产品价格受新增产能和行业供需影响，成本上升未必能够顺利向下游传导。</w:t>
      </w:r>
    </w:p>
    <w:p>
      <w:pPr>
        <w:pStyle w:val="ListParagraph"/>
        <w:numPr>
          <w:ilvl w:val="0"/>
          <w:numId w:val="2"/>
        </w:numPr>
        <w:spacing w:after="80" w:line="280"/>
      </w:pPr>
      <w:r>
        <w:rPr>
          <w:sz w:val="22"/>
          <w:szCs w:val="22"/>
        </w:rPr>
        <w:t xml:space="preserve">锂电池隔膜业务虽然2026年上半年收入同比增长135.03%、销量同比增长113%，但行业扩产和价格竞争仍在持续。若公司薄型化、涂覆工艺、产品良率、设备效率或头部电池客户认证进展不及预期，收入快速增长可能无法同步转化为利润和现金流。</w:t>
      </w:r>
    </w:p>
    <w:p>
      <w:pPr>
        <w:pStyle w:val="ListParagraph"/>
        <w:numPr>
          <w:ilvl w:val="0"/>
          <w:numId w:val="2"/>
        </w:numPr>
        <w:spacing w:after="80" w:line="280"/>
      </w:pPr>
      <w:r>
        <w:rPr>
          <w:sz w:val="22"/>
          <w:szCs w:val="22"/>
        </w:rPr>
        <w:t xml:space="preserve">公司2026年上半年经营活动现金流净额为-2.00亿元，上年同期为19.85亿元；截至2024年末，应收账款、应收票据及应收款项融资合计约113.75亿元，存货35.85亿元。若票据兑付、应收及存货占用继续增加，可能导致利润与经营现金流进一步背离。</w:t>
      </w:r>
    </w:p>
    <w:p>
      <w:pPr>
        <w:pStyle w:val="ListParagraph"/>
        <w:numPr>
          <w:ilvl w:val="0"/>
          <w:numId w:val="2"/>
        </w:numPr>
        <w:spacing w:after="80" w:line="280"/>
      </w:pPr>
      <w:r>
        <w:rPr>
          <w:sz w:val="22"/>
          <w:szCs w:val="22"/>
        </w:rPr>
        <w:t xml:space="preserve">公司2024年综合毛利率为17.02%，较2021年的30.00%明显下降，风电叶片、玻纤和锂膜三大主业均曾承压。若产品价格修复、产能利用率提升或折旧摊销改善低于预期，当前业绩增长可能表现为收入扩张而盈利弹性不足。</w:t>
      </w:r>
    </w:p>
    <w:p>
      <w:pPr>
        <w:pStyle w:val="ListParagraph"/>
        <w:numPr>
          <w:ilvl w:val="0"/>
          <w:numId w:val="2"/>
        </w:numPr>
        <w:spacing w:after="80" w:line="280"/>
      </w:pPr>
      <w:r>
        <w:rPr>
          <w:sz w:val="22"/>
          <w:szCs w:val="22"/>
        </w:rPr>
        <w:t xml:space="preserve">公司向特定对象发行股票已获中国证监会同意注册，但截至2026年9月11日尚未披露发行完成，最终发行规模、发行价格和发行对象尚未确定；若发行实施，可能带来股本摊薄及短期供给压力，募集资金项目的投产和回报也存在不确定性。</w:t>
      </w:r>
    </w:p>
    <w:p>
      <w:pPr>
        <w:pStyle w:val="ListParagraph"/>
        <w:numPr>
          <w:ilvl w:val="0"/>
          <w:numId w:val="2"/>
        </w:numPr>
        <w:spacing w:after="80" w:line="280"/>
      </w:pPr>
      <w:r>
        <w:rPr>
          <w:sz w:val="22"/>
          <w:szCs w:val="22"/>
        </w:rPr>
        <w:t xml:space="preserve">中材科技控股股东及实际控制人与公司之间的同业竞争承诺仍在有效期内，但截至2026年9月11日尚未出现新的实质性解决方案或资产整合公告；相关事项若推进不及预期，可能持续带来治理、关联交易及同业竞争关注。</w:t>
      </w:r>
    </w:p>
    <w:p>
      <w:pPr>
        <w:pStyle w:val="ListParagraph"/>
        <w:numPr>
          <w:ilvl w:val="0"/>
          <w:numId w:val="2"/>
        </w:numPr>
        <w:spacing w:after="80" w:line="280"/>
      </w:pPr>
      <w:r>
        <w:rPr>
          <w:sz w:val="22"/>
          <w:szCs w:val="22"/>
        </w:rPr>
        <w:t xml:space="preserve">截至2026年9月11日股价仍低于MA20和布林带中轨约52.11元，近期反弹尚未伴随显著放量；若无法有效站稳52.1至52.8元区域，或跌破47.4元支撑，股价可能延续高波动震荡或回落。</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增长逻辑主要来自玻璃纤维业务盈利修复、锂电池隔膜放量及风电叶片业务的规模和市场地位，同时高压气瓶及复合材料业务提供一定多元化支撑。2026年上半年锂膜和玻纤业务增长较快，若产品价格、产能利用率、制造成本及锂膜良率持续改善，机构预测的2026至2028年收入和利润增长具有一定业务基础；但预测结果对行业价格回升及新业务放量较为敏感，不能视为确定性业绩。</w:t>
      </w:r>
    </w:p>
    <w:p>
      <w:pPr>
        <w:spacing w:after="160" w:line="300"/>
      </w:pPr>
      <w:r>
        <w:rPr>
          <w:sz w:val="22"/>
          <w:szCs w:val="22"/>
        </w:rPr>
        <w:t xml:space="preserve">公司当前的核心矛盾是业绩修复与估值、现金流和竞争压力并存。约42倍TTM市盈率已较大程度反映未来利润增长预期，若玻纤、风电叶片或锂膜盈利恢复不及预期，估值消化可能依赖更长时间；若经营性资金占用继续增加，利润增长对现金流和资产负债表的传导也需持续观察。技术面上，52.1至52.8元区域是短期反弹确认区域，47.4至49.0元区域是重要支撑观察区间，但技术指标仅反映历史交易信息，不能替代基本面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企业简介 — https://www.sinomatech.com/?a=index&amp;c=Lists&amp;m=home&amp;tid=10</w:t>
      </w:r>
    </w:p>
    <w:p>
      <w:pPr>
        <w:spacing w:after="200"/>
      </w:pPr>
      <w:r>
        <w:rPr>
          <w:i/>
          <w:iCs/>
          <w:color w:val="595959"/>
          <w:sz w:val="18"/>
          <w:szCs w:val="18"/>
        </w:rPr>
        <w:t xml:space="preserve">https://static.cninfo.com.cn/finalpage/2025-03-20/1222847712.PDF — https://static.cninfo.com.cn/finalpage/2025-03-20/1222847712.PDF</w:t>
      </w:r>
    </w:p>
    <w:p>
      <w:pPr>
        <w:spacing w:after="200"/>
      </w:pPr>
      <w:r>
        <w:rPr>
          <w:i/>
          <w:iCs/>
          <w:color w:val="595959"/>
          <w:sz w:val="18"/>
          <w:szCs w:val="18"/>
        </w:rPr>
        <w:t xml:space="preserve">公司介绍 中材叶片 — https://yp.sinomatech.com/about/index.html?utm_source=openai</w:t>
      </w:r>
    </w:p>
    <w:p>
      <w:pPr>
        <w:spacing w:after="200"/>
      </w:pPr>
      <w:r>
        <w:rPr>
          <w:i/>
          <w:iCs/>
          <w:color w:val="595959"/>
          <w:sz w:val="18"/>
          <w:szCs w:val="18"/>
        </w:rPr>
        <w:t xml:space="preserve">泰山玻璃纤维有限公司_中材科技 — https://www.sinomatech.com/?a=index&amp;aid=148&amp;c=View&amp;m=home</w:t>
      </w:r>
    </w:p>
    <w:p>
      <w:pPr>
        <w:spacing w:after="200"/>
      </w:pPr>
      <w:r>
        <w:rPr>
          <w:i/>
          <w:iCs/>
          <w:color w:val="595959"/>
          <w:sz w:val="18"/>
          <w:szCs w:val="18"/>
        </w:rPr>
        <w:t xml:space="preserve">PDF — https://static.cninfo.com.cn/finalpage/enpage/002080_1.pdf</w:t>
      </w:r>
    </w:p>
    <w:p>
      <w:pPr>
        <w:spacing w:after="200"/>
      </w:pPr>
      <w:r>
        <w:rPr>
          <w:i/>
          <w:iCs/>
          <w:color w:val="595959"/>
          <w:sz w:val="18"/>
          <w:szCs w:val="18"/>
        </w:rPr>
        <w:t xml:space="preserve">&lt;visual_element id="e1"&gt; — https://dataclouds.cninfo.com.cn/shgonggao/2024/2024-02-07/450a974bc4e111ee9214fa163e26e5de.pdf?utm_source=openai</w:t>
      </w:r>
    </w:p>
    <w:p>
      <w:pPr>
        <w:spacing w:after="200"/>
      </w:pPr>
      <w:r>
        <w:rPr>
          <w:i/>
          <w:iCs/>
          <w:color w:val="595959"/>
          <w:sz w:val="18"/>
          <w:szCs w:val="18"/>
        </w:rPr>
        <w:t xml:space="preserve">关于我们-中材科技（苏州）有限公司 — https://suzhou.sinomatech.com/about.html?utm_source=openai</w:t>
      </w:r>
    </w:p>
    <w:p>
      <w:pPr>
        <w:spacing w:after="200"/>
      </w:pPr>
      <w:r>
        <w:rPr>
          <w:i/>
          <w:iCs/>
          <w:color w:val="595959"/>
          <w:sz w:val="18"/>
          <w:szCs w:val="18"/>
        </w:rPr>
        <w:t xml:space="preserve">中材科技股份有限公司 2021 年年度报告全文 — https://static.cninfo.com.cn/finalpage/2022-03-18/1212608230.PDF?utm_source=openai</w:t>
      </w:r>
    </w:p>
    <w:p>
      <w:pPr>
        <w:spacing w:after="200"/>
      </w:pPr>
      <w:r>
        <w:rPr>
          <w:i/>
          <w:iCs/>
          <w:color w:val="595959"/>
          <w:sz w:val="18"/>
          <w:szCs w:val="18"/>
        </w:rPr>
        <w:t xml:space="preserve">中材科技股份有限公司 2022 年年度报告全文 — https://stockn.xueqiu.com/SZ002080/20230317409222.pdf?utm_source=openai</w:t>
      </w:r>
    </w:p>
    <w:p>
      <w:pPr>
        <w:spacing w:after="200"/>
      </w:pPr>
      <w:r>
        <w:rPr>
          <w:i/>
          <w:iCs/>
          <w:color w:val="595959"/>
          <w:sz w:val="18"/>
          <w:szCs w:val="18"/>
        </w:rPr>
        <w:t xml:space="preserve">〖行业深度〗洞察2024：中国玻璃纤维行业竞争格局及市场份额(附营收排名、市场集中度等)_行业研究报告 - 前瞻网 — https://www.qianzhan.com/analyst/detail/220/240828-6f516dc1.html?utm_source=openai</w:t>
      </w:r>
    </w:p>
    <w:p>
      <w:pPr>
        <w:spacing w:after="200"/>
      </w:pPr>
      <w:r>
        <w:rPr>
          <w:i/>
          <w:iCs/>
          <w:color w:val="595959"/>
          <w:sz w:val="18"/>
          <w:szCs w:val="18"/>
        </w:rPr>
        <w:t xml:space="preserve">星源材质(300568)_公司公告_星源材质：深圳市星源材质科技股份有限公司2021年度向特定对象发行A股股票募集说明书（注册稿）新浪财经_新浪网 — https://vip.stock.finance.sina.com.cn/corp/view/vCB_AllBulletinDetail.php?id=7967176&amp;stockid=300568&amp;utm_source=openai</w:t>
      </w:r>
    </w:p>
    <w:p>
      <w:pPr>
        <w:spacing w:after="200"/>
      </w:pPr>
      <w:r>
        <w:rPr>
          <w:i/>
          <w:iCs/>
          <w:color w:val="595959"/>
          <w:sz w:val="18"/>
          <w:szCs w:val="18"/>
        </w:rPr>
        <w:t xml:space="preserve">中材科技就定增问询函二次修订回复 披露与中国巨石同业竞争及关联交易情况|中材科技_新浪财经_新浪网 — https://finance.sina.com.cn/stock/aigc/wenxun/2026-04-03/doc-inhtfkwx3715870.shtml?utm_source=openai</w:t>
      </w:r>
    </w:p>
    <w:p>
      <w:pPr>
        <w:spacing w:after="200"/>
      </w:pPr>
      <w:r>
        <w:rPr>
          <w:i/>
          <w:iCs/>
          <w:color w:val="595959"/>
          <w:sz w:val="18"/>
          <w:szCs w:val="18"/>
        </w:rPr>
        <w:t xml:space="preserve">关于株洲时代新材料科技股份有限公司 — https://static.sse.com.cn/stock/disclosure/announcement/c/202411/600458_20241125_M2RB.pdf?utm_source=openai</w:t>
      </w:r>
    </w:p>
    <w:p>
      <w:pPr>
        <w:spacing w:after="200"/>
      </w:pPr>
      <w:r>
        <w:rPr>
          <w:i/>
          <w:iCs/>
          <w:color w:val="595959"/>
          <w:sz w:val="18"/>
          <w:szCs w:val="18"/>
        </w:rPr>
        <w:t xml:space="preserve">&lt;table id="e1"&gt; — https://static.cninfo.com.cn/finalpage/2024-11-22/1221803323.PDF?utm_source=openai</w:t>
      </w:r>
    </w:p>
    <w:p>
      <w:pPr>
        <w:spacing w:after="200"/>
      </w:pPr>
      <w:r>
        <w:rPr>
          <w:i/>
          <w:iCs/>
          <w:color w:val="595959"/>
          <w:sz w:val="18"/>
          <w:szCs w:val="18"/>
        </w:rPr>
        <w:t xml:space="preserve">中材科技(002080)_公司公告_中材科技：2026年半年度报告新浪财经_新浪网 — https://money.finance.sina.com.cn/corp/view/vCB_AllBulletinDetail.php?id=12498115&amp;stockid=002080&amp;utm_source=openai</w:t>
      </w:r>
    </w:p>
    <w:p>
      <w:pPr>
        <w:spacing w:after="200"/>
      </w:pPr>
      <w:r>
        <w:rPr>
          <w:i/>
          <w:iCs/>
          <w:color w:val="595959"/>
          <w:sz w:val="18"/>
          <w:szCs w:val="18"/>
        </w:rPr>
        <w:t xml:space="preserve">中材科技(002080)_公司公告_中材科技：2025年年度报告新浪财经_新浪网 — https://money.finance.sina.com.cn/corp/view/vCB_AllBulletinDetail.php?id=12004884&amp;stockid=002080&amp;utm_source=openai</w:t>
      </w:r>
    </w:p>
    <w:p>
      <w:pPr>
        <w:spacing w:after="200"/>
      </w:pPr>
      <w:r>
        <w:rPr>
          <w:i/>
          <w:iCs/>
          <w:color w:val="595959"/>
          <w:sz w:val="18"/>
          <w:szCs w:val="18"/>
        </w:rPr>
        <w:t xml:space="preserve">中材科技(002080) 盈利预测_F10_同花顺金融服务网 — https://basic.10jqka.com.cn/002080/worth.html</w:t>
      </w:r>
    </w:p>
    <w:p>
      <w:pPr>
        <w:spacing w:after="200"/>
      </w:pPr>
      <w:r>
        <w:rPr>
          <w:i/>
          <w:iCs/>
          <w:color w:val="595959"/>
          <w:sz w:val="18"/>
          <w:szCs w:val="18"/>
        </w:rPr>
        <w:t xml:space="preserve">机构投资评级-股票-新浪财经 — https://stock.finance.sina.com.cn/stock/go.php/vIR_StockSearch/key/002080.phtml</w:t>
      </w:r>
    </w:p>
    <w:p>
      <w:pPr>
        <w:spacing w:after="200"/>
      </w:pPr>
      <w:r>
        <w:rPr>
          <w:i/>
          <w:iCs/>
          <w:color w:val="595959"/>
          <w:sz w:val="18"/>
          <w:szCs w:val="18"/>
        </w:rPr>
        <w:t xml:space="preserve">中材科技 sz002080 的股票股价,行情,直播,新闻,财报,数据 - 爱股票 — https://stock.aigupiao.com/code/sz002080</w:t>
      </w:r>
    </w:p>
    <w:p>
      <w:pPr>
        <w:spacing w:after="200"/>
      </w:pPr>
      <w:r>
        <w:rPr>
          <w:i/>
          <w:iCs/>
          <w:color w:val="595959"/>
          <w:sz w:val="18"/>
          <w:szCs w:val="18"/>
        </w:rPr>
        <w:t xml:space="preserve">深圳证券交易所主板上市公司列表 — https://zh.wikipedia.org/wiki/%E6%B7%B1%E5%9C%B3%E8%AF%81%E5%88%B8%E4%BA%A4%E6%98%93%E6%89%80%E4%B8%BB%E6%9D%BF%E4%B8%8A%E5%B8%82%E5%85%AC%E5%8F%B8%E5%88%97%E8%A1%A8?utm_source=openai</w:t>
      </w:r>
    </w:p>
    <w:p>
      <w:pPr>
        <w:spacing w:after="200"/>
      </w:pPr>
      <w:r>
        <w:rPr>
          <w:i/>
          <w:iCs/>
          <w:color w:val="595959"/>
          <w:sz w:val="18"/>
          <w:szCs w:val="18"/>
        </w:rPr>
        <w:t xml:space="preserve">中材科技：项目进度按报告期末累计实际投入金额计算 港美股资讯 | 华盛通 — https://www.hstong.com/news/detail/26090718431025208?utm_source=openai</w:t>
      </w:r>
    </w:p>
    <w:p>
      <w:pPr>
        <w:spacing w:after="200"/>
      </w:pPr>
      <w:r>
        <w:rPr>
          <w:i/>
          <w:iCs/>
          <w:color w:val="595959"/>
          <w:sz w:val="18"/>
          <w:szCs w:val="18"/>
        </w:rPr>
        <w:t xml:space="preserve">证券代码：002080  证券简称：中材科技  公告编号：2026-043 — https://static.cninfo.com.cn/finalpage/2026-08-08/1225462939.PDF?utm_source=openai</w:t>
      </w:r>
    </w:p>
    <w:p>
      <w:pPr>
        <w:spacing w:after="200"/>
      </w:pPr>
      <w:r>
        <w:rPr>
          <w:i/>
          <w:iCs/>
          <w:color w:val="595959"/>
          <w:sz w:val="18"/>
          <w:szCs w:val="18"/>
        </w:rPr>
        <w:t xml:space="preserve">中材科技(002080)_公司公告_中材科技：2026年半年度报告摘要新浪财经_新浪网 — https://money.finance.sina.com.cn/corp/view/vCB_AllBulletinDetail.php?id=12498110&amp;stockid=002080&amp;utm_source=openai</w:t>
      </w:r>
    </w:p>
    <w:p>
      <w:pPr>
        <w:spacing w:after="200"/>
      </w:pPr>
      <w:r>
        <w:rPr>
          <w:i/>
          <w:iCs/>
          <w:color w:val="595959"/>
          <w:sz w:val="18"/>
          <w:szCs w:val="18"/>
        </w:rPr>
        <w:t xml:space="preserve">中材科技: 关于调整2026年日常关联交易预计的公告_股票频道_证券之星 — https://stock.stockstar.com/notice/SN2026081700022090.shtml?utm_source=openai</w:t>
      </w:r>
    </w:p>
    <w:p>
      <w:pPr>
        <w:spacing w:after="200"/>
      </w:pPr>
      <w:r>
        <w:rPr>
          <w:i/>
          <w:iCs/>
          <w:color w:val="595959"/>
          <w:sz w:val="18"/>
          <w:szCs w:val="18"/>
        </w:rPr>
        <w:t xml:space="preserve">中材科技(002080)_公司公告_中材科技：股票交易异常波动公告新浪财经_新浪网 — https://money.finance.sina.com.cn/corp/view/vCB_AllBulletinDetail.php?id=12481661&amp;stockid=002080&amp;utm_source=openai</w:t>
      </w:r>
    </w:p>
    <w:p>
      <w:pPr>
        <w:spacing w:after="200"/>
      </w:pPr>
      <w:r>
        <w:rPr>
          <w:i/>
          <w:iCs/>
          <w:color w:val="595959"/>
          <w:sz w:val="18"/>
          <w:szCs w:val="18"/>
        </w:rPr>
        <w:t xml:space="preserve">中材科技股份有限公司2026年半年度报告全文 — https://disc.static.szse.cn/disc/disk03/finalpage/2026-08-18/8574aa65-18bd-4f05-af40-d22adc758aff.PDF?utm_source=openai</w:t>
      </w:r>
    </w:p>
    <w:p>
      <w:pPr>
        <w:spacing w:after="200"/>
      </w:pPr>
      <w:r>
        <w:rPr>
          <w:i/>
          <w:iCs/>
          <w:color w:val="595959"/>
          <w:sz w:val="18"/>
          <w:szCs w:val="18"/>
        </w:rPr>
        <w:t xml:space="preserve">互动易云访谈 — https://irm.cninfo.com.cn/interview/interview/activityInfo?activityId=1421054002431229952</w:t>
      </w:r>
    </w:p>
    <w:p>
      <w:pPr>
        <w:spacing w:after="200"/>
      </w:pPr>
      <w:r>
        <w:rPr>
          <w:i/>
          <w:iCs/>
          <w:color w:val="595959"/>
          <w:sz w:val="18"/>
          <w:szCs w:val="18"/>
        </w:rPr>
        <w:t xml:space="preserve">https://cn.investing.com/equities/sinoma-science-a — https://cn.investing.com/equities/sinoma-science-a</w:t>
      </w:r>
    </w:p>
    <w:p>
      <w:pPr>
        <w:spacing w:after="200"/>
      </w:pPr>
      <w:r>
        <w:rPr>
          <w:i/>
          <w:iCs/>
          <w:color w:val="595959"/>
          <w:sz w:val="18"/>
          <w:szCs w:val="18"/>
        </w:rPr>
        <w:t xml:space="preserve">https://cn.investing.com/equities/sinoma-science-a-historical-data — https://cn.investing.com/equities/sinoma-science-a-historical-data</w:t>
      </w:r>
    </w:p>
    <w:p>
      <w:pPr>
        <w:spacing w:after="200"/>
      </w:pPr>
      <w:r>
        <w:rPr>
          <w:i/>
          <w:iCs/>
          <w:color w:val="595959"/>
          <w:sz w:val="18"/>
          <w:szCs w:val="18"/>
        </w:rPr>
        <w:t xml:space="preserve">中材科技(002080.SZ) 股票行情_历史数据_主力资金 - 大波浪数据 — https://www.yyqyx.com/s/002080.SZ</w:t>
      </w:r>
    </w:p>
    <w:p>
      <w:pPr>
        <w:spacing w:after="200"/>
      </w:pPr>
      <w:r>
        <w:rPr>
          <w:i/>
          <w:iCs/>
          <w:color w:val="595959"/>
          <w:sz w:val="18"/>
          <w:szCs w:val="18"/>
        </w:rPr>
        <w:t xml:space="preserve">https://basic.10jqka.com.cn/002080/holder.html — https://basic.10jqka.com.cn/002080/holder.html</w:t>
      </w:r>
    </w:p>
    <w:p>
      <w:pPr>
        <w:spacing w:after="200"/>
      </w:pPr>
      <w:r>
        <w:rPr>
          <w:i/>
          <w:iCs/>
          <w:color w:val="595959"/>
          <w:sz w:val="18"/>
          <w:szCs w:val="18"/>
        </w:rPr>
        <w:t xml:space="preserve">本报告由AI基于公开渠道信息自动检索、整理并生成，信息截至 截至2026年9月11日收盘；技术指标主要采用大波浪数据的不复权日线口径，部分数据由英为财情、打板客等交叉参考，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2026-09-13T13:41:21.292Z</dcterms:created>
  <dcterms:modified xsi:type="dcterms:W3CDTF">2026-09-13T13:41:21.292Z</dcterms:modified>
</cp:coreProperties>
</file>

<file path=docProps/custom.xml><?xml version="1.0" encoding="utf-8"?>
<Properties xmlns="http://schemas.openxmlformats.org/officeDocument/2006/custom-properties" xmlns:vt="http://schemas.openxmlformats.org/officeDocument/2006/docPropsVTypes"/>
</file>