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钛能化学股份有限公司 (002145)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行业：钛白粉与磷化工、新能源材料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截至2026年9月11日收盘；MA、布林带为基于公开历史收盘价的近似测算，MACD与RSI为最新可得技术快照，部分指标与9月11日收盘可能存在不同步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钛能化学2026年上半年业绩明显修复：实现营业收入45.57亿元，同比增长20.89%；归母净利润4.20亿元，同比增长61.93%；扣非归母净利润约3.64亿元，同比增长65.20%。增长主要来自钛白粉、黄磷及磷酸铁价格回升，以及钛化工、磷化工和新能源材料之间的协同、规模与成本效应。但同期经营活动现金流净额为3.55亿元，同比下降23.57%，利润增长向现金流的转化仍需观察。</w:t>
      </w:r>
    </w:p>
    <w:p>
      <w:pPr>
        <w:spacing w:after="160" w:line="300"/>
      </w:pPr>
      <w:r>
        <w:rPr>
          <w:sz w:val="22"/>
          <w:szCs w:val="22"/>
        </w:rPr>
        <w:t xml:space="preserve">公司收入仍高度依赖钛白粉，2025年钛白粉收入58.82亿元，占营业收入75.57%，产量49.90万吨、销量48.45万吨，设计产能约70万吨/年。该业务具备规模、品牌和出口渠道优势，但2025年毛利率已降至9.19%，较2024年下降5.84个百分点，主要受行业供给宽松、价格竞争以及钛精矿和能源成本压力影响。公司钛精矿仍主要依赖外购，资源自给能力弱于行业龙头。</w:t>
      </w:r>
    </w:p>
    <w:p>
      <w:pPr>
        <w:spacing w:after="160" w:line="300"/>
      </w:pPr>
      <w:r>
        <w:rPr>
          <w:sz w:val="22"/>
          <w:szCs w:val="22"/>
        </w:rPr>
        <w:t xml:space="preserve">公司正通过磷化工和新能源材料寻求业务结构升级。2025年磷化工类毛利率为30.16%，磷矿—黄磷产业链具备一定资源协同；磷酸铁利用钛白粉副产硫酸亚铁生产，2025年收入3.60亿元，处于放量初期。近期拟建设年产60万吨磷酸铁项目，以及年产40万吨钛白粉和140万吨七水硫酸亚铁项目，但两项项目预计总投资分别为54.62亿元和55.38亿元，审批、融资、建设进度及投产后的市场消化均存在不确定性。</w:t>
      </w:r>
    </w:p>
    <w:p>
      <w:pPr>
        <w:spacing w:after="160" w:line="300"/>
      </w:pPr>
      <w:r>
        <w:rPr>
          <w:sz w:val="22"/>
          <w:szCs w:val="22"/>
        </w:rPr>
        <w:t xml:space="preserve">截至2026年9月11日，股价收于4.17元，接近52周低位，低于MA5、MA10和MA20，MACD位于零轴下方且主力资金净流出，短线技术结构偏弱。RSI6约34，接近弱势区间下沿但尚未形成明确底背离；4.13至4.17元为当前支撑观察区域，4.27至4.32元为主要均线压力区域。按公开财报和收盘价测算，公司近似TTM市盈率约30.4倍、PB约1.19倍，但缺乏可核实的2026—2028年机构一致盈利预测。</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002145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钛能化学；原证券简称为中核钛白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中核华原钛白股份有限公司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以硫酸法钛白粉为核心，向磷矿、黄磷、磷酸铁及新能源材料延伸的综合化工企业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产业链布局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资源、化工、新材料、新能源四大业务板块，形成“硫—磷—铁—钛—锂”绿色循环产业链</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核心经营数据时点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截至2025年12月31日；2025年年度报告披露日为2026年4月29日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77.84亿元，同比增长13.22%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2025年归母净利润变化</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同比下降36.85%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分布于甘肃白银、安徽马鞍山、甘肃嘉峪关、贵州贵阳及四川攀枝花等四省五市</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钛化工：主要产品为金红石型钛白粉，应用于涂料、塑料、造纸、油墨、化纤及橡胶等领域；2025年收入58.82亿元，占营业收入75.57%，产量49.90万吨、销量48.45万吨，设计产能近70万吨/年</w:t>
      </w:r>
    </w:p>
    <w:p>
      <w:pPr>
        <w:pStyle w:val="ListParagraph"/>
        <w:numPr>
          <w:ilvl w:val="0"/>
          <w:numId w:val="2"/>
        </w:numPr>
        <w:spacing w:after="80" w:line="280"/>
      </w:pPr>
      <w:r>
        <w:rPr>
          <w:sz w:val="22"/>
          <w:szCs w:val="22"/>
        </w:rPr>
        <w:t xml:space="preserve">磷化工：包括磷矿和黄磷；2025年磷矿收入2.02亿元，占比2.60%，黄磷收入7.09亿元，占比9.11%；磷矿产能50万吨/年，黄磷产能12万吨/年</w:t>
      </w:r>
    </w:p>
    <w:p>
      <w:pPr>
        <w:pStyle w:val="ListParagraph"/>
        <w:numPr>
          <w:ilvl w:val="0"/>
          <w:numId w:val="2"/>
        </w:numPr>
        <w:spacing w:after="80" w:line="280"/>
      </w:pPr>
      <w:r>
        <w:rPr>
          <w:sz w:val="22"/>
          <w:szCs w:val="22"/>
        </w:rPr>
        <w:t xml:space="preserve">新能源材料：主要为磷酸铁，利用钛白粉副产硫酸亚铁并结合磷化工原料生产；2025年收入3.60亿元，占比4.62%，产量4.11万吨、销量3.91万吨，产能10万吨/年，处于放量初期</w:t>
      </w:r>
    </w:p>
    <w:p>
      <w:pPr>
        <w:pStyle w:val="ListParagraph"/>
        <w:numPr>
          <w:ilvl w:val="0"/>
          <w:numId w:val="2"/>
        </w:numPr>
        <w:spacing w:after="80" w:line="280"/>
      </w:pPr>
      <w:r>
        <w:rPr>
          <w:sz w:val="22"/>
          <w:szCs w:val="22"/>
        </w:rPr>
        <w:t xml:space="preserve">副产品及物流：包括硫酸亚铁等副产品及物流运输服务；2025年物流服务收入3.35亿元，占比4.31%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位于产业链中游偏上位置：钛白粉业务属于大规模硫酸法钛白粉生产，具备规模、品牌、工艺及出口渠道优势；磷化工业务向上游延伸至磷矿并拥有黄磷产能，形成一定的“矿—磷”一体化；新能源材料业务则利用钛白粉副产硫酸亚铁生产磷酸铁，但截至2025年尚未成为利润主导业务。</w:t>
      </w:r>
    </w:p>
    <w:p>
      <w:pPr>
        <w:pStyle w:val="ListParagraph"/>
        <w:numPr>
          <w:ilvl w:val="0"/>
          <w:numId w:val="2"/>
        </w:numPr>
        <w:spacing w:after="80" w:line="280"/>
      </w:pPr>
      <w:r>
        <w:rPr>
          <w:sz w:val="22"/>
          <w:szCs w:val="22"/>
        </w:rPr>
        <w:t xml:space="preserve">钛白粉主要投入包括钛精矿、硫酸、电力、蒸汽及其他能源、生产辅料和包装材料。2025年钛白粉营业成本中，原料成本35.23亿元，占65.96%；能源成本8.81亿元，占16.50%，两项合计超过82%，盈利对钛精矿、硫酸及能源价格高度敏感。</w:t>
      </w:r>
    </w:p>
    <w:p>
      <w:pPr>
        <w:pStyle w:val="ListParagraph"/>
        <w:numPr>
          <w:ilvl w:val="0"/>
          <w:numId w:val="2"/>
        </w:numPr>
        <w:spacing w:after="80" w:line="280"/>
      </w:pPr>
      <w:r>
        <w:rPr>
          <w:sz w:val="22"/>
          <w:szCs w:val="22"/>
        </w:rPr>
        <w:t xml:space="preserve">公司钛精矿仍以外购为主，通过与西北地区钛精矿生产商建立战略合作关系获取原料，并利用产业园区副产硫酸降低硫酸采购成本；相较拥有钛矿资源、钛精矿自给率较高的龙佰集团，公司资源自给程度偏弱。</w:t>
      </w:r>
    </w:p>
    <w:p>
      <w:pPr>
        <w:pStyle w:val="ListParagraph"/>
        <w:numPr>
          <w:ilvl w:val="0"/>
          <w:numId w:val="2"/>
        </w:numPr>
        <w:spacing w:after="80" w:line="280"/>
      </w:pPr>
      <w:r>
        <w:rPr>
          <w:sz w:val="22"/>
          <w:szCs w:val="22"/>
        </w:rPr>
        <w:t xml:space="preserve">黄磷主要原料包括磷矿石、焦炭、硅石及大量电力。贵州开阳双阳磷矿资源储量约1,360万吨，原矿生产能力50万吨/年，矿石平均品位约30%，磷矿主要自产自用并优先保障黄磷生产。公开表述还出现约1,350万吨，具体以最新矿产资源报告及年报披露口径为准。</w:t>
      </w:r>
    </w:p>
    <w:p>
      <w:pPr>
        <w:pStyle w:val="ListParagraph"/>
        <w:numPr>
          <w:ilvl w:val="0"/>
          <w:numId w:val="2"/>
        </w:numPr>
        <w:spacing w:after="80" w:line="280"/>
      </w:pPr>
      <w:r>
        <w:rPr>
          <w:sz w:val="22"/>
          <w:szCs w:val="22"/>
        </w:rPr>
        <w:t xml:space="preserve">2025年前五大供应商采购额21.92亿元，占年度采购总额25.81%，无关联方采购。供应商集中度相对不高，显示采购来源较分散，但钛精矿、硫酸和能源具有较强商品属性，公司整体仍主要是价格接受者。</w:t>
      </w:r>
    </w:p>
    <w:p>
      <w:pPr>
        <w:pStyle w:val="ListParagraph"/>
        <w:numPr>
          <w:ilvl w:val="0"/>
          <w:numId w:val="2"/>
        </w:numPr>
        <w:spacing w:after="80" w:line="280"/>
      </w:pPr>
      <w:r>
        <w:rPr>
          <w:sz w:val="22"/>
          <w:szCs w:val="22"/>
        </w:rPr>
        <w:t xml:space="preserve">公司的成本缓冲主要来自规模采购、长期合作、园区副产硫酸及磷矿自给；但钛精矿和能源仍受市场价格驱动，尚不具备全面控制上游成本的能力。</w:t>
      </w:r>
    </w:p>
    <w:p>
      <w:pPr>
        <w:pStyle w:val="ListParagraph"/>
        <w:numPr>
          <w:ilvl w:val="0"/>
          <w:numId w:val="2"/>
        </w:numPr>
        <w:spacing w:after="80" w:line="280"/>
      </w:pPr>
      <w:r>
        <w:rPr>
          <w:sz w:val="22"/>
          <w:szCs w:val="22"/>
        </w:rPr>
        <w:t xml:space="preserve">钛白粉下游包括建筑涂料、工业涂料、塑料、造纸和装饰纸、油墨、化纤及橡胶等，需求与房地产、建筑装饰、汽车、家电、塑料制品及出口市场相关。</w:t>
      </w:r>
    </w:p>
    <w:p>
      <w:pPr>
        <w:pStyle w:val="ListParagraph"/>
        <w:numPr>
          <w:ilvl w:val="0"/>
          <w:numId w:val="2"/>
        </w:numPr>
        <w:spacing w:after="80" w:line="280"/>
      </w:pPr>
      <w:r>
        <w:rPr>
          <w:sz w:val="22"/>
          <w:szCs w:val="22"/>
        </w:rPr>
        <w:t xml:space="preserve">2025年钛白粉销售金额中国内销售占56.43%，国外销售占43.57%，出口比重较高，海外销售是重要市场渠道。</w:t>
      </w:r>
    </w:p>
    <w:p>
      <w:pPr>
        <w:pStyle w:val="ListParagraph"/>
        <w:numPr>
          <w:ilvl w:val="0"/>
          <w:numId w:val="2"/>
        </w:numPr>
        <w:spacing w:after="80" w:line="280"/>
      </w:pPr>
      <w:r>
        <w:rPr>
          <w:sz w:val="22"/>
          <w:szCs w:val="22"/>
        </w:rPr>
        <w:t xml:space="preserve">磷矿和黄磷下游包括磷肥、饲料添加剂、热法磷酸、有机磷农药、磷系阻燃剂、电子化学品及磷酸铁锂相关新能源材料。</w:t>
      </w:r>
    </w:p>
    <w:p>
      <w:pPr>
        <w:pStyle w:val="ListParagraph"/>
        <w:numPr>
          <w:ilvl w:val="0"/>
          <w:numId w:val="2"/>
        </w:numPr>
        <w:spacing w:after="80" w:line="280"/>
      </w:pPr>
      <w:r>
        <w:rPr>
          <w:sz w:val="22"/>
          <w:szCs w:val="22"/>
        </w:rPr>
        <w:t xml:space="preserve">2025年前五大客户合计销售额28.25亿元，占年度销售总额36.28%；第一大客户占12.16%，瓮福国际贸易股份有限公司占8.03%，合肥国轩科宏新能源科技有限公司占4.63%。上述集中度数据为2025年年报口径，部分客户以“客户一”“客户三”等匿名方式披露，客户结构无法完全核实，具体以最新年报为准。</w:t>
      </w:r>
    </w:p>
    <w:p>
      <w:pPr>
        <w:pStyle w:val="ListParagraph"/>
        <w:numPr>
          <w:ilvl w:val="0"/>
          <w:numId w:val="2"/>
        </w:numPr>
        <w:spacing w:after="80" w:line="280"/>
      </w:pPr>
      <w:r>
        <w:rPr>
          <w:sz w:val="22"/>
          <w:szCs w:val="22"/>
        </w:rPr>
        <w:t xml:space="preserve">钛白粉同质化程度较高，客户通常具有较强比价能力。在供给宽松时期，下游涂料、塑料及贸易客户可能要求降价、延长账期或增加返利，公司销售价格通常跟随行业市场价格波动，独立定价能力有限。</w:t>
      </w:r>
    </w:p>
    <w:p>
      <w:pPr>
        <w:pStyle w:val="ListParagraph"/>
        <w:numPr>
          <w:ilvl w:val="0"/>
          <w:numId w:val="2"/>
        </w:numPr>
        <w:spacing w:after="80" w:line="280"/>
      </w:pPr>
      <w:r>
        <w:rPr>
          <w:sz w:val="22"/>
          <w:szCs w:val="22"/>
        </w:rPr>
        <w:t xml:space="preserve">截至2025年12月31日，应收账款11.51亿元，相当于全年营业收入的14.79%，约为归母净利润的3.23倍；2024年应收账款约9.66亿元，占营业收入约14.05%，应收账款占收入比例有所上升。2025年存货17.62亿元，占总资产9.04%，较2024年明显增加，年报解释主要与产能释放及期末库存增加有关。上述数据表明，收入扩张伴随营运资金占用上升，客户端议价能力并不弱。</w:t>
      </w:r>
    </w:p>
    <w:p>
      <w:pPr>
        <w:pStyle w:val="ListParagraph"/>
        <w:numPr>
          <w:ilvl w:val="0"/>
          <w:numId w:val="2"/>
        </w:numPr>
        <w:spacing w:after="80" w:line="280"/>
      </w:pPr>
      <w:r>
        <w:rPr>
          <w:sz w:val="22"/>
          <w:szCs w:val="22"/>
        </w:rPr>
        <w:t xml:space="preserve">2025年客户前五大合计销售占比36.28%，供应商前五大采购占比25.81%，客户集中度高于供应商集中度但仍属中等水平。客户数据来自2025年年报，且部分客户匿名披露，无法完整核实终端行业分布；供应商数据同样为2025年年报口径。</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钛白粉约16.76%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钛白粉市场价格持续走弱、销售均价连续下降，行业供需阶段性失衡并加剧竞争。该数据来自公司2023年年报相关披露及调研纪要，统计口径与后续钛化工类数据不完全一致。</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钛化工类15.03%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钛白粉产能释放，东方钛业新增15万吨/年成品产能贡献产量，但原料、能源及制造成本同步上升；原料成本占营业成本65.56%，能源成本占17.33%。</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钛白粉9.19%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供给宽松、价格竞争及钛精矿和能源成本压力压缩利润；虽然产销量增长，毛利率仍较2024年下降5.84个百分点。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磷化工类30.16%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黄磷产量同比增长86.84%并处于产能逐步释放阶段，但磷矿、能源等成本上涨，磷化工类毛利率较2024年下降11.41个百分点。</w:t>
            </w:r>
          </w:p>
        </w:tc>
      </w:tr>
    </w:tbl>
    <w:p>
      <w:pPr>
        <w:spacing w:before="200"/>
      </w:pPr>
    </w:p>
    <w:p>
      <w:pPr>
        <w:spacing w:after="160" w:line="300"/>
      </w:pPr>
      <w:r>
        <w:rPr>
          <w:sz w:val="22"/>
          <w:szCs w:val="22"/>
        </w:rPr>
        <w:t xml:space="preserve">公司处于中游偏上但整体仍偏加工制造环节：钛白粉业务规模较大，却受钛精矿、硫酸和能源价格及行业销售价格影响，利润率易受周期波动；磷矿资源自给和“钛白粉副产硫酸亚铁—磷酸铁”协同提供局部上游及资源化优势。后续毛利率改善主要依赖原料保障和磷矿自给、产能利用率提升、产品结构优化、成本控制及副产物资源化利用，而非单纯依赖销量增长。</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45.5734亿元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同比增长20.89%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4.1975亿元（归属于上市公司股东的净利润）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同比增长61.93%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77.8358亿元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同比增长13.22%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3.5682亿元（归属于上市公司股东的净利润）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同比下降36.85%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约21.8147亿元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约1.0452亿元（归属于上市公司股东的净利润）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同比下降22.53%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2026年二季度（倒算）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约23.7589亿元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约3.1523亿元（归属于上市公司股东的净利润）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2026年二季度单季收入和净利润根据2026年上半年数据减去2026年一季度数据倒算，非公司单独披露的季度财务报表数字。2026年上半年扣除非经常性损益后的归母净利润为3.6407亿元，同比增长65.20%；基本每股收益为0.1170元，同比增长64.56%。2025年度扣非归母净利润为3.0957亿元，同比下降29.19%；基本每股收益为0.0985元，同比下降36.04%。</w:t>
      </w:r>
    </w:p>
    <w:p>
      <w:pPr>
        <w:spacing w:after="160" w:line="300"/>
      </w:pPr>
      <w:r>
        <w:rPr>
          <w:sz w:val="22"/>
          <w:szCs w:val="22"/>
        </w:rPr>
        <w:t xml:space="preserve">2025年度公司收入增长但归母净利润明显下降，利润率承压。2026年上半年收入和利润均恢复增长，且扣非归母净利润增速高于归母净利润增速，利润改善具有一定经营层面支撑。同期经营活动产生的现金流量净额为3.5537亿元，同比下降23.57%，需关注利润增长向现金流的转化情况。2026年6月30日公司总资产为214.1993亿元，较2025年末增加9.96%；归属于上市公司股东的净资产为132.2838亿元，较2025年末增加10.07%。</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12日，同花顺F10盈利预测页面显示，2026年度和2027年度暂无机构业绩预测，页面未提供当前可核实的2026—2028年营业收入、归母净利润和EPS一致预期。因此不建议将单一网站模型估算或自行推算作为机构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暂无可核实的机构预测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暂无可核实的机构一致预期</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东莞证券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增持（历史评级）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2021年9月23日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未给出目标价，评级时效性较弱，不宜作为当前投资评级。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买入（历史评级）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2021年5月31日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历史评级，不宜作为当前投资评级。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买入（历史评级）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2021年5月14日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历史评级，不宜作为当前投资评级。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买入（历史评级）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2021年4月27日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历史目标价14.50元，不宜作为当前目标价。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长桥证券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持有（历史预测）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2024年2月11日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目标价4.70元；仅有1名分析师，且缺少可核实的完整研报信息，不能视为当前券商共识。</w:t>
            </w:r>
          </w:p>
        </w:tc>
      </w:tr>
    </w:tbl>
    <w:p>
      <w:pPr>
        <w:spacing w:before="200"/>
      </w:pPr>
    </w:p>
    <w:p>
      <w:pPr>
        <w:spacing w:after="160" w:line="300"/>
      </w:pPr>
      <w:r>
        <w:rPr>
          <w:sz w:val="22"/>
          <w:szCs w:val="22"/>
        </w:rPr>
        <w:t xml:space="preserve">截至2026年9月11日收盘，公司股价为4.17元，单日下跌2.34%，52周价格区间约为4.13元至6.19元。按照2026年半年度报告披露的3,774,292,438股总股本计算，总市值约157.4亿元。基于2025年度归母净利润3.5682亿元、2026年上半年归母净利润4.1975亿元及2025年上半年归母净利润2.5921亿元计算，最近12个月归母净利润约为5.1736亿元，对应静态近似PE约30.4倍。2026年上半年每股收益约0.111元；按2026年6月30日归属于上市公司股东的净资产132.2838亿元和最新股本计算，每股净资产约3.50元，对应PB约1.19倍。上述PE、PB为基于公开财报和收盘价的自行计算值，并非交易所或公司直接披露的估值指标。理杏仁截至2026年9月10日披露的扣非PE为31.42倍，历史分位点约29.89%；其20%、50%、80%分位点分别约为29.49倍、38.08倍和48.54倍。按照该口径，当前PE低于历史中位数附近的38倍，但高于历史低分位约29.5倍，估值处于历史中低区间附近。同花顺页面显示动态市盈率约19.36倍、2026年半年度每股收益约0.12元，但该动态PE与按TTM归母净利润计算的约30倍PE存在明显口径差异，可能源于年化半年度利润、扣非利润或其他动态算法，不能直接并列比较。截至2026年9月12日，近6个月内未有买入、增持、中性、减持或卖出评级的研究报告，亦未检索到近期主流券商发布且可交叉核实的有效目标价或最新评级。由于缺乏公开可核实的2026—2028年机构一致盈利预测，无法使用一致预期PE或PEG进行可靠估值。后续估值能否提升，主要取决于钛白粉、黄磷和磷酸铁价格周期、公司新能源材料业务放量情况，以及2026年下半年利润增长能否延续。</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2026年半年度报告：归母净利润同比增长61.93%</w:t>
      </w:r>
    </w:p>
    <w:p>
      <w:pPr>
        <w:spacing w:after="160" w:line="300"/>
      </w:pPr>
      <w:r>
        <w:rPr>
          <w:sz w:val="22"/>
          <w:szCs w:val="22"/>
        </w:rPr>
        <w:t xml:space="preserve">公司于2026年8月5日披露2026年半年度报告。上半年实现营业收入45.5734亿元，同比增长20.89%；归属于上市公司股东的净利润4.1975亿元，同比增长61.93%；扣除非经常性损益后的净利润约3.635亿元，同比增长65.20%；经营活动产生的现金流量净额约3.55亿元，同比下降23.57%；基本每股收益约0.117元。业绩增长主要与钛白粉、黄磷及磷酸铁行业价格回升，以及钛化工、磷化工和新能源材料业务的协同效应、规模效应和成本优势有关。</w:t>
      </w:r>
    </w:p>
    <w:p>
      <w:pPr>
        <w:pStyle w:val="Heading2"/>
        <w:spacing w:after="120" w:before="240"/>
      </w:pPr>
      <w:r>
        <w:rPr>
          <w:b/>
          <w:bCs/>
          <w:color w:val="2E74B5"/>
          <w:sz w:val="24"/>
          <w:szCs w:val="24"/>
        </w:rPr>
        <w:t xml:space="preserve">4.2 2026年半年度业绩预告</w:t>
      </w:r>
    </w:p>
    <w:p>
      <w:pPr>
        <w:spacing w:after="160" w:line="300"/>
      </w:pPr>
      <w:r>
        <w:rPr>
          <w:sz w:val="22"/>
          <w:szCs w:val="22"/>
        </w:rPr>
        <w:t xml:space="preserve">公司于2026年7月15日披露2026年半年度业绩预告，预计2026年上半年归属于上市公司股东的净利润为3.94亿元至4.6659亿元，同比增长52%至80%；扣除非经常性损益后的净利润为3.4159亿元至3.9669亿元，同比增长55%至80%；预计基本每股收益为0.1099元至0.1301元。预告数据未经会计师事务所审计，属于公司财务部门初步测算。</w:t>
      </w:r>
    </w:p>
    <w:p>
      <w:pPr>
        <w:pStyle w:val="Heading2"/>
        <w:spacing w:after="120" w:before="240"/>
      </w:pPr>
      <w:r>
        <w:rPr>
          <w:b/>
          <w:bCs/>
          <w:color w:val="2E74B5"/>
          <w:sz w:val="24"/>
          <w:szCs w:val="24"/>
        </w:rPr>
        <w:t xml:space="preserve">4.3 第六期员工持股计划完成非交易过户</w:t>
      </w:r>
    </w:p>
    <w:p>
      <w:pPr>
        <w:spacing w:after="160" w:line="300"/>
      </w:pPr>
      <w:r>
        <w:rPr>
          <w:sz w:val="22"/>
          <w:szCs w:val="22"/>
        </w:rPr>
        <w:t xml:space="preserve">公司第六期员工持股计划实际通过非交易过户受让188,000,000股，约占公司总股本4.9387%，实际认购资金总额8.648亿元，过户价格为4.60元/股，参与对象包括非独立董事、高级管理人员及其他员工，人数不超过200人。股份来源于公司回购专用证券账户，过户完成后回购专户剩余股份为32,379,745股。</w:t>
      </w:r>
    </w:p>
    <w:p>
      <w:pPr>
        <w:pStyle w:val="Heading2"/>
        <w:spacing w:after="120" w:before="240"/>
      </w:pPr>
      <w:r>
        <w:rPr>
          <w:b/>
          <w:bCs/>
          <w:color w:val="2E74B5"/>
          <w:sz w:val="24"/>
          <w:szCs w:val="24"/>
        </w:rPr>
        <w:t xml:space="preserve">4.4 既有回购股份实施完毕，回购专户剩余股份不参与分红</w:t>
      </w:r>
    </w:p>
    <w:p>
      <w:pPr>
        <w:spacing w:after="160" w:line="300"/>
      </w:pPr>
      <w:r>
        <w:rPr>
          <w:sz w:val="22"/>
          <w:szCs w:val="22"/>
        </w:rPr>
        <w:t xml:space="preserve">公司2025年回购方案截至2026年1月23日已实施完毕，累计回购股份68,061,950股，占公司总股本1.7880%，最高成交价5.09元/股，最低成交价4.12元/股，成交总金额约3.0000亿元，不含交易费用。截至2026年8月11日权益分派实施公告披露日，回购专户仍持有32,379,745股，该部分股份不参与利润分配。</w:t>
      </w:r>
    </w:p>
    <w:p>
      <w:pPr>
        <w:pStyle w:val="Heading2"/>
        <w:spacing w:after="120" w:before="240"/>
      </w:pPr>
      <w:r>
        <w:rPr>
          <w:b/>
          <w:bCs/>
          <w:color w:val="2E74B5"/>
          <w:sz w:val="24"/>
          <w:szCs w:val="24"/>
        </w:rPr>
        <w:t xml:space="preserve">4.5 实施2026年中期现金分红</w:t>
      </w:r>
    </w:p>
    <w:p>
      <w:pPr>
        <w:spacing w:after="160" w:line="300"/>
      </w:pPr>
      <w:r>
        <w:rPr>
          <w:sz w:val="22"/>
          <w:szCs w:val="22"/>
        </w:rPr>
        <w:t xml:space="preserve">公司以扣除回购股份后的3,774,292,438股为基数，每10股派发现金0.20元，现金分红总额为75,485,848.76元，占2026年半年度归属于上市公司股东净利润的17.98%。该事项属于既有回购股份的员工持股计划安排及后续分红实施，并非新的股份回购计划。</w:t>
      </w:r>
    </w:p>
    <w:p>
      <w:pPr>
        <w:pStyle w:val="Heading2"/>
        <w:spacing w:after="120" w:before="240"/>
      </w:pPr>
      <w:r>
        <w:rPr>
          <w:b/>
          <w:bCs/>
          <w:color w:val="2E74B5"/>
          <w:sz w:val="24"/>
          <w:szCs w:val="24"/>
        </w:rPr>
        <w:t xml:space="preserve">4.6 拟投资建设年产60万吨磷酸铁项目</w:t>
      </w:r>
    </w:p>
    <w:p>
      <w:pPr>
        <w:spacing w:after="160" w:line="300"/>
      </w:pPr>
      <w:r>
        <w:rPr>
          <w:sz w:val="22"/>
          <w:szCs w:val="22"/>
        </w:rPr>
        <w:t xml:space="preserve">公司于2026年8月12日披露，拟由全资子公司甘肃东方钛业有限公司投资建设年产60万吨磷酸铁项目。一期建设年产40万吨装置，二期建设年产20万吨装置，两期预计总投资金额为54.618551亿元，资金来源包括自有及自筹资金等；一期预计自开工建设起不超过18个月完成并投产，二期将结合一期投产情况和市场环境审慎决定。公司提示项目投资金额、备案、环评审批、融资及建设进度等存在不确定性。该事项不构成关联交易或重大资产重组。</w:t>
      </w:r>
    </w:p>
    <w:p>
      <w:pPr>
        <w:pStyle w:val="Heading2"/>
        <w:spacing w:after="120" w:before="240"/>
      </w:pPr>
      <w:r>
        <w:rPr>
          <w:b/>
          <w:bCs/>
          <w:color w:val="2E74B5"/>
          <w:sz w:val="24"/>
          <w:szCs w:val="24"/>
        </w:rPr>
        <w:t xml:space="preserve">4.7 拟建设年产40万吨钛白粉及140万吨七水硫酸亚铁项目</w:t>
      </w:r>
    </w:p>
    <w:p>
      <w:pPr>
        <w:spacing w:after="160" w:line="300"/>
      </w:pPr>
      <w:r>
        <w:rPr>
          <w:sz w:val="22"/>
          <w:szCs w:val="22"/>
        </w:rPr>
        <w:t xml:space="preserve">公司拟对控股子公司贵州中合磷化有限公司增资2.6亿元，并建设年产40万吨钛白粉及140万吨七水硫酸亚铁项目。项目预计总投资金额为55.383257亿元，建设周期预计不超过36个月，不包含场平期。项目增资总额为4亿元，其中公司出资2.6亿元、贵州磷化万润新能源有限公司出资1.4亿元，增资完成后双方持股比例不变。公司持有贵州中合磷化65%股权，贵州磷化万润新能源有限公司持有35%股权。该项目不构成关联交易或重大资产重组，实际投资金额、审批、融资安排和建设进度存在不确定性。</w:t>
      </w:r>
    </w:p>
    <w:p>
      <w:pPr>
        <w:pStyle w:val="Heading2"/>
        <w:spacing w:after="120" w:before="240"/>
      </w:pPr>
      <w:r>
        <w:rPr>
          <w:b/>
          <w:bCs/>
          <w:color w:val="2E74B5"/>
          <w:sz w:val="24"/>
          <w:szCs w:val="24"/>
        </w:rPr>
        <w:t xml:space="preserve">4.8 员工持股计划存续期延期</w:t>
      </w:r>
    </w:p>
    <w:p>
      <w:pPr>
        <w:spacing w:after="160" w:line="300"/>
      </w:pPr>
      <w:r>
        <w:rPr>
          <w:sz w:val="22"/>
          <w:szCs w:val="22"/>
        </w:rPr>
        <w:t xml:space="preserve">公司2026年半年度报告披露，2020年员工持股计划原存续期截至2026年8月16日，已延长至2027年8月16日；第五期员工持股计划原存续期截至2026年9月29日，已延长至2027年9月29日。</w:t>
      </w:r>
    </w:p>
    <w:p>
      <w:pPr>
        <w:pStyle w:val="Heading2"/>
        <w:spacing w:after="120" w:before="240"/>
      </w:pPr>
      <w:r>
        <w:rPr>
          <w:b/>
          <w:bCs/>
          <w:color w:val="2E74B5"/>
          <w:sz w:val="24"/>
          <w:szCs w:val="24"/>
        </w:rPr>
        <w:t xml:space="preserve">4.9 公司名称变更为钛能化学</w:t>
      </w:r>
    </w:p>
    <w:p>
      <w:pPr>
        <w:spacing w:after="160" w:line="300"/>
      </w:pPr>
      <w:r>
        <w:rPr>
          <w:sz w:val="22"/>
          <w:szCs w:val="22"/>
        </w:rPr>
        <w:t xml:space="preserve">公司已由“中核华原钛白股份有限公司”变更为“钛能化学股份有限公司”，证券代码仍为002145，上市交易所仍为深圳证券交易所。名称变更反映公司向钛化工、磷化工及新能源材料协同发展的战略调整，不代表上市公司主体发生变更。</w:t>
      </w:r>
    </w:p>
    <w:p>
      <w:pPr>
        <w:pStyle w:val="Heading2"/>
        <w:spacing w:after="120" w:before="240"/>
      </w:pPr>
      <w:r>
        <w:rPr>
          <w:b/>
          <w:bCs/>
          <w:color w:val="2E74B5"/>
          <w:sz w:val="24"/>
          <w:szCs w:val="24"/>
        </w:rPr>
        <w:t xml:space="preserve">4.10 截至2026年9月12日未发现新的重大监管或并购重组公告</w:t>
      </w:r>
    </w:p>
    <w:p>
      <w:pPr>
        <w:spacing w:after="160" w:line="300"/>
      </w:pPr>
      <w:r>
        <w:rPr>
          <w:sz w:val="22"/>
          <w:szCs w:val="22"/>
        </w:rPr>
        <w:t xml:space="preserve">截至2026年9月12日，未检索到公司2026年9月新披露的重大公司公告，亦未发现2026年7月至9月新增的深交所监管函、问询函、纪律处分、公司层面监管处罚、重大回购、控股股东增减持或重大资产重组公告。2026年8月底部分媒体转载的证监会行政处罚属于2024年作出的历史处罚，并非2026年对钛能化学新作出的行政处罚。公司2026年8月披露的项目投资、项目公司增资及股权安排，公告明确不构成重大资产重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002145；深圳证券交易所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证券简称及行业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纪要称钛能化学股份有限公司，原证券简称为“中核钛白”；所属行业为化学原料</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-2.34%，较前一交易日下跌0.10元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开盘4.25元；最高4.25元；最低4.13元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约4,711万股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均约158.7亿元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6.19元/4.13元；部分行情页面曾显示低点为4.03元，存在数据口径或更新时间差异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总股本约38.07亿股，流通股约38.06亿股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约30.66至30.68倍；不同数据源存在差异，纪要采用约30.7倍作为参考，不将同花顺约19.36倍与其视为同一口径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9月1日至9月11日收盘价由4.39元降至4.17元，累计下跌约5.0%；9月11日收盘接近当日低位</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短线价格表现偏弱，且9月11日成交量较前两日明显放大，量价关系偏向放量下跌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MA5约4.27元，MA10约4.30元，MA20约4.34元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收盘价低于三条均线，分别约低3.6%、3.0%和3.9%，处于均线下方的偏弱结构；上述均线为不复权简单移动平均近似值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MACD柱位于零轴下方，DIF低于DEA，柱值最新摘要约为-0.01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短线动能偏弱，尚未出现明确的日线级别多头修复信号；具体计算时点可能与9月11日收盘不同步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约33.9至34附近</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处于30至70传统中性区间的下沿，接近超卖参考区域，但尚未达到极端超卖水平，也未形成明确底背离证据；数据为9月8日至9月10日前后最新可得快照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中轨约4.34元，上轨约4.49元，下轨约4.19元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4.17元收盘价略低于估算下轨，位于短期波动区间下沿附近；若收回4.19至4.22元并站上4.27元，可能形成技术性反弹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52周高点6.19元、低点4.13元；收盘价较高点回落约32.6%，较低点高约1.0%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股价处于52周区间低位附近；高低点具体发生日期未获得两个独立来源一致确认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截至9月11日主力资金方向为净流出；截至9月10日的页面显示近10日合计净流出约3,771万元，但具体金额未获多源完全一致核实</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资金方向暂不支持放量上攻判断；主力资金数据为数据商基于主动买卖单、大单及超大单的估算，并非交易所直接披露</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近期单日成交量约2,656万至4,711万股；9月11日约4,711万股，换手率约1.24%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9月11日活跃度高于近期部分交易日，但股价下跌，尚未形成量价配合的向上突破信号</w:t>
            </w:r>
          </w:p>
        </w:tc>
      </w:tr>
    </w:tbl>
    <w:p>
      <w:pPr>
        <w:spacing w:before="200"/>
      </w:pPr>
    </w:p>
    <w:p>
      <w:pPr>
        <w:spacing w:after="160" w:line="300"/>
      </w:pPr>
      <w:r>
        <w:rPr>
          <w:sz w:val="22"/>
          <w:szCs w:val="22"/>
        </w:rPr>
        <w:t xml:space="preserve">截至2026年9月11日，002145收盘4.17元，接近当日低点4.13元及部分行情源显示的52周低位。9月1日至9月11日股价累计下跌约5.0%，收盘低于MA5、MA10和MA20，MACD处于零轴下方且DIF低于DEA，技术面整体偏弱。RSI6约33.9至34，显示短线接近弱势区间下沿，但尚未形成明确底背离。布林带估算下轨约4.19元，最新收盘略低于下轨，后续能否在4.13至4.17元附近获得承接是短期观察重点。9月11日成交量放大至约4,711万股、成交额约1.96亿元，但对应下跌且主力资金方向为净流出，暂时更接近放量下跌而非放量上攻。</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风险提示：以下内容仅为基于截至2026年9月11日收盘数据、近期历史价格和技术指标的主观情景推演，不构成投资建议，也不构成对未来股价的确定性预测。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4.27~4.32元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对应MA5、MA10附近及近期短线成交密集区；若放量站上4.32元，才有机会进一步观察4.39~4.50元区域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更强压力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4.39~4.50元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对应9月1日前后价格平台、近20日均线估算上方区域及布林带上轨附近；该区域压力相对更强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4.13~4.17元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对应9月11日最低价4.13元和收盘价4.17元；若有效跌破4.13元，短线可能打开向更低区间试探的空间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强支撑观察带</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4.03~4.13元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部分行情源显示52周低点约4.03元，另一些行情源显示为4.13元，存在数据口径差异；若4.03元附近也失守，低位震荡结构可能进一步转弱</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该权重是基于当前技术面和资金流设置的主观判断，不是统计概率）：价格观察区间约4.13~4.32元。触发条件是股价守住4.13元附近支撑，但成交量未持续放大且无法有效站上4.27~4.32元；若成交量回落至约2,500万~3,500万股、股价在4.17~4.27元间反复，技术面更接近弱势箱体整理，尚不能确认趋势反转。</w:t>
      </w:r>
    </w:p>
    <w:p>
      <w:pPr>
        <w:pStyle w:val="ListParagraph"/>
        <w:numPr>
          <w:ilvl w:val="0"/>
          <w:numId w:val="2"/>
        </w:numPr>
        <w:spacing w:after="80" w:line="280"/>
      </w:pPr>
      <w:r>
        <w:rPr>
          <w:sz w:val="22"/>
          <w:szCs w:val="22"/>
        </w:rPr>
        <w:t xml:space="preserve">偏弱下行（主观权重中等；该权重是基于当前技术面和资金流设置的主观判断，不是统计概率）：价格观察区间约4.03~4.13元。触发条件是4.13元被放量跌破，同时主力资金继续净流出，或化学原料、钛白粉等相关板块同步走弱；若成交额放大至约2亿元以上但收盘持续位于4.13元下方，可能重新测试不同数据源显示的4.03元附近低位。由于4.03元低点未获最新交易日多源一致确认，下探空间存在不确定性。</w:t>
      </w:r>
    </w:p>
    <w:p>
      <w:pPr>
        <w:pStyle w:val="ListParagraph"/>
        <w:numPr>
          <w:ilvl w:val="0"/>
          <w:numId w:val="2"/>
        </w:numPr>
        <w:spacing w:after="80" w:line="280"/>
      </w:pPr>
      <w:r>
        <w:rPr>
          <w:sz w:val="22"/>
          <w:szCs w:val="22"/>
        </w:rPr>
        <w:t xml:space="preserve">反弹走强（主观权重偏低；该权重是基于当前技术面和资金流设置的主观判断，不是统计概率）：价格观察区间约4.27~4.50元。触发条件是股价重新站上4.27~4.32元，并伴随成交额持续超过约2亿元、成交量明显高于近期常态，且主力资金由净流出转为连续净流入；若进一步突破4.39元，可能向4.45~4.50元区域修复。若仅缩量反弹至4.27元附近后受压，更接近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1.96亿元、换手率约1.24%、成交量约4,711万股；近期单日成交量约在2,656万至4,711万股之间，纪要所述近期正常成交量大致为2,600万至3,900万股。8月下旬多数交易日换手率约0.8%至1.0%，8月中旬波动较大时曾升至约1.2%至1.5%。截至2026年6月30日，前十大流通股东合计持股约19.4亿股，占流通股约50.97%；第一大股东王泽龙持股约12.95亿股，占总股本约34.01%；机构持仓合计约6.02亿股，占流通股约15.82%，其中基金约占流通股1.58%，前十大流通股东中可见中央企业乡村产业投资基金、香港中央结算有限公司和鹏华中证细分化工产业主题ETF等机构或机构通道持仓。该结构的集中度主要由控股股东、员工持股计划及部分产业或资本机构贡献，公募基金比例相对有限。股东资料截至2026年6月30日，距离9月11日收盘已有约两个多月，期间持仓结构可能变化，因此只能作为中期筹码背景，不能替代最新资金流数据。结合约1.24%的换手率和近期成交额水平，该股并非极低流动性的微盘股，但短期资金参与度一般；放量下跌说明交易活跃度提高尚未转化为向上突破。</w:t>
      </w:r>
    </w:p>
    <w:p>
      <w:pPr>
        <w:spacing w:after="160" w:line="300"/>
      </w:pPr>
      <w:r>
        <w:rPr>
          <w:sz w:val="22"/>
          <w:szCs w:val="22"/>
        </w:rPr>
        <w:t xml:space="preserve">若未来一周单日成交额连续达到或超过约2.0亿元，同时收盘站上4.32元，且主力资金不再连续净流出，可视为短线资金承接改善的可验证信号；若成交额放大至约2.0亿元以上却跌破4.13元，则更偏向下行压力释放，而非资金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观察思路，非操作指令：关注4.13~4.17元区域能否止跌并出现承接。</w:t>
      </w:r>
    </w:p>
    <w:p>
      <w:pPr>
        <w:pStyle w:val="ListParagraph"/>
        <w:numPr>
          <w:ilvl w:val="0"/>
          <w:numId w:val="2"/>
        </w:numPr>
        <w:spacing w:after="80" w:line="280"/>
      </w:pPr>
      <w:r>
        <w:rPr>
          <w:sz w:val="22"/>
          <w:szCs w:val="22"/>
        </w:rPr>
        <w:t xml:space="preserve">观察思路，非操作指令：关注股价能否重新收复4.27~4.32元均线压力带。</w:t>
      </w:r>
    </w:p>
    <w:p>
      <w:pPr>
        <w:pStyle w:val="ListParagraph"/>
        <w:numPr>
          <w:ilvl w:val="0"/>
          <w:numId w:val="2"/>
        </w:numPr>
        <w:spacing w:after="80" w:line="280"/>
      </w:pPr>
      <w:r>
        <w:rPr>
          <w:sz w:val="22"/>
          <w:szCs w:val="22"/>
        </w:rPr>
        <w:t xml:space="preserve">观察思路，非操作指令：若突破4.32元，观察成交额是否持续高于约2.0亿元，而非单日脉冲。</w:t>
      </w:r>
    </w:p>
    <w:p>
      <w:pPr>
        <w:pStyle w:val="ListParagraph"/>
        <w:numPr>
          <w:ilvl w:val="0"/>
          <w:numId w:val="2"/>
        </w:numPr>
        <w:spacing w:after="80" w:line="280"/>
      </w:pPr>
      <w:r>
        <w:rPr>
          <w:sz w:val="22"/>
          <w:szCs w:val="22"/>
        </w:rPr>
        <w:t xml:space="preserve">观察思路，非操作指令：结合主力资金方向判断放量性质；放量上涨与资金净流入偏向修复确认，放量下跌与资金净流出偏向风险释放。</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钛白粉行业呈现“一超多强”格局，国内产能总体偏宽松、价格竞争明显。行业竞争正由单纯扩产转向规模、资源、工艺、环保、海外渠道及副产物综合利用能力的竞争。钛能化学2025年末钛白粉设计产能约70万吨/年，属于国内第二梯队大型企业，钛白粉收入仍占公司营业收入75.57%。</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龙佰集团为行业绝对龙头，2025年末设计产能约151万吨/年，拥有钛矿、硫酸法和氯化法钛白粉、海绵钛及新能源材料等业务，规模、资源及工艺完整性领先。</w:t>
      </w:r>
    </w:p>
    <w:p>
      <w:pPr>
        <w:pStyle w:val="ListParagraph"/>
        <w:numPr>
          <w:ilvl w:val="0"/>
          <w:numId w:val="2"/>
        </w:numPr>
        <w:spacing w:after="80" w:line="280"/>
      </w:pPr>
      <w:r>
        <w:rPr>
          <w:sz w:val="22"/>
          <w:szCs w:val="22"/>
        </w:rPr>
        <w:t xml:space="preserve">钛能化学主要采用硫酸法，具备规模、品牌和出口渠道优势，但钛精矿仍主要依赖外购，资源自给能力弱于龙佰集团。</w:t>
      </w:r>
    </w:p>
    <w:p>
      <w:pPr>
        <w:pStyle w:val="ListParagraph"/>
        <w:numPr>
          <w:ilvl w:val="0"/>
          <w:numId w:val="2"/>
        </w:numPr>
        <w:spacing w:after="80" w:line="280"/>
      </w:pPr>
      <w:r>
        <w:rPr>
          <w:sz w:val="22"/>
          <w:szCs w:val="22"/>
        </w:rPr>
        <w:t xml:space="preserve">攀钢钒钛依托攀西地区钒钛磁铁矿资源，具备钛精矿、钛白粉、钛渣及钒产品等资源综合利用优势。</w:t>
      </w:r>
    </w:p>
    <w:p>
      <w:pPr>
        <w:pStyle w:val="ListParagraph"/>
        <w:numPr>
          <w:ilvl w:val="0"/>
          <w:numId w:val="2"/>
        </w:numPr>
        <w:spacing w:after="80" w:line="280"/>
      </w:pPr>
      <w:r>
        <w:rPr>
          <w:sz w:val="22"/>
          <w:szCs w:val="22"/>
        </w:rPr>
        <w:t xml:space="preserve">鲁北化工、金浦钛业、惠云钛业、安纳达等属于中型钛白粉企业，主要以硫酸法为主，在规模和资源保障能力方面与龙佰集团、钛能化学存在差距。</w:t>
      </w:r>
    </w:p>
    <w:p>
      <w:pPr>
        <w:pStyle w:val="ListParagraph"/>
        <w:numPr>
          <w:ilvl w:val="0"/>
          <w:numId w:val="2"/>
        </w:numPr>
        <w:spacing w:after="80" w:line="280"/>
      </w:pPr>
      <w:r>
        <w:rPr>
          <w:sz w:val="22"/>
          <w:szCs w:val="22"/>
        </w:rPr>
        <w:t xml:space="preserve">国际市场主要竞争者包括科慕、特诺、康诺斯、泛能拓等，在氯化法工艺、高端产品及全球渠道方面具备优势。</w:t>
      </w:r>
    </w:p>
    <w:p>
      <w:pPr>
        <w:pStyle w:val="ListParagraph"/>
        <w:numPr>
          <w:ilvl w:val="0"/>
          <w:numId w:val="2"/>
        </w:numPr>
        <w:spacing w:after="80" w:line="280"/>
      </w:pPr>
      <w:r>
        <w:rPr>
          <w:sz w:val="22"/>
          <w:szCs w:val="22"/>
        </w:rPr>
        <w:t xml:space="preserve">行业主要压力包括房地产调整导致建筑涂料需求承压、钛精矿和能源价格波动、氯化法高端产品竞争、环保能耗及“三废”处理要求提高，以及出口市场的反倾销、贸易壁垒和国际竞争。</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龙佰集团（002601）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钛白粉行业绝对龙头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2025年末设计产能约151万吨/年，拥有钛矿、硫酸法和氯化法钛白粉、海绵钛、钛金属、钒及新能源材料布局；在原料自给、氯化法、高端产品和全球规模方面领先于钛能化学。</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攀钢钒钛（000629）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资源综合利用型钒钛企业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依托攀西地区钒钛磁铁矿资源，形成钛精矿、钛白粉、钛渣及钒制品等业务；资源端优势较强，但钛白粉占整体业务比重较低。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金浦钛业（000545）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中型硫酸法钛白粉企业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拥有约16万吨/年钛白粉产能，钛白粉业务集中度高，但资源一体化程度、规模效应及抗周期能力相对较弱。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惠云钛业（300891）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区域型硫酸法钛白粉企业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2024年钛白粉产能约16万吨/年，业务主要集中于钛白粉；相较钛能化学，规模、资源保障及多元化程度较弱。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安纳达（002136）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钛白粉及相关化工产品企业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钛白粉产能约10万吨/年，规模小于钛能化学；在钛矿、磷矿、黄磷和新能源材料的纵向延伸方面不如钛能化学。</w:t>
            </w:r>
          </w:p>
        </w:tc>
      </w:tr>
    </w:tbl>
    <w:p>
      <w:pPr>
        <w:spacing w:before="200"/>
      </w:pPr>
    </w:p>
    <w:p>
      <w:pPr>
        <w:spacing w:after="160" w:line="300"/>
      </w:pPr>
      <w:r>
        <w:rPr>
          <w:sz w:val="22"/>
          <w:szCs w:val="22"/>
        </w:rPr>
        <w:t xml:space="preserve">钛能化学的相对优势在于约70万吨/年钛白粉规模、甘肃及贵州资源协同、磷矿—黄磷产业链延伸，以及钛白粉副产硫酸亚铁向磷酸铁的资源耦合；相对短板是钛精矿仍主要外购、尚未形成大规模氯化法产能，且钛白粉行业供给宽松导致盈利受价格周期影响较大。与可比公司的产能数据存在设计产能、有效产能和实际产量等口径差异，部分数据来自2024—2025年公开年报、评级报告及行业资料，不宜据此直接推导实际产量或市场份额。</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钛白粉业务收入占比高，2025年达到营业收入的75.57%，而行业总体产能偏宽松、产品同质化程度较高，若价格竞争延续，销量增长可能无法抵消销售均价和毛利率下滑。</w:t>
      </w:r>
    </w:p>
    <w:p>
      <w:pPr>
        <w:pStyle w:val="ListParagraph"/>
        <w:numPr>
          <w:ilvl w:val="0"/>
          <w:numId w:val="2"/>
        </w:numPr>
        <w:spacing w:after="80" w:line="280"/>
      </w:pPr>
      <w:r>
        <w:rPr>
          <w:sz w:val="22"/>
          <w:szCs w:val="22"/>
        </w:rPr>
        <w:t xml:space="preserve">公司钛精矿仍主要依赖外购，2025年钛白粉原料成本占相关营业成本65.96%，能源成本占16.50%；若钛精矿、硫酸、电力或蒸汽价格上涨，而产品价格无法同步传导，盈利能力可能继续承压。</w:t>
      </w:r>
    </w:p>
    <w:p>
      <w:pPr>
        <w:pStyle w:val="ListParagraph"/>
        <w:numPr>
          <w:ilvl w:val="0"/>
          <w:numId w:val="2"/>
        </w:numPr>
        <w:spacing w:after="80" w:line="280"/>
      </w:pPr>
      <w:r>
        <w:rPr>
          <w:sz w:val="22"/>
          <w:szCs w:val="22"/>
        </w:rPr>
        <w:t xml:space="preserve">磷化工盈利同样具有周期性。2025年磷化工类毛利率较2024年下降11.41个百分点，黄磷业务还受到磷矿、焦炭、硅石及大量电力成本影响，价格回落或成本上升可能削弱该业务对整体利润的贡献。</w:t>
      </w:r>
    </w:p>
    <w:p>
      <w:pPr>
        <w:pStyle w:val="ListParagraph"/>
        <w:numPr>
          <w:ilvl w:val="0"/>
          <w:numId w:val="2"/>
        </w:numPr>
        <w:spacing w:after="80" w:line="280"/>
      </w:pPr>
      <w:r>
        <w:rPr>
          <w:sz w:val="22"/>
          <w:szCs w:val="22"/>
        </w:rPr>
        <w:t xml:space="preserve">磷酸铁业务目前仍处于放量初期，2025年收入仅3.60亿元；拟建设的年产60万吨磷酸铁项目总投资约54.62亿元，存在备案、环评审批、融资、建设进度、投产爬坡及市场消化不及预期等风险。</w:t>
      </w:r>
    </w:p>
    <w:p>
      <w:pPr>
        <w:pStyle w:val="ListParagraph"/>
        <w:numPr>
          <w:ilvl w:val="0"/>
          <w:numId w:val="2"/>
        </w:numPr>
        <w:spacing w:after="80" w:line="280"/>
      </w:pPr>
      <w:r>
        <w:rPr>
          <w:sz w:val="22"/>
          <w:szCs w:val="22"/>
        </w:rPr>
        <w:t xml:space="preserve">拟建设的年产40万吨钛白粉及140万吨七水硫酸亚铁项目预计总投资约55.38亿元、建设周期不超过36个月，若审批、融资或建设进度延迟，可能推迟产能释放并增加资金占用；若新增产能集中投放，也可能加剧相关产品供给压力。</w:t>
      </w:r>
    </w:p>
    <w:p>
      <w:pPr>
        <w:pStyle w:val="ListParagraph"/>
        <w:numPr>
          <w:ilvl w:val="0"/>
          <w:numId w:val="2"/>
        </w:numPr>
        <w:spacing w:after="80" w:line="280"/>
      </w:pPr>
      <w:r>
        <w:rPr>
          <w:sz w:val="22"/>
          <w:szCs w:val="22"/>
        </w:rPr>
        <w:t xml:space="preserve">公司营运资金占用有所上升，截至2025年末应收账款11.51亿元，占全年营业收入14.79%，存货17.62亿元，且应收账款约为当年归母净利润的3.23倍；2026年上半年经营活动现金流同比下降23.57%，需关注回款、库存及利润兑现情况。</w:t>
      </w:r>
    </w:p>
    <w:p>
      <w:pPr>
        <w:pStyle w:val="ListParagraph"/>
        <w:numPr>
          <w:ilvl w:val="0"/>
          <w:numId w:val="2"/>
        </w:numPr>
        <w:spacing w:after="80" w:line="280"/>
      </w:pPr>
      <w:r>
        <w:rPr>
          <w:sz w:val="22"/>
          <w:szCs w:val="22"/>
        </w:rPr>
        <w:t xml:space="preserve">公司客户前五大合计销售额占比36.28%，第一大客户占12.16%，部分客户匿名披露，客户结构和终端分布无法完全核实；在钛白粉客户议价能力较强的情况下，可能面临价格下调、账期延长或返利增加压力。</w:t>
      </w:r>
    </w:p>
    <w:p>
      <w:pPr>
        <w:pStyle w:val="ListParagraph"/>
        <w:numPr>
          <w:ilvl w:val="0"/>
          <w:numId w:val="2"/>
        </w:numPr>
        <w:spacing w:after="80" w:line="280"/>
      </w:pPr>
      <w:r>
        <w:rPr>
          <w:sz w:val="22"/>
          <w:szCs w:val="22"/>
        </w:rPr>
        <w:t xml:space="preserve">截至2026年9月11日股价为4.17元，低于多条短期均线，MACD弱势且主力资金净流出；若4.13元附近支撑被放量跌破，技术面可能进一步走弱。相关技术指标为基于历史行情的近似测算，不能代表未来价格走势。</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增长逻辑在于钛白粉、黄磷和磷酸铁价格改善，以及既有产能释放、产业链协同和副产物资源化利用。2026年上半年扣非净利润增速高于归母净利润增速，显示业绩改善具有一定经营层面支撑；若钛白粉和磷化工价格维持改善、产能利用率提升，且磷酸铁业务逐步放量，公司盈利能力有望继续修复。</w:t>
      </w:r>
    </w:p>
    <w:p>
      <w:pPr>
        <w:spacing w:after="160" w:line="300"/>
      </w:pPr>
      <w:r>
        <w:rPr>
          <w:sz w:val="22"/>
          <w:szCs w:val="22"/>
        </w:rPr>
        <w:t xml:space="preserve">中长期看，公司拟扩大磷酸铁和钛白粉相关产能，可能强化“硫—磷—铁—钛—锂”产业链布局，但项目规模较大，资本开支、融资安排、建设进度及新增产能消化将显著影响实际回报。由于钛白粉仍占收入主体，公司的利润弹性仍受产品价格、钛精矿、硫酸和能源成本影响，新能源材料尚未成为利润主导业务。</w:t>
      </w:r>
    </w:p>
    <w:p>
      <w:pPr>
        <w:spacing w:after="160" w:line="300"/>
      </w:pPr>
      <w:r>
        <w:rPr>
          <w:sz w:val="22"/>
          <w:szCs w:val="22"/>
        </w:rPr>
        <w:t xml:space="preserve">综合来看，公司基本面处于业绩修复与产能扩张并行阶段，但短期股价仍处于弱势区间，且当前估值缺少一致预期支撑。后续应重点观察利润增长能否转化为现金流、钛白粉毛利率能否改善、磷酸铁项目能否按计划推进，以及4.13元支撑和4.27至4.32元压力区间的技术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https://static.cninfo.com.cn/finalpage/2026-04-29/1225225962.PDF — https://static.cninfo.com.cn/finalpage/2026-04-29/1225225962.PDF</w:t>
      </w:r>
    </w:p>
    <w:p>
      <w:pPr>
        <w:spacing w:after="200"/>
      </w:pPr>
      <w:r>
        <w:rPr>
          <w:i/>
          <w:iCs/>
          <w:color w:val="595959"/>
          <w:sz w:val="18"/>
          <w:szCs w:val="18"/>
        </w:rPr>
        <w:t xml:space="preserve">钛能化学股份有限公司 2025 年年度报告全文 — https://static.cninfo.com.cn/finalpage/2026-04-29/1225225963.PDF?utm_source=openai</w:t>
      </w:r>
    </w:p>
    <w:p>
      <w:pPr>
        <w:spacing w:after="200"/>
      </w:pPr>
      <w:r>
        <w:rPr>
          <w:i/>
          <w:iCs/>
          <w:color w:val="595959"/>
          <w:sz w:val="18"/>
          <w:szCs w:val="18"/>
        </w:rPr>
        <w:t xml:space="preserve">钛能化学(002145)_公司公告_钛能化学：2025年年度报告新浪财经_新浪网 — https://vip.stock.finance.sina.com.cn/corp/view/vCB_AllBulletinDetail.php?id=12243327&amp;stockid=002145&amp;utm_source=openai</w:t>
      </w:r>
    </w:p>
    <w:p>
      <w:pPr>
        <w:spacing w:after="200"/>
      </w:pPr>
      <w:r>
        <w:rPr>
          <w:i/>
          <w:iCs/>
          <w:color w:val="595959"/>
          <w:sz w:val="18"/>
          <w:szCs w:val="18"/>
        </w:rPr>
        <w:t xml:space="preserve">[发现报告]：中核钛白机构调研纪要 - 发现报告 — https://www.fxbaogao.com/detail/4249191?utm_source=openai</w:t>
      </w:r>
    </w:p>
    <w:p>
      <w:pPr>
        <w:spacing w:after="200"/>
      </w:pPr>
      <w:r>
        <w:rPr>
          <w:i/>
          <w:iCs/>
          <w:color w:val="595959"/>
          <w:sz w:val="18"/>
          <w:szCs w:val="18"/>
        </w:rPr>
        <w:t xml:space="preserve">研判2026！中国钛白粉行业产量、进出口及重点企业分析：产量首降迎深度调整拐点，内外分化重塑全球化竞争格局[图]_智研咨询 — https://www.chyxx.com/industry/1265853.html?utm_source=openai</w:t>
      </w:r>
    </w:p>
    <w:p>
      <w:pPr>
        <w:spacing w:after="200"/>
      </w:pPr>
      <w:r>
        <w:rPr>
          <w:i/>
          <w:iCs/>
          <w:color w:val="595959"/>
          <w:sz w:val="18"/>
          <w:szCs w:val="18"/>
        </w:rPr>
        <w:t xml:space="preserve">惠云钛业(300891)_公司公告_惠云钛业：2026年主体信用评级报告新浪财经_新浪网 — https://vip.stock.finance.sina.com.cn/corp/view/vCB_AllBulletinDetail.php?CompanyCode=80400042&amp;gather=1&amp;id=12413117&amp;utm_source=openai</w:t>
      </w:r>
    </w:p>
    <w:p>
      <w:pPr>
        <w:spacing w:after="200"/>
      </w:pPr>
      <w:r>
        <w:rPr>
          <w:i/>
          <w:iCs/>
          <w:color w:val="595959"/>
          <w:sz w:val="18"/>
          <w:szCs w:val="18"/>
        </w:rPr>
        <w:t xml:space="preserve">正面
▪ 公司原材料供应稳定，产品继续保持较好竞争力。公司生产基地位于硫铁矿储量、品位均居亚洲首位 — https://static.cninfo.com.cn/finalpage/2025-06-26/1223998355.PDF?utm_source=openai</w:t>
      </w:r>
    </w:p>
    <w:p>
      <w:pPr>
        <w:spacing w:after="200"/>
      </w:pPr>
      <w:r>
        <w:rPr>
          <w:i/>
          <w:iCs/>
          <w:color w:val="595959"/>
          <w:sz w:val="18"/>
          <w:szCs w:val="18"/>
        </w:rPr>
        <w:t xml:space="preserve">钛能化学(002145)_公司公告_钛能化学：2026年半年度报告新浪财经_新浪网 — https://money.finance.sina.com.cn/corp/view/vCB_AllBulletinDetail.php?id=12476693&amp;stockid=002145</w:t>
      </w:r>
    </w:p>
    <w:p>
      <w:pPr>
        <w:spacing w:after="200"/>
      </w:pPr>
      <w:r>
        <w:rPr>
          <w:i/>
          <w:iCs/>
          <w:color w:val="595959"/>
          <w:sz w:val="18"/>
          <w:szCs w:val="18"/>
        </w:rPr>
        <w:t xml:space="preserve">钛能化学(002145)_公司公告_钛能化学：2025年年度报告摘要新浪财经_新浪网 — https://money.finance.sina.com.cn/corp/view/vCB_AllBulletinDetail.php?id=12243311&amp;stockid=002145&amp;utm_source=openai</w:t>
      </w:r>
    </w:p>
    <w:p>
      <w:pPr>
        <w:spacing w:after="200"/>
      </w:pPr>
      <w:r>
        <w:rPr>
          <w:i/>
          <w:iCs/>
          <w:color w:val="595959"/>
          <w:sz w:val="18"/>
          <w:szCs w:val="18"/>
        </w:rPr>
        <w:t xml:space="preserve">钛能化学(002145)_股票行情_证券之星 — https://stock.quote.stockstar.com/002145.shtml?utm_source=openai</w:t>
      </w:r>
    </w:p>
    <w:p>
      <w:pPr>
        <w:spacing w:after="200"/>
      </w:pPr>
      <w:r>
        <w:rPr>
          <w:i/>
          <w:iCs/>
          <w:color w:val="595959"/>
          <w:sz w:val="18"/>
          <w:szCs w:val="18"/>
        </w:rPr>
        <w:t xml:space="preserve">证券代码：002145  证券简称：钛能化学  公告编号：2026-025 — https://static.cninfo.com.cn/finalpage/2026-07-15/1225422880.PDF?utm_source=openai</w:t>
      </w:r>
    </w:p>
    <w:p>
      <w:pPr>
        <w:spacing w:after="200"/>
      </w:pPr>
      <w:r>
        <w:rPr>
          <w:i/>
          <w:iCs/>
          <w:color w:val="595959"/>
          <w:sz w:val="18"/>
          <w:szCs w:val="18"/>
        </w:rPr>
        <w:t xml:space="preserve">钛能化学(002145) 盈利预测_F10_同花顺金融服务网 — https://basic.10jqka.com.cn/002145/worth.html</w:t>
      </w:r>
    </w:p>
    <w:p>
      <w:pPr>
        <w:spacing w:after="200"/>
      </w:pPr>
      <w:r>
        <w:rPr>
          <w:i/>
          <w:iCs/>
          <w:color w:val="595959"/>
          <w:sz w:val="18"/>
          <w:szCs w:val="18"/>
        </w:rPr>
        <w:t xml:space="preserve">钛能化学(002145) - 股票行情中心 - 搜狐证券 — https://q.stock.sohu.com/cn/002145/</w:t>
      </w:r>
    </w:p>
    <w:p>
      <w:pPr>
        <w:spacing w:after="200"/>
      </w:pPr>
      <w:r>
        <w:rPr>
          <w:i/>
          <w:iCs/>
          <w:color w:val="595959"/>
          <w:sz w:val="18"/>
          <w:szCs w:val="18"/>
        </w:rPr>
        <w:t xml:space="preserve">钛能化学(002145)股票历史数据:历史行情,价格,走势图表_英为财情Investing.com — https://cn.investing.com/equities/cnnc-hua-yuan-a-historical-data?utm_source=openai</w:t>
      </w:r>
    </w:p>
    <w:p>
      <w:pPr>
        <w:spacing w:after="200"/>
      </w:pPr>
      <w:r>
        <w:rPr>
          <w:i/>
          <w:iCs/>
          <w:color w:val="595959"/>
          <w:sz w:val="18"/>
          <w:szCs w:val="18"/>
        </w:rPr>
        <w:t xml:space="preserve">钛能化学(002145)市盈率|估值|基本面 - 理杏仁 — https://www.lixinger.com/equity/company/detail/sz/002145/2145/fundamental/valuation/pe-ttm?utm_source=openai</w:t>
      </w:r>
    </w:p>
    <w:p>
      <w:pPr>
        <w:spacing w:after="200"/>
      </w:pPr>
      <w:r>
        <w:rPr>
          <w:i/>
          <w:iCs/>
          <w:color w:val="595959"/>
          <w:sz w:val="18"/>
          <w:szCs w:val="18"/>
        </w:rPr>
        <w:t xml:space="preserve">钛能化学(002145) 最新动态_F10_同花顺金融服务网 — https://basic.10jqka.com.cn/002145/?utm_source=openai</w:t>
      </w:r>
    </w:p>
    <w:p>
      <w:pPr>
        <w:spacing w:after="200"/>
      </w:pPr>
      <w:r>
        <w:rPr>
          <w:i/>
          <w:iCs/>
          <w:color w:val="595959"/>
          <w:sz w:val="18"/>
          <w:szCs w:val="18"/>
        </w:rPr>
        <w:t xml:space="preserve">钛能化学(002145)_公司公告_钛能化学：2026年半年度报告摘要新浪财经_新浪网 — https://money.finance.sina.com.cn/corp/view/vCB_AllBulletinDetail.php?id=12476692&amp;stockid=002145&amp;utm_source=openai</w:t>
      </w:r>
    </w:p>
    <w:p>
      <w:pPr>
        <w:spacing w:after="200"/>
      </w:pPr>
      <w:r>
        <w:rPr>
          <w:i/>
          <w:iCs/>
          <w:color w:val="595959"/>
          <w:sz w:val="18"/>
          <w:szCs w:val="18"/>
        </w:rPr>
        <w:t xml:space="preserve">钛能化学(002145)公告(全部) - 理杏仁 — https://www.lixinger.com/equity/company/detail/sz/002145/2145/announcement?utm_source=openai</w:t>
      </w:r>
    </w:p>
    <w:p>
      <w:pPr>
        <w:spacing w:after="200"/>
      </w:pPr>
      <w:r>
        <w:rPr>
          <w:i/>
          <w:iCs/>
          <w:color w:val="595959"/>
          <w:sz w:val="18"/>
          <w:szCs w:val="18"/>
        </w:rPr>
        <w:t xml:space="preserve">钛能化学：2026年上半年净利润同比增长61.93% 拟10派0.2元 _ 东方财富网 — https://finance.eastmoney.com/a/202608043831389187.html?utm_source=openai</w:t>
      </w:r>
    </w:p>
    <w:p>
      <w:pPr>
        <w:spacing w:after="200"/>
      </w:pPr>
      <w:r>
        <w:rPr>
          <w:i/>
          <w:iCs/>
          <w:color w:val="595959"/>
          <w:sz w:val="18"/>
          <w:szCs w:val="18"/>
        </w:rPr>
        <w:t xml:space="preserve">https://static.cninfo.com.cn/finalpage/2026-06-30/1225394209.PDF — https://static.cninfo.com.cn/finalpage/2026-06-30/1225394209.PDF</w:t>
      </w:r>
    </w:p>
    <w:p>
      <w:pPr>
        <w:spacing w:after="200"/>
      </w:pPr>
      <w:r>
        <w:rPr>
          <w:i/>
          <w:iCs/>
          <w:color w:val="595959"/>
          <w:sz w:val="18"/>
          <w:szCs w:val="18"/>
        </w:rPr>
        <w:t xml:space="preserve">https://disc.static.szse.cn/download/disc/disk03/finalpage/2026-08-11/76a78114-6e3e-470c-bee5-24eeb54f6039.PDF — https://disc.static.szse.cn/download/disc/disk03/finalpage/2026-08-11/76a78114-6e3e-470c-bee5-24eeb54f6039.PDF</w:t>
      </w:r>
    </w:p>
    <w:p>
      <w:pPr>
        <w:spacing w:after="200"/>
      </w:pPr>
      <w:r>
        <w:rPr>
          <w:i/>
          <w:iCs/>
          <w:color w:val="595959"/>
          <w:sz w:val="18"/>
          <w:szCs w:val="18"/>
        </w:rPr>
        <w:t xml:space="preserve">钛能化学(002145)股票股价,行情,新闻,财报数据_新浪财经_新浪网 — https://finance.sina.com.cn/realstock/company/sz002145/nc.shtml?_t=t&amp;utm_source=openai</w:t>
      </w:r>
    </w:p>
    <w:p>
      <w:pPr>
        <w:spacing w:after="200"/>
      </w:pPr>
      <w:r>
        <w:rPr>
          <w:i/>
          <w:iCs/>
          <w:color w:val="595959"/>
          <w:sz w:val="18"/>
          <w:szCs w:val="18"/>
        </w:rPr>
        <w:t xml:space="preserve">https://disc.static.szse.cn/download/disc/disk03/finalpage/2026-08-12/8263c5ea-d795-4f71-824c-f9b1f67b0917.PDF — https://disc.static.szse.cn/download/disc/disk03/finalpage/2026-08-12/8263c5ea-d795-4f71-824c-f9b1f67b0917.PDF</w:t>
      </w:r>
    </w:p>
    <w:p>
      <w:pPr>
        <w:spacing w:after="200"/>
      </w:pPr>
      <w:r>
        <w:rPr>
          <w:i/>
          <w:iCs/>
          <w:color w:val="595959"/>
          <w:sz w:val="18"/>
          <w:szCs w:val="18"/>
        </w:rPr>
        <w:t xml:space="preserve">https://static.cninfo.com.cn/finalpage/2026-08-12/1225469294.PDF — https://static.cninfo.com.cn/finalpage/2026-08-12/1225469294.PDF</w:t>
      </w:r>
    </w:p>
    <w:p>
      <w:pPr>
        <w:spacing w:after="200"/>
      </w:pPr>
      <w:r>
        <w:rPr>
          <w:i/>
          <w:iCs/>
          <w:color w:val="595959"/>
          <w:sz w:val="18"/>
          <w:szCs w:val="18"/>
        </w:rPr>
        <w:t xml:space="preserve">中国证监会行政处罚决定书（王泽龙、洪浩炜、中信中证、中信证券、海通证券、韩雨辰）_中国证券监督管理委员会 — https://www.csrc.gov.cn/csrc/c101928/c7480497/content.shtml?utm_source=openai</w:t>
      </w:r>
    </w:p>
    <w:p>
      <w:pPr>
        <w:spacing w:after="200"/>
      </w:pPr>
      <w:r>
        <w:rPr>
          <w:i/>
          <w:iCs/>
          <w:color w:val="595959"/>
          <w:sz w:val="18"/>
          <w:szCs w:val="18"/>
        </w:rPr>
        <w:t xml:space="preserve">钛能化学(002145) 最新动态_F10_同花顺金融服务网 — https://basic.10jqka.com.cn/002145/</w:t>
      </w:r>
    </w:p>
    <w:p>
      <w:pPr>
        <w:spacing w:after="200"/>
      </w:pPr>
      <w:r>
        <w:rPr>
          <w:i/>
          <w:iCs/>
          <w:color w:val="595959"/>
          <w:sz w:val="18"/>
          <w:szCs w:val="18"/>
        </w:rPr>
        <w:t xml:space="preserve">钛能化学 (002145) 股价和资讯 - Google 财经 — https://www.google.com/finance/beta/quote/002145%3ASHE?hl=zh&amp;utm_source=openai</w:t>
      </w:r>
    </w:p>
    <w:p>
      <w:pPr>
        <w:spacing w:after="200"/>
      </w:pPr>
      <w:r>
        <w:rPr>
          <w:i/>
          <w:iCs/>
          <w:color w:val="595959"/>
          <w:sz w:val="18"/>
          <w:szCs w:val="18"/>
        </w:rPr>
        <w:t xml:space="preserve">钛能化学(002145)股票历史数据:历史行情,价格,走势图表_英为财情Investing.com — https://cn.investing.com/equities/cnnc-hua-yuan-a-historical-data</w:t>
      </w:r>
    </w:p>
    <w:p>
      <w:pPr>
        <w:spacing w:after="200"/>
      </w:pPr>
      <w:r>
        <w:rPr>
          <w:i/>
          <w:iCs/>
          <w:color w:val="595959"/>
          <w:sz w:val="18"/>
          <w:szCs w:val="18"/>
        </w:rPr>
        <w:t xml:space="preserve">钛能化学(002145.SZ) 股票行情_历史数据_主力资金 - 大波浪数据 — https://www.yyqyx.com/s/002145.SZ?utm_source=openai</w:t>
      </w:r>
    </w:p>
    <w:p>
      <w:pPr>
        <w:spacing w:after="200"/>
      </w:pPr>
      <w:r>
        <w:rPr>
          <w:i/>
          <w:iCs/>
          <w:color w:val="595959"/>
          <w:sz w:val="18"/>
          <w:szCs w:val="18"/>
        </w:rPr>
        <w:t xml:space="preserve">钛能化学(002145.SZ) 股票行情_历史数据_主力资金 - 大波浪数据 — https://www.yyqyx.com/s/002145.SZ</w:t>
      </w:r>
    </w:p>
    <w:p>
      <w:pPr>
        <w:spacing w:after="200"/>
      </w:pPr>
      <w:r>
        <w:rPr>
          <w:i/>
          <w:iCs/>
          <w:color w:val="595959"/>
          <w:sz w:val="18"/>
          <w:szCs w:val="18"/>
        </w:rPr>
        <w:t xml:space="preserve">9月11日钛能化学主力资金净流出 近5日震荡持平大盘 - 经济观察网 － 专业财经新闻网站 — https://www.eeo.com.cn/2026/0912/1033619.shtml?utm_source=openai</w:t>
      </w:r>
    </w:p>
    <w:p>
      <w:pPr>
        <w:spacing w:after="200"/>
      </w:pPr>
      <w:r>
        <w:rPr>
          <w:i/>
          <w:iCs/>
          <w:color w:val="595959"/>
          <w:sz w:val="18"/>
          <w:szCs w:val="18"/>
        </w:rPr>
        <w:t xml:space="preserve">本报告由AI基于公开渠道信息自动检索、整理并生成，信息截至 截至2026年9月11日收盘；MA、布林带为基于公开历史收盘价的近似测算，MACD与RSI为最新可得技术快照，部分指标与9月11日收盘可能存在不同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2026-09-13T12:29:47.219Z</dcterms:created>
  <dcterms:modified xsi:type="dcterms:W3CDTF">2026-09-13T12:29:47.219Z</dcterms:modified>
</cp:coreProperties>
</file>

<file path=docProps/custom.xml><?xml version="1.0" encoding="utf-8"?>
<Properties xmlns="http://schemas.openxmlformats.org/officeDocument/2006/custom-properties" xmlns:vt="http://schemas.openxmlformats.org/officeDocument/2006/docPropsVTypes"/>
</file>