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湖南黄金股份有限公司 (002155)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行业：黄金、锑、钨等有色金属采选冶炼</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截至2026年9月11日收盘；2026年9月13日为星期日，A股当日无交易。价格、成交及技术指标主要基于2026年9月11日数据。52周高低点仅有价格区间，具体发生日期缺失。</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湖南黄金2026年上半年实现营业收入320.29亿元，同比增长12.63%；归母净利润9.57亿元，同比增长46.01%，扣非归母净利润9.61亿元，同比增长46.31%，盈利增速明显高于收入增速，主要受黄金价格上涨、黄金业务毛利率改善及管理费用下降推动。但同期经营活动现金流量净额为-1.06亿元，较上年同期4.98亿元明显下降，存货增加成为现金流承压的主要原因。</w:t>
      </w:r>
    </w:p>
    <w:p>
      <w:pPr>
        <w:spacing w:after="160" w:line="300"/>
      </w:pPr>
      <w:r>
        <w:rPr>
          <w:sz w:val="22"/>
          <w:szCs w:val="22"/>
        </w:rPr>
        <w:t xml:space="preserve">公司收入高度集中于黄金业务，2026年上半年黄金收入303.28亿元，占营业收入约94.69%；其中外购非标金业务毛利率仅0.09%，2024年外购非标金收入占营业收入82.26%，因此收入规模和产量增长并不完全等同于自产资源盈利能力提升。公司利润弹性更取决于自产黄金、锑钨资源的产量恢复、采选冶成本控制以及黄金和锑价格表现。</w:t>
      </w:r>
    </w:p>
    <w:p>
      <w:pPr>
        <w:spacing w:after="160" w:line="300"/>
      </w:pPr>
      <w:r>
        <w:rPr>
          <w:sz w:val="22"/>
          <w:szCs w:val="22"/>
        </w:rPr>
        <w:t xml:space="preserve">公司拟发行股份购买湖南黄金天岳矿业有限公司和湖南中南黄金冶炼有限公司100%股权，交易总对价此前披露约43.34亿元，并拟募集配套资金不超过10.5亿元。该方案已获湖南省国资委原则批复及股东会审议通过，但仍需履行深交所审核、中国证监会注册、股份发行及资产交割等程序，交易尚未完成，后续资产注入效果和实施进度仍存在不确定性。</w:t>
      </w:r>
    </w:p>
    <w:p>
      <w:pPr>
        <w:spacing w:after="160" w:line="300"/>
      </w:pPr>
      <w:r>
        <w:rPr>
          <w:sz w:val="22"/>
          <w:szCs w:val="22"/>
        </w:rPr>
        <w:t xml:space="preserve">截至2026年9月11日，公司股价收于27.50元，近期经历快速上涨后回落，仍高于MA5、MA10和MA20，但9月11日大单及超大单合计净流出约1.65亿元，短期资金分歧加大。当前估值处于相对不低水平，未来估值消化需要盈利预测兑现、金属价格维持高位、自产资源产量恢复、经营现金流改善及重组顺利推进共同支撑。</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002155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湖南黄金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湖南辰州矿业股份有限公司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2007年在深圳证券交易所上市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更名时间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2015年更名为湖南黄金股份有限公司，股票代码未变化</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黄金、锑、钨等有色金属的矿山开采、选矿、冶炼、精炼、深加工、销售及相关矿产品进出口</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产业链模式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形成“勘探—采矿—选矿—冶炼—精炼—深加工—销售”的一体化产业链</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278.39亿元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501.81亿元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14.88亿元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黄金销售收入251.72亿元，占90.42%；锑品销售收入24.79亿元，占8.90%；钨品销售收入1.30亿元，占0.47%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2024年按业务类型收入结构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外购非标金业务收入228.99亿元，占82.26%；有色金属开采收入34.13亿元，占12.26%；有色金属冶炼收入13.24亿元，占4.76%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2025年主要产量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黄金61,382千克，其中自产黄金3,431千克；锑品22,998吨；钨品958标吨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黄金：标准金锭，并涉及金条和黄金饰品等深加工产品，主要应用于金融储备、投资保值、珠宝首饰、电子和医疗等领域</w:t>
      </w:r>
    </w:p>
    <w:p>
      <w:pPr>
        <w:pStyle w:val="ListParagraph"/>
        <w:numPr>
          <w:ilvl w:val="0"/>
          <w:numId w:val="2"/>
        </w:numPr>
        <w:spacing w:after="80" w:line="280"/>
      </w:pPr>
      <w:r>
        <w:rPr>
          <w:sz w:val="22"/>
          <w:szCs w:val="22"/>
        </w:rPr>
        <w:t xml:space="preserve">锑：精锑、含量锑、氧化锑、乙二醇锑和塑料阻燃母粒，应用于塑料、橡胶、油漆、纺织、化纤、玻璃、电子、陶瓷及聚酯缩聚等领域</w:t>
      </w:r>
    </w:p>
    <w:p>
      <w:pPr>
        <w:pStyle w:val="ListParagraph"/>
        <w:numPr>
          <w:ilvl w:val="0"/>
          <w:numId w:val="2"/>
        </w:numPr>
        <w:spacing w:after="80" w:line="280"/>
      </w:pPr>
      <w:r>
        <w:rPr>
          <w:sz w:val="22"/>
          <w:szCs w:val="22"/>
        </w:rPr>
        <w:t xml:space="preserve">钨：仲钨酸铵及钨精矿，主要应用于硬质合金、钨粉、机械加工、航空航天、兵器工业和信息产业等领域</w:t>
      </w:r>
    </w:p>
    <w:p>
      <w:pPr>
        <w:pStyle w:val="ListParagraph"/>
        <w:numPr>
          <w:ilvl w:val="0"/>
          <w:numId w:val="2"/>
        </w:numPr>
        <w:spacing w:after="80" w:line="280"/>
      </w:pPr>
      <w:r>
        <w:rPr>
          <w:sz w:val="22"/>
          <w:szCs w:val="22"/>
        </w:rPr>
        <w:t xml:space="preserve">矿山采选：自有矿山包括金锑钨伴生矿、金矿、锑矿和钨矿，采矿方式以井下开采为主，选矿方式主要为重选和浮选</w:t>
      </w:r>
    </w:p>
    <w:p>
      <w:pPr>
        <w:pStyle w:val="ListParagraph"/>
        <w:numPr>
          <w:ilvl w:val="0"/>
          <w:numId w:val="2"/>
        </w:numPr>
        <w:spacing w:after="80" w:line="280"/>
      </w:pPr>
      <w:r>
        <w:rPr>
          <w:sz w:val="22"/>
          <w:szCs w:val="22"/>
        </w:rPr>
        <w:t xml:space="preserve">外购原料及贸易：从国内外采购锑精矿、锑金精矿、金精矿和合质金，外购非标金业务对收入规模贡献较大</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湖南黄金位于有色金属产业链中上游，具备矿业权、矿山采选、金锑钨分离、黄金精炼、锑产品深加工及出口渠道，不是单纯的黄金贸易商或冶炼企业。公司收入以黄金为主，但2024年黄金收入中外购非标金业务占比较高，因此利润核心仍在自有资源采选和锑产品深加工，而非单纯扩大外购黄金规模。</w:t>
      </w:r>
    </w:p>
    <w:p>
      <w:pPr>
        <w:pStyle w:val="ListParagraph"/>
        <w:numPr>
          <w:ilvl w:val="0"/>
          <w:numId w:val="2"/>
        </w:numPr>
        <w:spacing w:after="80" w:line="280"/>
      </w:pPr>
      <w:r>
        <w:rPr>
          <w:sz w:val="22"/>
          <w:szCs w:val="22"/>
        </w:rPr>
        <w:t xml:space="preserve">自有资源主要包括金锑钨伴生矿、金矿、锑矿和钨矿；同时采购锑精矿、锑金精矿、金精矿和合质金，用于冶炼及黄金相关业务。</w:t>
      </w:r>
    </w:p>
    <w:p>
      <w:pPr>
        <w:pStyle w:val="ListParagraph"/>
        <w:numPr>
          <w:ilvl w:val="0"/>
          <w:numId w:val="2"/>
        </w:numPr>
        <w:spacing w:after="80" w:line="280"/>
      </w:pPr>
      <w:r>
        <w:rPr>
          <w:sz w:val="22"/>
          <w:szCs w:val="22"/>
        </w:rPr>
        <w:t xml:space="preserve">截至2025年12月31日，公司保有资源储量为矿石量7,190万吨、金金属量137,060千克、锑金属量347,168吨、钨金属量109,882吨；2025年资源量增长主要来自勘探增储及资源口径变化，具体增量应以年度报告中的矿业权和储量评估明细为准。</w:t>
      </w:r>
    </w:p>
    <w:p>
      <w:pPr>
        <w:pStyle w:val="ListParagraph"/>
        <w:numPr>
          <w:ilvl w:val="0"/>
          <w:numId w:val="2"/>
        </w:numPr>
        <w:spacing w:after="80" w:line="280"/>
      </w:pPr>
      <w:r>
        <w:rPr>
          <w:sz w:val="22"/>
          <w:szCs w:val="22"/>
        </w:rPr>
        <w:t xml:space="preserve">截至2024年末，公司拥有和控制矿业权30个，其中探矿权18个、采矿权12个；2024年探矿及相关掘进投入合计4.30亿元。</w:t>
      </w:r>
    </w:p>
    <w:p>
      <w:pPr>
        <w:pStyle w:val="ListParagraph"/>
        <w:numPr>
          <w:ilvl w:val="0"/>
          <w:numId w:val="2"/>
        </w:numPr>
        <w:spacing w:after="80" w:line="280"/>
      </w:pPr>
      <w:r>
        <w:rPr>
          <w:sz w:val="22"/>
          <w:szCs w:val="22"/>
        </w:rPr>
        <w:t xml:space="preserve">公司外购原料定价主要参考公开市场成交价格或市场价格，金精矿、锑精矿、锑金精矿和合质金价格受黄金、锑、钨等金属市场价格影响，公司对上游供应商并非绝对强势，部分环节属于价格接受者。</w:t>
      </w:r>
    </w:p>
    <w:p>
      <w:pPr>
        <w:pStyle w:val="ListParagraph"/>
        <w:numPr>
          <w:ilvl w:val="0"/>
          <w:numId w:val="2"/>
        </w:numPr>
        <w:spacing w:after="80" w:line="280"/>
      </w:pPr>
      <w:r>
        <w:rPr>
          <w:sz w:val="22"/>
          <w:szCs w:val="22"/>
        </w:rPr>
        <w:t xml:space="preserve">截至2025年年度报告披露，黄金精炼生产线能力为100吨/年，精锑冶炼生产线能力为2.5万吨/年，多品种锑产品生产线能力为4万吨/年；上述为生产线或设计能力，不等同于可持续自产矿产能力或实际满负荷产量。</w:t>
      </w:r>
    </w:p>
    <w:p>
      <w:pPr>
        <w:pStyle w:val="ListParagraph"/>
        <w:numPr>
          <w:ilvl w:val="0"/>
          <w:numId w:val="2"/>
        </w:numPr>
        <w:spacing w:after="80" w:line="280"/>
      </w:pPr>
      <w:r>
        <w:rPr>
          <w:sz w:val="22"/>
          <w:szCs w:val="22"/>
        </w:rPr>
        <w:t xml:space="preserve">公司实际产量受原料采购、市场价格、生产计划和库存变化影响。2025年黄金产量同比大幅增长，主要与外购非标金业务增加有关；锑品和钨品产量分别同比下降21.26%和4.96%。</w:t>
      </w:r>
    </w:p>
    <w:p>
      <w:pPr>
        <w:pStyle w:val="ListParagraph"/>
        <w:numPr>
          <w:ilvl w:val="0"/>
          <w:numId w:val="2"/>
        </w:numPr>
        <w:spacing w:after="80" w:line="280"/>
      </w:pPr>
      <w:r>
        <w:rPr>
          <w:sz w:val="22"/>
          <w:szCs w:val="22"/>
        </w:rPr>
        <w:t xml:space="preserve">黄金产品主要通过上海黄金交易所销售，标准金价格直接参考金交所市场价格，结算和交收由金交所处理，公司对黄金终端价格的议价能力有限，但标准化交易有助于降低渠道风险和销售端客户集中度风险。</w:t>
      </w:r>
    </w:p>
    <w:p>
      <w:pPr>
        <w:pStyle w:val="ListParagraph"/>
        <w:numPr>
          <w:ilvl w:val="0"/>
          <w:numId w:val="2"/>
        </w:numPr>
        <w:spacing w:after="80" w:line="280"/>
      </w:pPr>
      <w:r>
        <w:rPr>
          <w:sz w:val="22"/>
          <w:szCs w:val="22"/>
        </w:rPr>
        <w:t xml:space="preserve">锑产品主要销售给氧化锑生产企业、中间贸易商及海外客户；钨产品主要销售给国内硬质合金、钨粉和钨条生产企业。</w:t>
      </w:r>
    </w:p>
    <w:p>
      <w:pPr>
        <w:pStyle w:val="ListParagraph"/>
        <w:numPr>
          <w:ilvl w:val="0"/>
          <w:numId w:val="2"/>
        </w:numPr>
        <w:spacing w:after="80" w:line="280"/>
      </w:pPr>
      <w:r>
        <w:rPr>
          <w:sz w:val="22"/>
          <w:szCs w:val="22"/>
        </w:rPr>
        <w:t xml:space="preserve">锑、钨产品出口主要通过子公司中南锑钨开展，海外销售价格通常由供需双方参考市场价格协商确定。</w:t>
      </w:r>
    </w:p>
    <w:p>
      <w:pPr>
        <w:pStyle w:val="ListParagraph"/>
        <w:numPr>
          <w:ilvl w:val="0"/>
          <w:numId w:val="2"/>
        </w:numPr>
        <w:spacing w:after="80" w:line="280"/>
      </w:pPr>
      <w:r>
        <w:rPr>
          <w:sz w:val="22"/>
          <w:szCs w:val="22"/>
        </w:rPr>
        <w:t xml:space="preserve">黄金业务主要赚取自产矿山资源、采选冶加工及部分贸易环节利润；锑业务在资源紧张、锑价上涨和出口管制背景下，具备资源及深加工能力的企业议价地位相对更强，但外购锑精矿仍受市场价格影响；钨产品价格受行业供需、开采总量控制和下游硬质合金需求影响。</w:t>
      </w:r>
    </w:p>
    <w:p>
      <w:pPr>
        <w:pStyle w:val="ListParagraph"/>
        <w:numPr>
          <w:ilvl w:val="0"/>
          <w:numId w:val="2"/>
        </w:numPr>
        <w:spacing w:after="80" w:line="280"/>
      </w:pPr>
      <w:r>
        <w:rPr>
          <w:sz w:val="22"/>
          <w:szCs w:val="22"/>
        </w:rPr>
        <w:t xml:space="preserve">研究纪要未披露公司前五大客户销售收入合计占比，无法据此判断销售收入客户集中度。已披露的前五名客户应收账款余额占全部应收账款的67.59%，该数据来自2024年年度报告信用风险披露；年报未在该处完整列示客户名称和销售收入排名，不能直接推断销售收入高度依赖单一客户，该数据应以最新年报为准。</w:t>
      </w:r>
    </w:p>
    <w:p>
      <w:pPr>
        <w:pStyle w:val="ListParagraph"/>
        <w:numPr>
          <w:ilvl w:val="0"/>
          <w:numId w:val="2"/>
        </w:numPr>
        <w:spacing w:after="80" w:line="280"/>
      </w:pPr>
      <w:r>
        <w:rPr>
          <w:sz w:val="22"/>
          <w:szCs w:val="22"/>
        </w:rPr>
        <w:t xml:space="preserve">行业结构上，黄金产品受金交所市场价格约束，属于较强市场化定价；锑、钨产品价格则更多受资源供给、行业供需、出口政策及下游工业需求影响，公司具备一体化和资源控制优势，但仍无法完全摆脱金属价格波动。</w:t>
      </w:r>
    </w:p>
    <w:p>
      <w:pPr>
        <w:pStyle w:val="ListParagraph"/>
        <w:numPr>
          <w:ilvl w:val="0"/>
          <w:numId w:val="2"/>
        </w:numPr>
        <w:spacing w:after="80" w:line="280"/>
      </w:pPr>
      <w:r>
        <w:rPr>
          <w:sz w:val="22"/>
          <w:szCs w:val="22"/>
        </w:rPr>
        <w:t xml:space="preserve">截至2024年12月31日，公司合并口径应收账款1.34亿元、应收款项融资2.59亿元、预付款项0.90亿元、应付账款2.02亿元，其中应付原材料款1.34亿元、应付工程款0.38亿元、应付劳务费用0.26亿元。按研究纪要估算，应收账款/营业收入约0.48%，应收账款/归母净利润约15.9%，应付账款/营业收入约0.72%。销售端资金占用较低，符合黄金通过金交所标准化结算的特征；但公司需采购较多外部精矿和合质金，原料价格及采购规模仍会影响现金流、库存和利润。前五名客户应收账款余额占比67.59%，为2024年年末数据，来源于年度报告信用风险披露，不能等同于销售收入客户集中度。</w:t>
      </w:r>
    </w:p>
    <w:p>
      <w:pPr>
        <w:pStyle w:val="ListParagraph"/>
        <w:numPr>
          <w:ilvl w:val="0"/>
          <w:numId w:val="2"/>
        </w:numPr>
        <w:spacing w:after="80" w:line="280"/>
      </w:pPr>
      <w:r>
        <w:rPr>
          <w:sz w:val="22"/>
          <w:szCs w:val="22"/>
        </w:rPr>
        <w:t xml:space="preserve">收入集中于黄金业务，2024年黄金销售收入占营业收入90.42%，其中外购非标金业务占营业收入82.26%；因此收入规模不能直接代表自产矿山资源规模。客户销售收入前五大集中度未披露；仅有2024年12月31日前五名客户应收账款余额占全部应收账款67.59%的数据，且该数据来源单一、未能交叉核实销售收入排名，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约7.62%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黄金业务收入占比较高，但外购非标金业务占比接近80%，收入规模大而毛利率低，压低整体毛利率；锑、钨业务价格和销量变化对利润贡献有限。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外购非标金业务收入占比进一步升至82.92%，公司年报指出总毛利率同比下降0.50个百分点；钨品销量下降、毛利率明显回落，进一步拖累盈利能力。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约7.86%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约3.04%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黄金和锑产品价格上涨，整体毛利率同比提升0.74个百分点；有色金属开采业务毛利率58.84%，高于冶炼业务12.14%和外购非标金业务0.03%，自有资源采选是主要利润来源。</w:t>
            </w:r>
          </w:p>
        </w:tc>
      </w:tr>
    </w:tbl>
    <w:p>
      <w:pPr>
        <w:spacing w:before="200"/>
      </w:pPr>
    </w:p>
    <w:p>
      <w:pPr>
        <w:spacing w:after="160" w:line="300"/>
      </w:pPr>
      <w:r>
        <w:rPr>
          <w:sz w:val="22"/>
          <w:szCs w:val="22"/>
        </w:rPr>
        <w:t xml:space="preserve">公司处于有色金属产业链中上游，整体属于“资源采选和特色深加工相对高毛利、外购非标金及部分冶炼贸易环节薄利”的综合企业。其利润改善主要取决于自产矿产金和自产锑钨产量提升、资源储量持续增长、外购原料占比下降、黄金和锑价格维持高位以及采选冶成本控制，而不是单纯依赖外购非标金业务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320.29亿元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同比增长12.63%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归母净利润9.57亿元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同比增长46.01%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501.81亿元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同比增长80.26%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归母净利润14.88亿元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同比增长75.77%</w:t>
            </w:r>
          </w:p>
        </w:tc>
      </w:tr>
    </w:tbl>
    <w:p>
      <w:pPr>
        <w:spacing w:after="200"/>
      </w:pPr>
      <w:r>
        <w:rPr>
          <w:i/>
          <w:iCs/>
          <w:color w:val="595959"/>
          <w:sz w:val="18"/>
          <w:szCs w:val="18"/>
        </w:rPr>
        <w:t xml:space="preserve">截至2026年6月30日，最新一期财报为《2026年半年度报告》，公告披露日为2026年8月20日至21日。2026年上半年扣非归母净利润为9.61亿元，同比增长46.31%；基本每股收益为0.61元，同比增长45.24%；加权平均净资产收益率为11.14%，同比提高1.96个百分点。2025年全年扣非归母净利润为15.27亿元，同比增长75.52%；基本每股收益为0.95元，同比增长75.93%；加权平均净资产收益率为19.05%。</w:t>
      </w:r>
    </w:p>
    <w:p>
      <w:pPr>
        <w:spacing w:after="160" w:line="300"/>
      </w:pPr>
      <w:r>
        <w:rPr>
          <w:sz w:val="22"/>
          <w:szCs w:val="22"/>
        </w:rPr>
        <w:t xml:space="preserve">2026年上半年收入和盈利均实现增长，归母净利润增速明显高于收入增速，主要受黄金价格上涨、黄金业务毛利率改善以及管理费用下降等因素推动。同期经营活动产生的现金流量净额为-1.06亿元，上年同期为4.98亿元，同比下降121.19%，主要原因为存货增加。截至2026年6月30日，总资产为99.16亿元，较2025年末增长5.09%；归属于上市公司股东的净资产为86.04亿元，较2025年末增长6.01%；每股净资产约5.51元。业务方面，2026年上半年黄金收入303.28亿元，占营业收入约94.69%；锑品收入约13.84亿元；钨品收入约2.02亿元。外购非标金业务毛利率仅为0.09%，收入规模与利润弹性并不完全匹配。黄金、锑、钨产量同比下降，后续需关注金属价格、产量恢复、存货占用及销售兑现情况。</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根据同花顺截至2026年9月12日汇总的机构预测，近6个月内共有8家机构对湖南黄金2026年度业绩作出预测。营业收入预测存在页面抓取和展示口径差异：机构逐项预测的2026—2028年营业收入大致分别为522.64亿至707.20亿元、524.73亿至758.43亿元、540.90亿至834.22亿元，因此表中的营业收入均值属于第三方终端汇总数据，不应视为公司指引或统一口径的卖方一致预期。机构归母净利润预测区间约为：2026年16.59亿至25.02亿元，2027年18.27亿至29.35亿元，2028年20.19亿至36.94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机构预测平均值632.66亿元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归母净利润预测平均值20.86亿元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同比增长约40.19%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预测平均值1.33元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机构预测平均值约723.68亿元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归母净利润预测平均值23.50亿元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研究纪要未披露统一同比增速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预测平均值1.50元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机构预测平均值约816亿元至约834亿元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归母净利润预测平均值28.40亿元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研究纪要未披露统一同比增速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预测平均值1.82元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2026—2028年归母净利润预测为18.54亿元、19.05亿元、26.33亿元；EPS预测为1.19元、1.22元、1.68元；营业收入未在摘要中完整披露。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2026—2028年营业收入预测为646.98亿元、711.68亿元、769.40亿元；归母净利润预测为17.41亿元、19.54亿元、21.86亿元；EPS未在摘要中单独完整列示。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评级信息未显示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归母净利润预测为16.59亿元、18.27亿元、20.19亿元；EPS预测为1.06元、1.17元、1.29元。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2026—2028年营业收入预测为707.2亿元、758.4亿元、834.2亿元；归母净利润预测为18.1亿元、19.7亿元、22.3亿元；EPS预测为1.16元、1.26元、1.43元。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2026—2028年归母净利润预测为25.02亿元、29.35亿元、36.94亿元；EPS预测为1.60元、1.88元、2.36元，属于相对乐观情景。</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首次覆盖报告目标价39.25元，估值依据为2026年25倍PE；预计2026—2028年归母净利润为24.61亿元、27.53亿元、29.58亿元，EPS为1.57元、1.76元、1.89元。</w:t>
            </w:r>
          </w:p>
        </w:tc>
      </w:tr>
    </w:tbl>
    <w:p>
      <w:pPr>
        <w:spacing w:before="200"/>
      </w:pPr>
    </w:p>
    <w:p>
      <w:pPr>
        <w:spacing w:after="160" w:line="300"/>
      </w:pPr>
      <w:r>
        <w:rPr>
          <w:sz w:val="22"/>
          <w:szCs w:val="22"/>
        </w:rPr>
        <w:t xml:space="preserve">截至2026年9月11日收盘，股价为27.50元，总市值约429.73亿元，动态市盈率约24.01倍，扣非动态市盈率约23.47倍，市净率约4.95倍，总股本为15.63亿股。按机构平均EPS预测，2026—2028年对应预测PE约为20.7倍、18.3倍和15.1倍；按主要券商预测，中邮证券对应PE约为22.09倍、21.50倍、15.56倍，财信证券约为24.44倍、21.78倍、19.47倍，国金证券约为21倍、19倍、17倍。富途截至2026年9月6日汇总12位分析师数据，目标价平均值为36.48元，最高39.25元，最低33.71元；其中39.25元为国泰海通证券单一机构报告目标价，不能等同于市场一致目标价。总体看，公司当前静态或TTM市盈率约24倍、PB约5倍，估值当前不低；若黄金、锑价格维持高位且机构盈利预测兑现，前瞻PE有望下降至约15—21倍区间。估值消化取决于金属价格、自产金及锑品产量恢复、经营现金流改善以及万古矿区相关资产重组进展。</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重大资产重组获湖南省国资委原则批复</w:t>
      </w:r>
    </w:p>
    <w:p>
      <w:pPr>
        <w:spacing w:after="160" w:line="300"/>
      </w:pPr>
      <w:r>
        <w:rPr>
          <w:sz w:val="22"/>
          <w:szCs w:val="22"/>
        </w:rPr>
        <w:t xml:space="preserve">2026年9月9日，湖南黄金收到控股股东湖南省矿产资源集团有限责任公司转发的湖南省国资委批复。湖南省国资委原则同意公司通过发行股份方式购买湖南黄金天岳矿业有限公司100%股权及湖南中南黄金冶炼有限公司100%股权，购买价格不低于经备案的资产评估值，并同意公司非公开发行股票募集配套资金不超过10.5亿元。本次交易仍需履行深交所审核、中国证监会注册等程序，最终实施时间存在不确定性。</w:t>
      </w:r>
    </w:p>
    <w:p>
      <w:pPr>
        <w:pStyle w:val="Heading2"/>
        <w:spacing w:after="120" w:before="240"/>
      </w:pPr>
      <w:r>
        <w:rPr>
          <w:b/>
          <w:bCs/>
          <w:color w:val="2E74B5"/>
          <w:sz w:val="24"/>
          <w:szCs w:val="24"/>
        </w:rPr>
        <w:t xml:space="preserve">4.2 重大资产重组方案获股东会审议通过</w:t>
      </w:r>
    </w:p>
    <w:p>
      <w:pPr>
        <w:spacing w:after="160" w:line="300"/>
      </w:pPr>
      <w:r>
        <w:rPr>
          <w:sz w:val="22"/>
          <w:szCs w:val="22"/>
        </w:rPr>
        <w:t xml:space="preserve">2026年9月11日，湖南黄金召开2026年第三次临时股东会，发行股份购买资产、募集配套资金及关联交易相关议案均获通过。其中，发行股份购买资产及募集配套资金方案同意股数为131,989,948股，占参加表决股份的95.4823%；提请股东会授权董事会办理本次交易相关事宜的议案，同意股数为131,281,548股，占94.9698%。控股股东及关联方对相关议案履行回避表决。</w:t>
      </w:r>
    </w:p>
    <w:p>
      <w:pPr>
        <w:pStyle w:val="Heading2"/>
        <w:spacing w:after="120" w:before="240"/>
      </w:pPr>
      <w:r>
        <w:rPr>
          <w:b/>
          <w:bCs/>
          <w:color w:val="2E74B5"/>
          <w:sz w:val="24"/>
          <w:szCs w:val="24"/>
        </w:rPr>
        <w:t xml:space="preserve">4.3 重组标的及交易方案</w:t>
      </w:r>
    </w:p>
    <w:p>
      <w:pPr>
        <w:spacing w:after="160" w:line="300"/>
      </w:pPr>
      <w:r>
        <w:rPr>
          <w:sz w:val="22"/>
          <w:szCs w:val="22"/>
        </w:rPr>
        <w:t xml:space="preserve">湖南黄金拟通过发行股份方式购买湖南黄金天岳矿业有限公司100%股权、湖南中南黄金冶炼有限公司100%股权，交易对方包括湖南黄金集团有限责任公司、湖南天岳投资集团有限公司等。同时，公司拟向不超过35名符合条件的特定投资者发行股份募集配套资金。本次交易预计构成重大资产重组和关联交易，但不构成重组上市，交易完成后公司控股股东及实际控制人不发生变化。此前披露的交易总对价约43.34亿元，发行股份购买资产的发行价格为16.76元/股。</w:t>
      </w:r>
    </w:p>
    <w:p>
      <w:pPr>
        <w:pStyle w:val="Heading2"/>
        <w:spacing w:after="120" w:before="240"/>
      </w:pPr>
      <w:r>
        <w:rPr>
          <w:b/>
          <w:bCs/>
          <w:color w:val="2E74B5"/>
          <w:sz w:val="24"/>
          <w:szCs w:val="24"/>
        </w:rPr>
        <w:t xml:space="preserve">4.4 配套募集资金上限调整至10.5亿元</w:t>
      </w:r>
    </w:p>
    <w:p>
      <w:pPr>
        <w:spacing w:after="160" w:line="300"/>
      </w:pPr>
      <w:r>
        <w:rPr>
          <w:sz w:val="22"/>
          <w:szCs w:val="22"/>
        </w:rPr>
        <w:t xml:space="preserve">2026年8月方案调整后，募集配套资金上限由不超过10亿元调整为不超过10.5亿元，最新批复及当前方案均采用10.5亿元口径。配套募集资金拟用于支付中介机构费用及相关税费、标的公司补充流动资金及偿还债务等。最终发行数量、发行价格及实际募集金额仍以监管审核、注册及后续发行结果为准。</w:t>
      </w:r>
    </w:p>
    <w:p>
      <w:pPr>
        <w:pStyle w:val="Heading2"/>
        <w:spacing w:after="120" w:before="240"/>
      </w:pPr>
      <w:r>
        <w:rPr>
          <w:b/>
          <w:bCs/>
          <w:color w:val="2E74B5"/>
          <w:sz w:val="24"/>
          <w:szCs w:val="24"/>
        </w:rPr>
        <w:t xml:space="preserve">4.5 重组停牌及后续审核进展</w:t>
      </w:r>
    </w:p>
    <w:p>
      <w:pPr>
        <w:spacing w:after="160" w:line="300"/>
      </w:pPr>
      <w:r>
        <w:rPr>
          <w:sz w:val="22"/>
          <w:szCs w:val="22"/>
        </w:rPr>
        <w:t xml:space="preserve">因拟调整重大资产重组方案，公司自2026年8月20日起停牌，并于2026年8月27日复牌。截至2026年9月12日，本次重组已取得湖南省国资委原则性批复并经股东会审议通过，但尚未完成资产交割和股份发行，后续仍需等待深交所审核及中国证监会注册，不能表述为重组完成或已获监管注册。</w:t>
      </w:r>
    </w:p>
    <w:p>
      <w:pPr>
        <w:pStyle w:val="Heading2"/>
        <w:spacing w:after="120" w:before="240"/>
      </w:pPr>
      <w:r>
        <w:rPr>
          <w:b/>
          <w:bCs/>
          <w:color w:val="2E74B5"/>
          <w:sz w:val="24"/>
          <w:szCs w:val="24"/>
        </w:rPr>
        <w:t xml:space="preserve">4.6 披露内幕信息知情人买卖股票自查报告</w:t>
      </w:r>
    </w:p>
    <w:p>
      <w:pPr>
        <w:spacing w:after="160" w:line="300"/>
      </w:pPr>
      <w:r>
        <w:rPr>
          <w:sz w:val="22"/>
          <w:szCs w:val="22"/>
        </w:rPr>
        <w:t xml:space="preserve">2026年9月9日，公司披露本次交易相关内幕信息知情人买卖股票情况的自查报告，以及中金公司、招商证券和律师事务所出具的专项核查意见。公开公告未显示该事项导致本次重组被监管暂停或中止，但后续仍需以深交所及中国证监会审核结果为准。</w:t>
      </w:r>
    </w:p>
    <w:p>
      <w:pPr>
        <w:pStyle w:val="Heading2"/>
        <w:spacing w:after="120" w:before="240"/>
      </w:pPr>
      <w:r>
        <w:rPr>
          <w:b/>
          <w:bCs/>
          <w:color w:val="2E74B5"/>
          <w:sz w:val="24"/>
          <w:szCs w:val="24"/>
        </w:rPr>
        <w:t xml:space="preserve">4.7 半年度业绩及近期股东动态</w:t>
      </w:r>
    </w:p>
    <w:p>
      <w:pPr>
        <w:spacing w:after="160" w:line="300"/>
      </w:pPr>
      <w:r>
        <w:rPr>
          <w:sz w:val="22"/>
          <w:szCs w:val="22"/>
        </w:rPr>
        <w:t xml:space="preserve">公司披露的2026年半年度报告显示，2026年上半年归属于上市公司股东的净利润为9.573亿元，同比增长46.01%，基本每股收益0.61元。近期未发现公司发布新的股份回购方案、回购实施进展公告或控股股东明确增持计划，也未发现控股股东在2026年8月20日至9月12日期间披露新的减持计划。2026年9月4日公司发生一笔9万股大宗交易，成交均价25.50元，成交金额229.5万元，公开信息未显示交易双方为重要股东，暂不宜解读为明确的股东减持信号。</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27.50元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-1.04元 / -3.64%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28.05元 / 28.24元 / 26.90元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约837.70万手，约8,376.97万股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约22.98亿元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约429.73亿元 / 约429.69亿元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约28.95倍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43.67元 / 19.71元；具体发生日期缺失</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9月9日上涨10.02%至28.45元，9月10日收于28.54元，9月11日回落至27.50元；短线波动率明显上升</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约27.26元 / 27.05元 / 26.46元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当前股价高于MA5约0.9%、高于MA10约1.7%、高于MA20约3.9%；均线仍呈MA5高于MA10、MA10高于MA20的短期多头排列，但9月11日放量回落，强势状态有所降温。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公开技术分析资料显示处于低位金叉或修复状态；DIF、DEA及柱体精确数值缺失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短线多头动能有所恢复，但持续性仍需成交量和价格进一步确认。该判断主要来自单一公开技术分析页面，可靠性低于交易所原始行情数据。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约57.8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处于中性偏强区间，尚未达到通常意义上的超买水平，但已不属于低位超卖状态。该数值为基于近期收盘价、采用简单平均涨跌幅方法计算的估算值，可能与不同终端显示值存在差异。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中轨约26.46元，上轨约28.97元，下轨约23.95元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布林中轨与上轨之间，距离上轨约1.47元；此前快速接近上轨后回落但未跌破中轨，技术形态仍偏强，不过短期波动明显放大。数据为自行计算结果，可能因复权方式及标准差口径不同而与软件终端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9月11日超大单净流入-6,426.92万元，大单净流入-10,107.76万元，合计约-1.65亿元；小单净流入+19,955.65万元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主要大资金净流出、小单资金净流入，资金结构偏向散户承接或主力兑现。9月7日至9月11日超大单与大单合计约净流入3.34亿元，但资金主要集中于9月9日，9月10日和9月11日连续净流出，短期资金面更接近单日集中介入后的快速分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最近5日平均成交额约24.21亿元，平均换手率约5.66%；单日成交额12.93亿~40.53亿元，换手率3.17%~9.47%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当前成交活跃、筹码交换较快，短线流动性较好；但高换手也意味着多空分歧和价格波动风险加大。</w:t>
            </w:r>
          </w:p>
        </w:tc>
      </w:tr>
    </w:tbl>
    <w:p>
      <w:pPr>
        <w:spacing w:before="200"/>
      </w:pPr>
    </w:p>
    <w:p>
      <w:pPr>
        <w:spacing w:after="160" w:line="300"/>
      </w:pPr>
      <w:r>
        <w:rPr>
          <w:sz w:val="22"/>
          <w:szCs w:val="22"/>
        </w:rPr>
        <w:t xml:space="preserve">湖南黄金股价在8月下旬快速放量上行后进入高位震荡，9月9日上涨10.02%并于9月10日收于28.54元，9月11日高开后走弱，收盘27.50元，跌幅3.64%，且接近当日低位。当前股价仍高于MA5、MA10和MA20，均线结构暂未破坏，且位于布林中轨与上轨之间，技术形态仍偏强；但9月11日成交额约22.98亿元、换手率5.36%，同时超大单与大单合计净流出约1.65亿元，显示快速拉升后的获利盘兑现和资金分歧增加。短线重点在于27.0~27.3元支撑能否维持、26.2~26.5元强支撑是否失守，以及28.2~29.0元压力区突破时能否获得成交量和大单资金流向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28.2~29.0元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对应9月11日当日高点28.24元、近期收盘高点28.92元及布林上轨约28.97元。若放量突破29.0元附近，可能打开向前期阶段高点29.5元附近运行的空间，但需要量价配合确认。</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27.0~27.3元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对应MA5约27.26元、MA10约27.05元及近期交易密集区域。若在该区间缩量企稳，短期均线结构仍可能维持；若有效跌破，则需关注更低支撑。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26.2~26.5元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对应MA20约26.46元、9月2日收盘价26.21元及近期平台区域。若有效跌破，短线调整可能进一步指向25.6~26.0元一带。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面与资金流向的主观判断，不是统计概率）：参考价格区间为26.8~28.5元。触发条件包括股价在27.0~27.3元附近获得承接，成交额回落至约15亿~25亿元但未出现连续放量下跌，黄金及有色金属板块未明显转弱，且28.2~29.0元压力区暂时难以有效突破。</w:t>
      </w:r>
    </w:p>
    <w:p>
      <w:pPr>
        <w:pStyle w:val="ListParagraph"/>
        <w:numPr>
          <w:ilvl w:val="0"/>
          <w:numId w:val="2"/>
        </w:numPr>
        <w:spacing w:after="80" w:line="280"/>
      </w:pPr>
      <w:r>
        <w:rPr>
          <w:sz w:val="22"/>
          <w:szCs w:val="22"/>
        </w:rPr>
        <w:t xml:space="preserve">偏弱下行（权重中等；该权重为基于当前技术面与资金流向的主观判断，不是统计概率）：参考价格区间为25.6~27.0元。触发条件包括收盘有效跌破27.0元附近，随后继续跌破MA20约26.46元，主力资金连续多个交易日净流出，且单日成交额维持在20亿元以上但价格持续收低。若26.2~26.5元强支撑失守，下一观察区域可能下移至25.6~26.0元；若黄金价格回落或有色板块普跌，调整压力可能进一步放大。</w:t>
      </w:r>
    </w:p>
    <w:p>
      <w:pPr>
        <w:pStyle w:val="ListParagraph"/>
        <w:numPr>
          <w:ilvl w:val="0"/>
          <w:numId w:val="2"/>
        </w:numPr>
        <w:spacing w:after="80" w:line="280"/>
      </w:pPr>
      <w:r>
        <w:rPr>
          <w:sz w:val="22"/>
          <w:szCs w:val="22"/>
        </w:rPr>
        <w:t xml:space="preserve">反弹走强（权重偏低至中等；该权重为基于当前技术面与资金流向的主观判断，不是统计概率）：参考价格区间为28.2~29.5元。触发条件包括股价重新站上28.2~28.5元，单日成交额重新放大至30亿元以上，大单资金由净流出转为连续净流入，且黄金及贵金属板块同步走强。若有效突破28.9~29.0元并保持量价配合，短线可能重新测试29.5元附近的阶段压力；但不能仅依据MACD金叉推断。</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成交额为12.93亿~40.53亿元，换手率为3.17%~9.47%，平均成交额约24.21亿元、平均换手率约5.66%，属于成交较活跃、筹码交换较快的状态。股东结构数据截至2026年6月30日，具有季度滞后性：股东户数为179,950户，户均持股约8,683.81股；按公开披露的前十大股东持股比例简单相加，合计约43.23%。其中控股股东湖南黄金集团有限责任公司持股35.06%，是集中度的主要来源；前十大股东中同时包括前海开源金银珠宝主题精选基金、永赢中证沪深港黄金主题基金、南方中证申万有色金属ETF、华夏中证沪深港黄金主题ETF、香港中央结算有限公司等机构或机构通道持仓。该数据明显滞后于2026年9月11日行情，且前十大股东比例不等同于全部流通筹码集中度；9月9日至9月11日股价和成交量放大后，实际筹码结构可能已经变化。因此，当前盘面流动性较好但价格对资金流向敏感，高换手对应较快筹码交换和较大的短线波动风险。</w:t>
      </w:r>
    </w:p>
    <w:p>
      <w:pPr>
        <w:spacing w:after="160" w:line="300"/>
      </w:pPr>
      <w:r>
        <w:rPr>
          <w:sz w:val="22"/>
          <w:szCs w:val="22"/>
        </w:rPr>
        <w:t xml:space="preserve">若后续单日成交额重新放大至30亿元以上，同时超大单与大单合计净流入，且收盘价站稳28.2~28.5元，可视为短线资金重新增强的量价确认信号；若成交额超过20亿元但股价连续收低、主力资金继续净流出，则需警惕放量滞涨或高位派发特征。</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观察27.0~27.3元区域能否获得承接，以及价格是否维持在MA5、MA10附近。</w:t>
      </w:r>
    </w:p>
    <w:p>
      <w:pPr>
        <w:pStyle w:val="ListParagraph"/>
        <w:numPr>
          <w:ilvl w:val="0"/>
          <w:numId w:val="2"/>
        </w:numPr>
        <w:spacing w:after="80" w:line="280"/>
      </w:pPr>
      <w:r>
        <w:rPr>
          <w:sz w:val="22"/>
          <w:szCs w:val="22"/>
        </w:rPr>
        <w:t xml:space="preserve">观察26.2~26.5元强支撑是否被有效跌破，以及是否向25.6~26.0元区域扩展。</w:t>
      </w:r>
    </w:p>
    <w:p>
      <w:pPr>
        <w:pStyle w:val="ListParagraph"/>
        <w:numPr>
          <w:ilvl w:val="0"/>
          <w:numId w:val="2"/>
        </w:numPr>
        <w:spacing w:after="80" w:line="280"/>
      </w:pPr>
      <w:r>
        <w:rPr>
          <w:sz w:val="22"/>
          <w:szCs w:val="22"/>
        </w:rPr>
        <w:t xml:space="preserve">观察28.2~29.0元压力区突破时，是否同步出现30亿元以上成交额及大单资金净流入。</w:t>
      </w:r>
    </w:p>
    <w:p>
      <w:pPr>
        <w:pStyle w:val="ListParagraph"/>
        <w:numPr>
          <w:ilvl w:val="0"/>
          <w:numId w:val="2"/>
        </w:numPr>
        <w:spacing w:after="80" w:line="280"/>
      </w:pPr>
      <w:r>
        <w:rPr>
          <w:sz w:val="22"/>
          <w:szCs w:val="22"/>
        </w:rPr>
        <w:t xml:space="preserve">核对主力资金是否由2026年9月10日至11日的连续净流出转为净流入；以上均为观察思路，非买入、卖出或持有指令。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黄金价格及重组事项进展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湖南黄金所属的黄金、锑、钨等有色金属行业，核心竞争要素包括资源储量和可控资源量、自产矿产金规模、采选冶成本、矿山寿命、资源获取能力、深加工能力及销售渠道。公司以黄金收入和规模为主，以锑资源及深加工形成差异化，钨业务主要体现为伴生资源综合利用和业务补充。</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黄金行业：国内黄金行业资源整合加快、行业集中度持续提升，大型黄金集团占据主导。湖南黄金属于国内中大型黄金企业，但与紫金矿业、山东黄金、中金黄金相比，在资源规模、自产黄金产量和海外布局方面存在差距。</w:t>
      </w:r>
    </w:p>
    <w:p>
      <w:pPr>
        <w:pStyle w:val="ListParagraph"/>
        <w:numPr>
          <w:ilvl w:val="0"/>
          <w:numId w:val="2"/>
        </w:numPr>
        <w:spacing w:after="80" w:line="280"/>
      </w:pPr>
      <w:r>
        <w:rPr>
          <w:sz w:val="22"/>
          <w:szCs w:val="22"/>
        </w:rPr>
        <w:t xml:space="preserve">锑行业：全球锑资源主要集中于中国、俄罗斯、塔吉克斯坦和玻利维亚等少数国家。2024年国内锑原料产量为46,223吨（金属量），锑锭产量为66,534吨，三氧化二锑产量为91,700吨。</w:t>
      </w:r>
    </w:p>
    <w:p>
      <w:pPr>
        <w:pStyle w:val="ListParagraph"/>
        <w:numPr>
          <w:ilvl w:val="0"/>
          <w:numId w:val="2"/>
        </w:numPr>
        <w:spacing w:after="80" w:line="280"/>
      </w:pPr>
      <w:r>
        <w:rPr>
          <w:sz w:val="22"/>
          <w:szCs w:val="22"/>
        </w:rPr>
        <w:t xml:space="preserve">锑行业政策：2024年8月，商务部和海关总署发布公告，对部分锑相关物项实施出口管制，自2024年9月15日起实施，强化了锑资源的战略属性和供应约束。</w:t>
      </w:r>
    </w:p>
    <w:p>
      <w:pPr>
        <w:pStyle w:val="ListParagraph"/>
        <w:numPr>
          <w:ilvl w:val="0"/>
          <w:numId w:val="2"/>
        </w:numPr>
        <w:spacing w:after="80" w:line="280"/>
      </w:pPr>
      <w:r>
        <w:rPr>
          <w:sz w:val="22"/>
          <w:szCs w:val="22"/>
        </w:rPr>
        <w:t xml:space="preserve">湖南黄金在锑行业具备较大规模锑资源、2.5万吨/年精锑冶炼能力、4万吨/年多品种锑产品能力，以及从矿山到冶炼、氧化锑、阻燃材料和出口的产业链，竞争地位相对其单纯黄金业务更具特色。</w:t>
      </w:r>
    </w:p>
    <w:p>
      <w:pPr>
        <w:pStyle w:val="ListParagraph"/>
        <w:numPr>
          <w:ilvl w:val="0"/>
          <w:numId w:val="2"/>
        </w:numPr>
        <w:spacing w:after="80" w:line="280"/>
      </w:pPr>
      <w:r>
        <w:rPr>
          <w:sz w:val="22"/>
          <w:szCs w:val="22"/>
        </w:rPr>
        <w:t xml:space="preserve">钨行业：中国钨资源储量和产量处于全球重要地位，行业受到开采总量控制政策影响。2024年度全国钨精矿开采总量控制指标为11.4万吨（三氧化钨含量65%）。</w:t>
      </w:r>
    </w:p>
    <w:p>
      <w:pPr>
        <w:pStyle w:val="ListParagraph"/>
        <w:numPr>
          <w:ilvl w:val="0"/>
          <w:numId w:val="2"/>
        </w:numPr>
        <w:spacing w:after="80" w:line="280"/>
      </w:pPr>
      <w:r>
        <w:rPr>
          <w:sz w:val="22"/>
          <w:szCs w:val="22"/>
        </w:rPr>
        <w:t xml:space="preserve">钨行业竞争重点包括资源获取、采选成本、仲钨酸铵和钨粉等中间产品加工能力，以及硬质合金等下游深加工能力。湖南黄金钨品收入占公司总收入不足1%，当前并非主要利润中心。</w:t>
      </w:r>
    </w:p>
    <w:p>
      <w:pPr>
        <w:pStyle w:val="ListParagraph"/>
        <w:numPr>
          <w:ilvl w:val="0"/>
          <w:numId w:val="2"/>
        </w:numPr>
        <w:spacing w:after="80" w:line="280"/>
      </w:pPr>
      <w:r>
        <w:rPr>
          <w:sz w:val="22"/>
          <w:szCs w:val="22"/>
        </w:rPr>
        <w:t xml:space="preserve">公司不存在业务结构完全一致的上市可比公司，黄金、锑、钨业务应分别进行比较；研究纪要列示的可比公司主要属于分业务可比，而非完全可比。</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山东黄金（600547）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黄金矿山开采、选冶和黄金销售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黄金资源、自产矿产金规模和黄金主业规模较大；锑、钨业务较少。</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中金黄金（600489）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黄金资源开发、采选、冶炼和销售</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背靠中国黄金集团，黄金业务规模和集团资源协同能力较强；锑、钨产业链布局不如湖南黄金完整。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紫金矿业（601899）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全球综合性矿业集团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涉及金、铜、锌、锂等多种金属，在海外资源、矿山运营、成本控制和资源并购方面是湖南黄金的重要标杆，但并非完全同业公司。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华锡有色（600301）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锡、锑、铟、铅、锌等有色金属资源开发和冶炼</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与湖南黄金存在较直接的锑业务竞争，优势在于锡、锑、铟等多金属资源综合利用和广西资源基地。</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华钰矿业（601020）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铅、锑、银等有色金属矿产资源开发</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在国内资源项目和海外锑资源布局方面具有特点，与湖南黄金在锑资源和锑产品方面存在竞争，但整体规模、黄金业务及冶炼深加工体系存在差异。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恒邦股份、湖南白银、株冶集团、豫光金铅</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锑冶炼或综合有色金属业务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在锑冶炼或综合有色金属领域存在部分竞争，属于分业务可比公司。</w:t>
            </w:r>
          </w:p>
        </w:tc>
      </w:tr>
    </w:tbl>
    <w:p>
      <w:pPr>
        <w:spacing w:before="200"/>
      </w:pPr>
    </w:p>
    <w:p>
      <w:pPr>
        <w:spacing w:after="160" w:line="300"/>
      </w:pPr>
      <w:r>
        <w:rPr>
          <w:sz w:val="22"/>
          <w:szCs w:val="22"/>
        </w:rPr>
        <w:t xml:space="preserve">湖南黄金的相对优势在于国内金锑钨伴生矿开发、较大规模锑资源、采选冶一体化、锑产品深加工及出口渠道；相较山东黄金和中金黄金，公司黄金资源规模、自产黄金产量及集团协同能力较弱；相较紫金矿业，公司海外资源和综合矿业规模不足；相较华锡有色和华钰矿业，公司黄金业务规模及金锑钨综合产业链更突出。由于公司2024年外购非标金业务占营业收入82.26%，进行收入规模、毛利率和经营效率比较时，应区分自产资源业务、冶炼加工业务和外购黄金业务。</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黄金业务及收入集中度较高：2026年上半年黄金收入占营业收入约94.69%，2024年黄金收入占比90.42%；若黄金价格回落，公司收入和利润可能受到较大影响。</w:t>
      </w:r>
    </w:p>
    <w:p>
      <w:pPr>
        <w:pStyle w:val="ListParagraph"/>
        <w:numPr>
          <w:ilvl w:val="0"/>
          <w:numId w:val="2"/>
        </w:numPr>
        <w:spacing w:after="80" w:line="280"/>
      </w:pPr>
      <w:r>
        <w:rPr>
          <w:sz w:val="22"/>
          <w:szCs w:val="22"/>
        </w:rPr>
        <w:t xml:space="preserve">外购非标金业务收入规模大但盈利薄：2024年外购非标金业务占营业收入82.26%，2026年上半年该业务毛利率仅0.09%，收入增长可能无法同比例转化为利润增长，且外部原料采购规模会影响库存、现金流和经营风险。</w:t>
      </w:r>
    </w:p>
    <w:p>
      <w:pPr>
        <w:pStyle w:val="ListParagraph"/>
        <w:numPr>
          <w:ilvl w:val="0"/>
          <w:numId w:val="2"/>
        </w:numPr>
        <w:spacing w:after="80" w:line="280"/>
      </w:pPr>
      <w:r>
        <w:rPr>
          <w:sz w:val="22"/>
          <w:szCs w:val="22"/>
        </w:rPr>
        <w:t xml:space="preserve">自产资源产量存在波动：2025年黄金产量大幅增长主要与外购非标金业务增加有关，锑品和钨品产量分别同比下降21.26%和4.96%；2026年上半年黄金、锑、钨产量同比下降，若产量恢复不及预期，自有资源利润贡献可能受限。</w:t>
      </w:r>
    </w:p>
    <w:p>
      <w:pPr>
        <w:pStyle w:val="ListParagraph"/>
        <w:numPr>
          <w:ilvl w:val="0"/>
          <w:numId w:val="2"/>
        </w:numPr>
        <w:spacing w:after="80" w:line="280"/>
      </w:pPr>
      <w:r>
        <w:rPr>
          <w:sz w:val="22"/>
          <w:szCs w:val="22"/>
        </w:rPr>
        <w:t xml:space="preserve">经营现金流和存货占用承压：2026年上半年经营活动现金流量净额为-1.06亿元，较上年同期下降121.19%，主要原因为存货增加；若存货继续增长或金属价格波动，公司资金周转和利润兑现可能受到影响。</w:t>
      </w:r>
    </w:p>
    <w:p>
      <w:pPr>
        <w:pStyle w:val="ListParagraph"/>
        <w:numPr>
          <w:ilvl w:val="0"/>
          <w:numId w:val="2"/>
        </w:numPr>
        <w:spacing w:after="80" w:line="280"/>
      </w:pPr>
      <w:r>
        <w:rPr>
          <w:sz w:val="22"/>
          <w:szCs w:val="22"/>
        </w:rPr>
        <w:t xml:space="preserve">重大资产重组尚未完成：本次交易仍需通过深交所审核和中国证监会注册，并完成股份发行及资产交割；若审核、注册或后续实施进度不及预期，天岳矿业及中南黄金冶炼相关资产的协同和增量贡献将无法按预期落地。</w:t>
      </w:r>
    </w:p>
    <w:p>
      <w:pPr>
        <w:pStyle w:val="ListParagraph"/>
        <w:numPr>
          <w:ilvl w:val="0"/>
          <w:numId w:val="2"/>
        </w:numPr>
        <w:spacing w:after="80" w:line="280"/>
      </w:pPr>
      <w:r>
        <w:rPr>
          <w:sz w:val="22"/>
          <w:szCs w:val="22"/>
        </w:rPr>
        <w:t xml:space="preserve">重组可能带来股本结构变化及整合不确定性：公司拟发行股份购买约43.34亿元资产并募集配套资金不超过10.5亿元，最终发行价格、发行数量和实际募集金额尚未确定，交易完成后的盈利摊薄、资产整合和债务安排仍需观察。</w:t>
      </w:r>
    </w:p>
    <w:p>
      <w:pPr>
        <w:pStyle w:val="ListParagraph"/>
        <w:numPr>
          <w:ilvl w:val="0"/>
          <w:numId w:val="2"/>
        </w:numPr>
        <w:spacing w:after="80" w:line="280"/>
      </w:pPr>
      <w:r>
        <w:rPr>
          <w:sz w:val="22"/>
          <w:szCs w:val="22"/>
        </w:rPr>
        <w:t xml:space="preserve">锑、钨业务受政策和供需影响：锑产品受到出口管制、资源供应和海外销售价格变化影响，钨产品受到开采总量控制及下游硬质合金需求影响，公司虽具备资源和深加工能力，但无法完全规避价格和政策波动。</w:t>
      </w:r>
    </w:p>
    <w:p>
      <w:pPr>
        <w:pStyle w:val="ListParagraph"/>
        <w:numPr>
          <w:ilvl w:val="0"/>
          <w:numId w:val="2"/>
        </w:numPr>
        <w:spacing w:after="80" w:line="280"/>
      </w:pPr>
      <w:r>
        <w:rPr>
          <w:sz w:val="22"/>
          <w:szCs w:val="22"/>
        </w:rPr>
        <w:t xml:space="preserve">短期股价波动和资金分歧较大：9月9日股价上涨10.02%后，9月11日回落3.64%，当日超大单及大单合计净流出约1.65亿元；近期平均换手率约5.66%，若27.0—27.3元及26.2—26.5元支撑区域失守，短线波动压力可能进一步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具备金、锑、钨资源以及采选、冶炼、精炼和深加工一体化能力，其中自有资源采选业务毛利率显著高于外购非标金和冶炼环节。黄金业务仍是收入和利润的主要基础，锑资源及深加工则构成差异化竞争优势。若黄金、锑价格保持较强，且自产黄金及锑钨产品产量恢复，外购原料占比下降，公司盈利质量和利润率仍有改善空间。</w:t>
      </w:r>
    </w:p>
    <w:p>
      <w:pPr>
        <w:spacing w:after="160" w:line="300"/>
      </w:pPr>
      <w:r>
        <w:rPr>
          <w:sz w:val="22"/>
          <w:szCs w:val="22"/>
        </w:rPr>
        <w:t xml:space="preserve">重大资产重组可能扩大公司资源储备、冶炼能力和产业链协同，但交易尚未完成，最终评估值、发行数量、募集资金规模及监管审核结果均可能影响实施节奏和股本结构。机构预测显示市场对2026—2028年收入和利润继续增长存在预期，但预测区间差异较大，实际兑现仍取决于金属价格、产量、库存和现金流等因素。</w:t>
      </w:r>
    </w:p>
    <w:p>
      <w:pPr>
        <w:spacing w:after="160" w:line="300"/>
      </w:pPr>
      <w:r>
        <w:rPr>
          <w:sz w:val="22"/>
          <w:szCs w:val="22"/>
        </w:rPr>
        <w:t xml:space="preserve">展望后续，公司需要重点观察自产资源产量是否恢复、外购非标金业务的规模与低毛利特征是否变化、存货占用能否缓解，以及重组审核注册和资产交割进展。技术面上，27.0—27.3元为短期重要观察区域，26.2—26.5元为更强支撑区间，28.2—29.0元面临压力；这些价位仅反映基于历史交易和技术指标的情景判断，不代表对未来走势的保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湖南黄金股份有限公司2024年年度报告全文 — https://static.cninfo.com.cn/finalpage/2025-04-11/1223058050.PDF?utm_source=openai</w:t>
      </w:r>
    </w:p>
    <w:p>
      <w:pPr>
        <w:spacing w:after="200"/>
      </w:pPr>
      <w:r>
        <w:rPr>
          <w:i/>
          <w:iCs/>
          <w:color w:val="595959"/>
          <w:sz w:val="18"/>
          <w:szCs w:val="18"/>
        </w:rPr>
        <w:t xml:space="preserve">https://static.cninfo.com.cn/finalpage/2025-04-11/1223058050.PDF — https://static.cninfo.com.cn/finalpage/2025-04-11/1223058050.PDF</w:t>
      </w:r>
    </w:p>
    <w:p>
      <w:pPr>
        <w:spacing w:after="200"/>
      </w:pPr>
      <w:r>
        <w:rPr>
          <w:i/>
          <w:iCs/>
          <w:color w:val="595959"/>
          <w:sz w:val="18"/>
          <w:szCs w:val="18"/>
        </w:rPr>
        <w:t xml:space="preserve">湖南黄金: 2025年年度报告_股票频道_证券之星 — https://stock.stockstar.com/notice/SN2026040900034443.shtml?utm_source=openai</w:t>
      </w:r>
    </w:p>
    <w:p>
      <w:pPr>
        <w:spacing w:after="200"/>
      </w:pPr>
      <w:r>
        <w:rPr>
          <w:i/>
          <w:iCs/>
          <w:color w:val="595959"/>
          <w:sz w:val="18"/>
          <w:szCs w:val="18"/>
        </w:rPr>
        <w:t xml:space="preserve">https://static.cninfo.com.cn/finalpage/2024-03-26/1219405101.PDF — https://static.cninfo.com.cn/finalpage/2024-03-26/1219405101.PDF</w:t>
      </w:r>
    </w:p>
    <w:p>
      <w:pPr>
        <w:spacing w:after="200"/>
      </w:pPr>
      <w:r>
        <w:rPr>
          <w:i/>
          <w:iCs/>
          <w:color w:val="595959"/>
          <w:sz w:val="18"/>
          <w:szCs w:val="18"/>
        </w:rPr>
        <w:t xml:space="preserve">〖行业深度〗洞察2024：中国锑行业竞争格局及市场份额(附市场集中度、企业竞争力等)_行业研究报告 - 前瞻网 — https://www.qianzhan.com/analyst/detail/220/240607-ebfe9c33.html?utm_source=openai</w:t>
      </w:r>
    </w:p>
    <w:p>
      <w:pPr>
        <w:spacing w:after="200"/>
      </w:pPr>
      <w:r>
        <w:rPr>
          <w:i/>
          <w:iCs/>
          <w:color w:val="595959"/>
          <w:sz w:val="18"/>
          <w:szCs w:val="18"/>
        </w:rPr>
        <w:t xml:space="preserve">https://static.cninfo.com.cn/finalpage/2026-08-21/1225485721.PDF — https://static.cninfo.com.cn/finalpage/2026-08-21/1225485721.PDF</w:t>
      </w:r>
    </w:p>
    <w:p>
      <w:pPr>
        <w:spacing w:after="200"/>
      </w:pPr>
      <w:r>
        <w:rPr>
          <w:i/>
          <w:iCs/>
          <w:color w:val="595959"/>
          <w:sz w:val="18"/>
          <w:szCs w:val="18"/>
        </w:rPr>
        <w:t xml:space="preserve">湖南黄金(002155)_公司公告_湖南黄金：2026年半年度报告新浪财经_新浪网 — https://money.finance.sina.com.cn/corp/view/vCB_AllBulletinDetail.php?id=12510956&amp;stockid=002155</w:t>
      </w:r>
    </w:p>
    <w:p>
      <w:pPr>
        <w:spacing w:after="200"/>
      </w:pPr>
      <w:r>
        <w:rPr>
          <w:i/>
          <w:iCs/>
          <w:color w:val="595959"/>
          <w:sz w:val="18"/>
          <w:szCs w:val="18"/>
        </w:rPr>
        <w:t xml:space="preserve">湖南黄金股份有限公司2025年年度报告全文 — https://disc.static.szse.cn/download/disc/disk03/finalpage/2026-04-10/215033dc-683f-437d-82ee-2a72e241ebab.PDF?utm_source=openai</w:t>
      </w:r>
    </w:p>
    <w:p>
      <w:pPr>
        <w:spacing w:after="200"/>
      </w:pPr>
      <w:r>
        <w:rPr>
          <w:i/>
          <w:iCs/>
          <w:color w:val="595959"/>
          <w:sz w:val="18"/>
          <w:szCs w:val="18"/>
        </w:rPr>
        <w:t xml:space="preserve">湖南黄金股份有限公司2025年年度报告全文 — https://disc.static.szse.cn/disc/disk03/finalpage/2026-04-10/215033dc-683f-437d-82ee-2a72e241ebab.PDF?utm_source=openai</w:t>
      </w:r>
    </w:p>
    <w:p>
      <w:pPr>
        <w:spacing w:after="200"/>
      </w:pPr>
      <w:r>
        <w:rPr>
          <w:i/>
          <w:iCs/>
          <w:color w:val="595959"/>
          <w:sz w:val="18"/>
          <w:szCs w:val="18"/>
        </w:rPr>
        <w:t xml:space="preserve">湖南黄金(002155) 盈利预测_F10_同花顺金融服务网 — https://basic.10jqka.com.cn/002155/worth.html</w:t>
      </w:r>
    </w:p>
    <w:p>
      <w:pPr>
        <w:spacing w:after="200"/>
      </w:pPr>
      <w:r>
        <w:rPr>
          <w:i/>
          <w:iCs/>
          <w:color w:val="595959"/>
          <w:sz w:val="18"/>
          <w:szCs w:val="18"/>
        </w:rPr>
        <w:t xml:space="preserve">湖南黄金 (002155)股票预测和分析师评级 - 富途牛牛 — https://www.futunn.com/stock/002155-SZ/forecast?utm_source=openai</w:t>
      </w:r>
    </w:p>
    <w:p>
      <w:pPr>
        <w:spacing w:after="200"/>
      </w:pPr>
      <w:r>
        <w:rPr>
          <w:i/>
          <w:iCs/>
          <w:color w:val="595959"/>
          <w:sz w:val="18"/>
          <w:szCs w:val="18"/>
        </w:rPr>
        <w:t xml:space="preserve">湖南黄金(002155)首次覆盖报告：金、锑龙头 金矿资源注入有望贡献增量__新浪财经_新浪网 — https://stock.finance.sina.com.cn/stock/go.php/vReport_Show/kind/lastest/rptid/830347980442/index.phtml?utm_source=openai</w:t>
      </w:r>
    </w:p>
    <w:p>
      <w:pPr>
        <w:spacing w:after="200"/>
      </w:pPr>
      <w:r>
        <w:rPr>
          <w:i/>
          <w:iCs/>
          <w:color w:val="595959"/>
          <w:sz w:val="18"/>
          <w:szCs w:val="18"/>
        </w:rPr>
        <w:t xml:space="preserve">湖南黄金(002155)_历史上榜数据 — https://data.cfi.cn/cfi_lhb_stock.aspx?stockcode=002155&amp;utm_source=openai</w:t>
      </w:r>
    </w:p>
    <w:p>
      <w:pPr>
        <w:spacing w:after="200"/>
      </w:pPr>
      <w:r>
        <w:rPr>
          <w:i/>
          <w:iCs/>
          <w:color w:val="595959"/>
          <w:sz w:val="18"/>
          <w:szCs w:val="18"/>
        </w:rPr>
        <w:t xml:space="preserve">湖南黄金(002155)公司公告_新浪财经_新浪网 — https://vip.stock.finance.sina.com.cn/corp/go.php/vCB_AllBulletin/stockid/002155.phtml?ftype=lsgg</w:t>
      </w:r>
    </w:p>
    <w:p>
      <w:pPr>
        <w:spacing w:after="200"/>
      </w:pPr>
      <w:r>
        <w:rPr>
          <w:i/>
          <w:iCs/>
          <w:color w:val="595959"/>
          <w:sz w:val="18"/>
          <w:szCs w:val="18"/>
        </w:rPr>
        <w:t xml:space="preserve">湖南黄金(002155)_公司公告_湖南黄金：关于重大资产重组获得湖南省国资委批复的公告新浪财经_新浪网 — https://vip.stock.finance.sina.com.cn/corp/view/vCB_AllBulletinDetail.php?id=12592488&amp;stockid=002155&amp;utm_source=openai</w:t>
      </w:r>
    </w:p>
    <w:p>
      <w:pPr>
        <w:spacing w:after="200"/>
      </w:pPr>
      <w:r>
        <w:rPr>
          <w:i/>
          <w:iCs/>
          <w:color w:val="595959"/>
          <w:sz w:val="18"/>
          <w:szCs w:val="18"/>
        </w:rPr>
        <w:t xml:space="preserve">深市上市公司公告（7月24日） — https://stock.10jqka.com.cn/20260724/c678405380.shtml?utm_source=openai</w:t>
      </w:r>
    </w:p>
    <w:p>
      <w:pPr>
        <w:spacing w:after="200"/>
      </w:pPr>
      <w:r>
        <w:rPr>
          <w:i/>
          <w:iCs/>
          <w:color w:val="595959"/>
          <w:sz w:val="18"/>
          <w:szCs w:val="18"/>
        </w:rPr>
        <w:t xml:space="preserve">https://static.cninfo.com.cn/finalpage/2026-07-09/1225416014.PDF — https://static.cninfo.com.cn/finalpage/2026-07-09/1225416014.PDF</w:t>
      </w:r>
    </w:p>
    <w:p>
      <w:pPr>
        <w:spacing w:after="200"/>
      </w:pPr>
      <w:r>
        <w:rPr>
          <w:i/>
          <w:iCs/>
          <w:color w:val="595959"/>
          <w:sz w:val="18"/>
          <w:szCs w:val="18"/>
        </w:rPr>
        <w:t xml:space="preserve">湖南黄金(002155)_公司公告_湖南黄金：2026年第三次临时股东会决议公告新浪财经_新浪网 — https://money.finance.sina.com.cn/corp/view/vCB_AllBulletinDetail.php?id=12599095&amp;stockid=002155&amp;utm_source=openai</w:t>
      </w:r>
    </w:p>
    <w:p>
      <w:pPr>
        <w:spacing w:after="200"/>
      </w:pPr>
      <w:r>
        <w:rPr>
          <w:i/>
          <w:iCs/>
          <w:color w:val="595959"/>
          <w:sz w:val="18"/>
          <w:szCs w:val="18"/>
        </w:rPr>
        <w:t xml:space="preserve">湖南黄金_ 个股日历 _ 东方财富网_ 数据频道 — https://data.eastmoney.com/stockcalendar/002155.html?utm_source=openai</w:t>
      </w:r>
    </w:p>
    <w:p>
      <w:pPr>
        <w:spacing w:after="200"/>
      </w:pPr>
      <w:r>
        <w:rPr>
          <w:i/>
          <w:iCs/>
          <w:color w:val="595959"/>
          <w:sz w:val="18"/>
          <w:szCs w:val="18"/>
        </w:rPr>
        <w:t xml:space="preserve">湖南黄金(002155)业绩公告_湖南黄金历史业绩报告_证券之星 — https://stock.quote.stockstar.com/finance/performance_002155.shtml?utm_source=openai</w:t>
      </w:r>
    </w:p>
    <w:p>
      <w:pPr>
        <w:spacing w:after="200"/>
      </w:pPr>
      <w:r>
        <w:rPr>
          <w:i/>
          <w:iCs/>
          <w:color w:val="595959"/>
          <w:sz w:val="18"/>
          <w:szCs w:val="18"/>
        </w:rPr>
        <w:t xml:space="preserve">湖南黄金(002155)_新闻动态_证券之星 — https://stock.quote.stockstar.com/info_002155.shtml?utm_source=openai</w:t>
      </w:r>
    </w:p>
    <w:p>
      <w:pPr>
        <w:spacing w:after="200"/>
      </w:pPr>
      <w:r>
        <w:rPr>
          <w:i/>
          <w:iCs/>
          <w:color w:val="595959"/>
          <w:sz w:val="18"/>
          <w:szCs w:val="18"/>
        </w:rPr>
        <w:t xml:space="preserve">湖南黄金(002155) 公司大事_F10_同花顺金融服务网 — https://basic.10jqka.com.cn/002155/event.html?utm_source=openai</w:t>
      </w:r>
    </w:p>
    <w:p>
      <w:pPr>
        <w:spacing w:after="200"/>
      </w:pPr>
      <w:r>
        <w:rPr>
          <w:i/>
          <w:iCs/>
          <w:color w:val="595959"/>
          <w:sz w:val="18"/>
          <w:szCs w:val="18"/>
        </w:rPr>
        <w:t xml:space="preserve">湖南黄金(002155)交易提示_证券之星 — https://stock.quote.stockstar.com/info/notice_002155.shtml?utm_source=openai</w:t>
      </w:r>
    </w:p>
    <w:p>
      <w:pPr>
        <w:spacing w:after="200"/>
      </w:pPr>
      <w:r>
        <w:rPr>
          <w:i/>
          <w:iCs/>
          <w:color w:val="595959"/>
          <w:sz w:val="18"/>
          <w:szCs w:val="18"/>
        </w:rPr>
        <w:t xml:space="preserve">湖南黄金(002155)公告(全部) - 理杏仁 — https://www.lixinger.com/equity/company/detail/sz/002155/2155/announcement?utm_source=openai</w:t>
      </w:r>
    </w:p>
    <w:p>
      <w:pPr>
        <w:spacing w:after="200"/>
      </w:pPr>
      <w:r>
        <w:rPr>
          <w:i/>
          <w:iCs/>
          <w:color w:val="595959"/>
          <w:sz w:val="18"/>
          <w:szCs w:val="18"/>
        </w:rPr>
        <w:t xml:space="preserve">本报告由AI基于公开渠道信息自动检索、整理并生成，信息截至 截至2026年9月11日收盘；2026年9月13日为星期日，A股当日无交易。价格、成交及技术指标主要基于2026年9月11日数据。52周高低点仅有价格区间，具体发生日期缺失。，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2026-09-13T12:23:43.589Z</dcterms:created>
  <dcterms:modified xsi:type="dcterms:W3CDTF">2026-09-13T12:23:43.589Z</dcterms:modified>
</cp:coreProperties>
</file>

<file path=docProps/custom.xml><?xml version="1.0" encoding="utf-8"?>
<Properties xmlns="http://schemas.openxmlformats.org/officeDocument/2006/custom-properties" xmlns:vt="http://schemas.openxmlformats.org/officeDocument/2006/docPropsVTypes"/>
</file>