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澳洋健康 (002172)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行业：医疗服务与医药流通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报告日期：2026年11月2日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行情截至2026-11-02收盘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核心结论：主题资金把128倍PE的薄利医院股推至新高，基本面未跟上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6.50元（+9.98%）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约49.77亿元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128.73倍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23.32倍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2.73～6.50元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12.24亿元／25.05%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近5日涨幅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+49.77%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行情数据截至：2026-11-02收盘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Q3单季改善靠低基数与非经常损益</w:t>
      </w:r>
      <w:r>
        <w:rPr>
          <w:sz w:val="22"/>
          <w:szCs w:val="22"/>
        </w:rPr>
        <w:t xml:space="preserve">：Q3归母1332万元同比+55.68%、扣非+255.89%，但前三季扣非-13.75%，非经常损益占前三季归母净利26%。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收入连降与毛利率下坠是主要矛盾</w:t>
      </w:r>
      <w:r>
        <w:rPr>
          <w:sz w:val="22"/>
          <w:szCs w:val="22"/>
        </w:rPr>
        <w:t xml:space="preserve">：前三季收入12.49亿元同比-8.22%，毛利率降至12.17%；2025年医疗收入-4.0%、物流-16.3%，新物流中心产能利用率不足40%。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估值处历史高位，价格已透支</w:t>
      </w:r>
      <w:r>
        <w:rPr>
          <w:sz w:val="22"/>
          <w:szCs w:val="22"/>
        </w:rPr>
        <w:t xml:space="preserve">：收盘6.50元、PE(TTM)128.73倍（近5.2年99%分位）、PS 2.94倍（100%分位）、PB 23.32倍，无一致预期与机构目标价可参照。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：无多机构一致预测样本；市场按脑机接口/康复主题定价，6个交易日涨52.9%，PE 128.73倍、PS处近5.2年100%分位，隐含的是主题叙事而非盈利增长。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：现有证据与主题叙事背离：收入-8.22%、扣非-13.75%、经营现金流-8182万元、归母净资产仅2.13亿元，Q3改善来自低基数与非经常损益，没有可持续增长数据支撑当前估值。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证据倾向：偏空；置信度：中（无机构盈利预测、部分财务字段仍缺官方核验或披露日期）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基本面收入、扣非、现金流均走弱，估值处历史高位，但主题资金与高换手使短期方向不确定。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在张家港运营三级综合医院等医疗机构并向本地患者收取诊疗费用，同时以7%毛利率向8000余家下游客户配送药品器械。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医疗服务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53.90%（FY2025）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19.12%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-4.0%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贡献75%毛利，三级医院资质，2026H1毛利率降至16.77%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医药物流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46.10%（FY2025）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7.34%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-16.3%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搬运费生意，仅贡献25%毛利，新物流中心产能利用率不足40%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澳洋医院总院2020年获评三级综合医院，为张家港稀缺准入资质，是医保定点与人才引进门槛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省级临床重点专科建设单位1个、苏州市级重点专科3个、张家港市级9个，区域学科资质有积累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医药物流为国家AAAA级物流企业、GSP仓储3.2万㎡、全国药品流通百强，但规模仅8.3亿元</w:t>
      </w:r>
    </w:p>
    <w:p>
      <w:pPr>
        <w:spacing w:after="160" w:line="300"/>
      </w:pPr>
      <w:r>
        <w:rPr>
          <w:sz w:val="22"/>
          <w:szCs w:val="22"/>
        </w:rPr>
        <w:t xml:space="preserve">主要威胁：公立医院品牌与人才优势挤压、医保DRG/DIP与集采压价、收入连降下固定成本刚性反噬（2026H1医疗毛利率骤降5.17pct）。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医疗服务真实投入是药品、耗材器械、设备折旧与医护人力：2023年药品支出2.805亿元占营业成本14.92%、人员支出2.319亿元占12.33%，人力成本刚性无议价力。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医药物流上游为药企及一级代理商，公司是价格接受者；两票制与集采制度性压缩加价空间，毛利率长期在6.7%-7.5%间波动，无趋势性改善。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医疗服务客户为张家港本地患者，支付方以医保基金为主，医保局是单一强势买方，单价由DRG/DIP与医疗服务价格目录决定；直接面对张家港市第一人民医院、市中医医院等公立医院竞争。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医药物流为B2B配送，下游8,000余家医疗机构与药店，客户分散但单体医院和连锁药店议价强势，回款周期由下游主导。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客户与供应商集中度均低（下游8,000余家客户），但FY2025前五大客户及供应商占比未披露，具体以年报全文为准。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2026H1净利润+2,415万元而经营现金流-4,977万元，靠筹资4,980万元补缺口；FY2025经营现金流/净利仅0.31，利润现金含量不稳定，产业链中不掌握资金主动权。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14.16%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-0.76%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粘胶已剥离，医疗毛利率21.01%为峰值，遗留处置费用拖累净利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13.48%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2.29%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医疗收入+3.9%摊薄固定成本，物流被集采压价毛利率降0.53pct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13.39%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2.02%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医疗量价双弱毛利率-0.62pct，物流降本对冲收入-11.8%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13.69%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2.29%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医疗缩量毛利率-0.80pct，物流缩量保价毛利率+0.61pct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13.17%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医疗毛利率单期下坠5.17pct至16.77%，床位收缩量跌固定成本摊薄恶化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处在微笑曲线中游偏下游：区域民营医院+薄利流通商，赚服务量与差价而非资源垄断或品牌溢价，净利率仅约2%；毛利率改善只能靠床位利用率恢复、肿瘤/骨科/医美等高毛利专科占比提升与物流规模效应，医保控价下无提价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医疗服务强监管、强区域化，公立医院占绝对主导，民营只能在专科、康复、医美做差异化；医药流通低毛利拼规模，两票制与集采持续压缩加价空间，公司两个赛道均为区域小玩家。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盈康生命（300143）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医疗服务，规模接近的区域民营医院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2022年毛利率20.76%；PE(TTM) 87.53倍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业务结构与规模最可比，澳洋毛利率略高但净利率更薄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新里程（002219）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中西部医疗服务集团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2022年毛利率23.52%；PE(TTM) 98.54倍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区域与业务结构不同，毛利率高于澳洋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创新医疗（002173）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东北地区医疗服务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2022年毛利率6.30%；PE(TTM) 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另有珍珠业务拖累，毛利率显著低于澳洋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南京医药（600713）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区域性医药流通商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2022年毛利率6.31%；PE(TTM) 10.85倍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与澳洋物流7.47%接近，规模远大于澳洋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九州通（600998）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全国性医药流通巨头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2022年毛利率7.66%；PE(TTM) 13.68倍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毛利率相近但规模与资金实力远超澳洋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优势在三级医院资质与区域医联体网络带来的本地流量，医疗服务毛利率高于4家可比平均17.89%；短板是规模仅18亿元、物流产能利用率不足40%、净资产约1-2亿元且负债率近90%，扩张与抗风险能力均受限。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2026年第三季度（单季）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4.26亿元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-6.91%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+55.68%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+255.89%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约12.41%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2026年前三季度（累计）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12.49亿元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-8.22%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0.37亿元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-6.55%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-13.75%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约12.17%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18.07亿元人民币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-10.10%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0.41亿元人民币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+1.80%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-24.68%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13.70%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20.10亿元人民币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-7.54%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0.41亿元人民币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-18.36%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+19.35%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13.39%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8项，8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前三季度收入、归母及扣非利润均下降，累计毛利率降至12.17%；Q3单季利润增速转正，但毛利率仍同比回落。2025年归母微增而扣非下降，利润受非经常性损益支撑。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89.3%，2026年9月末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负债占资产比重高，杠杆压力突出。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约0.64，2026年9月末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流动资产不足以覆盖流动负债。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-218.3%，2026年前三季度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经营现金流为负，利润现金转化承压。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19.26%，2026年前三季度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净资产基数较小，ROE不宜视作稳定回报。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3.36亿元，较年末+14.2%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应收增长叠加经营现金流为负，需跟踪回款。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约49.77亿元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128.73倍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近5.2年99%分位（中位数77.17倍）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中位数50.61倍（盈康生命87.53、新里程98.54、南京医药10.85、九州通13.68）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23.32倍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近5.2年53%分位（中位数21.22倍）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中位数3.02倍（盈康生命3.02、新里程3.37、创新医疗4.51、南京医药0.95、九州通0.98）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近5.2年100%分位（中位数1.33倍）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中位数2.29倍（盈康生命3.55、新里程2.29、创新医疗10.48、南京医药0.12、九州通0.16）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0.00%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估值倍数由程序按2026-11-02收盘数据计算（滚动十二个月口径）；同行倍数按2026-11-02收盘数据同口径计算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128.73倍市盈率计，若投资者要求年化8%的回报、10年后按15倍市盈率估值，每股收益需年均增长约33.9%（不计分红，偏保守）。当前利润基数偏低、市盈率失真，这一增速只是算术结果，不宜直接当作市场预期。</w:t>
      </w:r>
    </w:p>
    <w:p>
      <w:pPr>
        <w:spacing w:after="160" w:line="300"/>
      </w:pPr>
      <w:r>
        <w:rPr>
          <w:sz w:val="22"/>
          <w:szCs w:val="22"/>
        </w:rPr>
        <w:t xml:space="preserve">PE(TTM)128.73倍处近5.2年99%分位、PS 2.94倍处100%分位，PB 23.32倍处53%分位；医药流通同业PE仅10.85-13.68倍、PB不足1倍，医院同业PB 3.02-4.51倍。利润基数低使PE对波动极敏感，价格已计入主题预期，缺乏盈利支撑。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机构观点</w:t>
      </w:r>
    </w:p>
    <w:p>
      <w:pPr>
        <w:spacing w:after="160" w:line="300"/>
      </w:pPr>
      <w:r>
        <w:rPr>
          <w:sz w:val="22"/>
          <w:szCs w:val="22"/>
        </w:rPr>
        <w:t xml:space="preserve">无。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2027-01-31前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2026年度业绩预告（若触发披露条件）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是否触及净利同比变动超50%或期末净资产为负；净资产仅2.13亿元，安全垫薄，触发即利空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2027-04-30前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2026年年报披露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经营现金流能否转正、短期借款与资产负债率是否回落、毛利率能否守住12%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2027-04-30前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2027年一季报披露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收入能否止住下滑（前三季-8.22%），扣非能否恢复正增长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2026年12月下旬至2027年1月初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深交所公布年报预约披露时间表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公司年报预约日；若排在4月下旬，业绩不确定性持续时间更长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2026-11-02 10天内两度异动，股价6日涨52.9%（中性）</w:t>
      </w:r>
      <w:r>
        <w:rPr>
          <w:sz w:val="22"/>
          <w:szCs w:val="22"/>
        </w:rPr>
        <w:t xml:space="preserve">：10-21至10-23跌幅偏离超20%，10-28至10-30连续三日涨停，10-30与11-02涨幅偏离再超20%。公司两度公告称经营正常、无应披露未披露事项，控股股东异动期间未买卖股票。上涨由脑机接口/康复政策主题资金推动，无公司层面事件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2026-10-23 三季报：Q3扣非增255.89%，现金流恶化（中性）</w:t>
      </w:r>
      <w:r>
        <w:rPr>
          <w:sz w:val="22"/>
          <w:szCs w:val="22"/>
        </w:rPr>
        <w:t xml:space="preserve">：Q3归母净利1332万元同比+55.68%，但前三季扣非-13.75%、经营现金流净额-8182万元（同比-185.53%），短期借款较年初+30.12%，归母净资产仅2.13亿元。Q3改善主要来自低基数与非经常性损益（占前三季归母净利26%），不构成正向催化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2026-10-22 董事会通过8000万元理财额度（中性）</w:t>
      </w:r>
      <w:r>
        <w:rPr>
          <w:sz w:val="22"/>
          <w:szCs w:val="22"/>
        </w:rPr>
        <w:t xml:space="preserve">：拟用不超过8000万元自有资金购买低风险理财，额度8个月内可滚动使用，无需股东会审议。额度约为9月末归母净资产的37%，与短期借款增加并存，显示资本开支意愿偏低，非业绩催化剂。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2026-10-21 二股东澳洋集团新增质押220万股（利空）</w:t>
      </w:r>
      <w:r>
        <w:rPr>
          <w:sz w:val="22"/>
          <w:szCs w:val="22"/>
        </w:rPr>
        <w:t xml:space="preserve">：占其持股2.68%、总股本0.29%，方向为质押融资。澳洋集团持股10.735%，为持股5%以上股东，需跟踪其质押比例变化及后续减持计划。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张家港三级综合医院为稀缺准入资质，医疗服务贡献75%毛利，区域学科资质有积累。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Q3单季归母净利同比+55.68%、扣非+255.89%，低基数下利润端出现改善迹象。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股价创52周新高、放量涨停，脑机接口/康复主题资金活跃，短期情绪强。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前三季收入-8.22%、扣非-13.75%，毛利率降至12.17%，医疗毛利率单期下坠5.17pct。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前三季经营现金流-8182万元、同比-185.53%，利润现金含量差，靠筹资补缺口。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 128.73倍处近5.2年99%分位、PS 100%分位，显著高于医药流通同业10.85-13.68倍。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医保DRG/DIP与集采持续压价→医疗与物流毛利率进一步下行，直接压缩净利。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资产负债率89.3%、流动比率约0.64，短期借款较年初+30.12%→利息支出侵蚀利润，再融资摊薄风险。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二股东澳洋集团新增质押220万股→若质押比例上升或减持，压制估值与股价。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归母净资产仅2.13亿元→若全年亏损或净资产为负，触发业绩预告与估值重估。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单季收入增速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Q3单季-6.91%，前三季-8.22%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Q4单季收入同比转正或降幅收窄至3%以内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Q4单季收入降幅扩大至10%以上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累计毛利率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前三季约12.17%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年报毛利率回到13%以上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年报毛利率跌破12%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前三季-8182万元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全年经营现金流转正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全年经营现金流仍为负且缺口扩大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短期借款与负债率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短期借款较年初+30.12%，负债率89.3%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短期借款回落、负债率降至85%以下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短期借款继续增加、负债率升破90%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风险提示：以下为基于当前技术面与资金面的主观情景推演，不构成投资建议。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股价6个交易日涨52.9%并创52周新高，短线严重超买、乖离率偏大，PE(TTM)处于近5年99%分位而基本面未改善，上涨由主题资金推动。技术面强势但追高风险高，需观察放量后能否在5.4~6.6元区间企稳。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均线结构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5.42 / MA10 5.09 / MA20 5.38 / MA60 4.78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多头排列但价格已远超MA5，短期乖离率偏大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0.129 / DEA 0.061 / 柱 0.136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零轴上方金叉，动能强但处于加速末端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79.0 / RSI14 65.4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短线超买，追高面临回撤风险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6.60 / 中轨 5.38 / 下轨 4.17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价格触及上轨并创52周新高，波动率放大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最新量1.22倍于20日均量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放量涨停确认资金介入，但换手25%显示筹码松动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6.50~6.60元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52周新高与布林上轨重合，有效突破需成交额维持12亿元以上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5.38~5.42元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MA20与MA5交汇处，失守则回落至MA10 5.09元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4.78~5.09元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MA60与MA10区间，跌破则打开向布林下轨4.17元的空间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以2026-11-02价格6.50元为基准，用近300个交易日的收益分布（按当前指数加权日波动率约6.9%缩放，保留这只股票自身的大涨大跌频率）推算未来5个交易日的收盘价范围：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5.52～7.40元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-15.1%～+13.8%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4.66～10.28元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-28.3%～+58.2%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：股价在5.4~6.6元区间高位震荡消化超买，主题资金退潮但未出现放量破位，日成交额回落至5~8亿元。按历史波动率测算，一周后收盘落在该区间的概率约45%。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偏弱下行（相对权重中等，约三成）</w:t>
      </w:r>
      <w:r>
        <w:rPr>
          <w:sz w:val="22"/>
          <w:szCs w:val="22"/>
        </w:rPr>
        <w:t xml:space="preserve">：主题降温或大盘走弱，股价跌破MA5、MA20并下探4.78~5.09元强支撑区，成交额萎缩至5亿元以下。按历史波动率测算，一周后收盘落在该区间的概率约10%。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反弹走强（相对权重偏低，约两成）</w:t>
      </w:r>
      <w:r>
        <w:rPr>
          <w:sz w:val="22"/>
          <w:szCs w:val="22"/>
        </w:rPr>
        <w:t xml:space="preserve">：脑机接口/康复主题持续发酵，成交额维持在12亿元以上并有效突破6.6元，打开向7元上方空间。按历史波动率测算，一周后收盘落在该区间的概率约20%。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4.79~13.02亿元、换手率12.23%~29.99%，最新一日换手25.05%，交投高度活跃但筹码快速换手。截至2026-09-30前十大流通股东合计占36.26%，以张家港悦升（20.02%）、澳洋集团（10.74%）等产业及个人股东为主，高盛、摩根、巴克莱三家QFII各持0.28%~0.35%；该数据为季度披露口径，此后结构可能已变化。当前流动性充裕，但主题退潮时高换手易放大回撤。</w:t>
      </w:r>
    </w:p>
    <w:p>
      <w:pPr>
        <w:spacing w:after="160" w:line="300"/>
      </w:pPr>
      <w:r>
        <w:rPr>
          <w:sz w:val="22"/>
          <w:szCs w:val="22"/>
        </w:rPr>
        <w:t xml:space="preserve">若单日成交额持续放大至13亿元以上且收盘站稳6.6元，可视为资金二次介入信号。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-11-02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公司概况-江苏澳洋健康产业股份有限公司 — http://www.ayjk.cn/?about/7.html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澳洋健康:2025年年度报告摘要_九方智投 — https://www.9fzt.com/detail/sz_002172_9_c7e6a69bc63dc35d0a953c95fe50cb46.html#1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澳洋健康:2024年年度报告摘要 _ 澳洋健康(002172) _ 公告正文 - 澳洋健康:2024年年度报告摘要 查看PDF原文 — https://data.eastmoney.com/notices/detail/002172/AN202504141656428460.html#1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蚂蚁理财社区 — https://render.alipay.com/p/yuyan/180020010001268694/news.html?newsId=257595513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江苏澳洋健康产业股份有限公司 - 江苏澳洋健康产业股份有限公司 — http://qiye.qizhidao.com/listed/cff642e6a5f9c0977e07a0c45d44a5a5.html#1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澳洋健康（002172）2026年半年度管理层讨论与分析-证券之星 — https://wap.stockstar.com/detail/RB2026081800018078#1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澳洋健康：2025年归属股东净利润4129万元，同比下降1.8%丨财面儿_财经网 — https://m.caijing.com.cn/article/202603/409586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澳洋健康上市公司信息 — https://m.hx168.com.cn/stock/F10/002172.html#1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2026年三季度报告 — https://static.cninfo.com.cn/finalpage/2026-10-23/1225617246.PDF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https://static.cninfo.com.cn/finalpage/2026-03-31/1225057440.PDF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https://static.cninfo.com.cn/finalpage/2025-04-15/1223094135.PDF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https://static.cninfo.com.cn/finalpage/2024-04-27/1219858505.PDF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腾讯财经行情（2026-11-02） — https://gu.qq.com/sz002172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合并资产负债表（2026三季报） — https://emweb.securities.eastmoney.com/pc_hsf10/pages/index.html?type=web&amp;code=SZ002172#/cwfx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https://static.cninfo.com.cn/finalpage/2026-08-18/1225477211.PDF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澳洋健康(002172)_公司公告_澳洋健康：2025年年度报告新浪财经_新浪网 — https://money.finance.sina.com.cn/corp/view/vCB_AllBulletinDetail.php?id=12042895&amp;stockid=002172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澳洋健康(002172):江苏澳洋健康产业股份有限公司第十届董事会第六次会议决议 — https://vipwt1.cfi.cn/p20261022002157.html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澳洋健康: 江苏澳洋健康产业股份有限公司第十届董事会第六次会议决议公告-证券之星 — https://wap.stockstar.com/detail/SN2026102200042199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澳洋健康：第十届董事会第六次会议决议公告 — https://finance.eastmoney.com/a/202610223904489869.html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澳洋健康：关于使用自有资金购买理财产品的公告 — https://www.163.com/dy/article/L9SM1S7305568W0A.html?referFrom=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澳洋健康(002172):江苏澳洋健康产业股份有限公司关于使用自有资金购买理财产品 — https://vipwt1.cfi.cn/p20261022002159.html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澳洋健康：关于持股5%以上股东部分股份质押的公告 — https://jg-static.eeo.com.cn/article/info?id=44d15b96f086499e2a7818d76fd1259e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澳洋健康公司公告 — http://news.stockstar.com/info/dstock_002172_c76.shtml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澳洋健康：第十届董事会第六次会议决议公告 — https://www.sohu.com/a/1091352257_122014422?scm=10001.7746_13-119000.0.0-0-0-0-0.0&amp;spm=smpc.channel_354.block3_32_P7Ovbu_1_fd.33.1792680853909QWrE7KE_7746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https://data.eastmoney.com/zjlx/002172.html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https://emweb.securities.eastmoney.com/pc_hsf10/pages/index.html?type=web&amp;code=SZ002172#/gdyj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2026-11-02收盘，可能存在时效性差异，具体数据请以公司正式公告及权威数据终端为准。本报告仅为信息整理与研究参考，不构成任何投资建议，投资者应独立判断并自行承担投资风险。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2026-11-02T15:46:07.969Z</dcterms:created>
  <dcterms:modified xsi:type="dcterms:W3CDTF">2026-11-02T15:46:07.969Z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