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金风科技 (002202)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行业：风电设备与运营</w:t>
      </w:r>
    </w:p>
    <w:p>
      <w:pPr>
        <w:jc w:val="center"/>
      </w:pPr>
      <w:r>
        <w:rPr>
          <w:color w:val="595959"/>
          <w:sz w:val="22"/>
          <w:szCs w:val="22"/>
        </w:rPr>
        <w:t xml:space="preserve">报告日期：2026年10月25日</w:t>
      </w:r>
    </w:p>
    <w:p>
      <w:pPr>
        <w:jc w:val="center"/>
      </w:pPr>
      <w:r>
        <w:rPr>
          <w:color w:val="595959"/>
          <w:sz w:val="20"/>
          <w:szCs w:val="20"/>
        </w:rPr>
        <w:t xml:space="preserve">行情截至2026-10-23收盘</w:t>
      </w:r>
    </w:p>
    <w:p>
      <w:pPr>
        <w:spacing w:before="800"/>
        <w:jc w:val="center"/>
      </w:pPr>
      <w:r>
        <w:rPr>
          <w:i/>
          <w:iCs/>
          <w:color w:val="595959"/>
          <w:sz w:val="18"/>
          <w:szCs w:val="18"/>
        </w:rPr>
        <w:t xml:space="preserve">本报告基于公开信息由AI自动整理生成，仅供参考，不构成投资建议</w:t>
      </w:r>
    </w:p>
    <w:p>
      <w:r>
        <w:br w:type="page"/>
      </w:r>
    </w:p>
    <w:p>
      <w:pPr>
        <w:spacing w:after="160" w:line="300"/>
      </w:pPr>
      <w:r>
        <w:rPr>
          <w:b/>
          <w:bCs/>
          <w:color w:val="1F4E79"/>
          <w:sz w:val="22"/>
          <w:szCs w:val="22"/>
        </w:rPr>
        <w:t xml:space="preserve">核心结论：份额领先与利润增长尚在，但三季度转弱使盈利修复仍待验证</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3200"/>
        <w:gridCol w:w="6700"/>
      </w:tblGrid>
      <w:tr>
        <w:trPr>
          <w:tblHeader/>
        </w:trPr>
        <w:tc>
          <w:tcPr>
            <w:tcW w:type="dxa" w:w="3200"/>
            <w:shd w:fill="1F4E79" w:val="clear"/>
            <w:tcMar>
              <w:top w:type="dxa" w:w="80"/>
              <w:left w:type="dxa" w:w="100"/>
              <w:bottom w:type="dxa" w:w="80"/>
              <w:right w:type="dxa" w:w="100"/>
            </w:tcMar>
            <w:vAlign w:val="center"/>
          </w:tcPr>
          <w:p>
            <w:pPr>
              <w:jc w:val="center"/>
            </w:pPr>
            <w:r>
              <w:rPr>
                <w:b/>
                <w:bCs/>
                <w:color w:val="FFFFFF"/>
                <w:sz w:val="20"/>
                <w:szCs w:val="20"/>
              </w:rPr>
              <w:t xml:space="preserve">关键数据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收盘价（当日涨跌幅）</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14.90元（+1.15%）</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约629.16亿元</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20.03倍</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1.56倍</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13.76～36.83元</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成交额/换手率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12.13亿元／2.50%</w:t>
            </w:r>
          </w:p>
        </w:tc>
      </w:tr>
    </w:tbl>
    <w:p>
      <w:pPr>
        <w:spacing w:before="200"/>
      </w:pPr>
    </w:p>
    <w:p>
      <w:pPr>
        <w:spacing w:after="200"/>
      </w:pPr>
      <w:r>
        <w:rPr>
          <w:i/>
          <w:iCs/>
          <w:color w:val="595959"/>
          <w:sz w:val="18"/>
          <w:szCs w:val="18"/>
        </w:rPr>
        <w:t xml:space="preserve">行情数据截至：2026-10-23收盘</w:t>
      </w:r>
    </w:p>
    <w:p>
      <w:pPr>
        <w:pStyle w:val="Heading1"/>
        <w:pBdr>
          <w:bottom w:val="single" w:color="1F4E79" w:sz="6" w:space="4"/>
        </w:pBdr>
        <w:spacing w:after="160" w:before="360"/>
      </w:pPr>
      <w:r>
        <w:rPr>
          <w:b/>
          <w:bCs/>
          <w:color w:val="1F4E79"/>
          <w:sz w:val="30"/>
          <w:szCs w:val="30"/>
        </w:rPr>
        <w:t xml:space="preserve">一、投资要点</w:t>
      </w:r>
    </w:p>
    <w:p>
      <w:pPr>
        <w:pStyle w:val="ListParagraph"/>
        <w:numPr>
          <w:ilvl w:val="0"/>
          <w:numId w:val="2"/>
        </w:numPr>
        <w:spacing w:after="80" w:line="280"/>
      </w:pPr>
      <w:r>
        <w:rPr>
          <w:b/>
          <w:bCs/>
          <w:sz w:val="22"/>
          <w:szCs w:val="22"/>
        </w:rPr>
        <w:t xml:space="preserve">三季度增长转负，修复势头受挫</w:t>
      </w:r>
      <w:r>
        <w:rPr>
          <w:sz w:val="22"/>
          <w:szCs w:val="22"/>
        </w:rPr>
        <w:t xml:space="preserve">：2026年前三季度归母净利增长11.25%、扣非增长23.34%；Q3单季营收、归母净利和扣非分别同比下降6.76%、6.95%、8.46%。</w:t>
      </w:r>
    </w:p>
    <w:p>
      <w:pPr>
        <w:pStyle w:val="ListParagraph"/>
        <w:numPr>
          <w:ilvl w:val="0"/>
          <w:numId w:val="2"/>
        </w:numPr>
        <w:spacing w:after="80" w:line="280"/>
      </w:pPr>
      <w:r>
        <w:rPr>
          <w:b/>
          <w:bCs/>
          <w:sz w:val="22"/>
          <w:szCs w:val="22"/>
        </w:rPr>
        <w:t xml:space="preserve">风机销售拉动收入，薄利与开发业务下滑制约利润</w:t>
      </w:r>
      <w:r>
        <w:rPr>
          <w:sz w:val="22"/>
          <w:szCs w:val="22"/>
        </w:rPr>
        <w:t xml:space="preserve">：2025年风机及零部件收入增长46.98%、毛利率8.95%；风电场开发收入下降19.90%，但毛利率43.16%，对利润贡献重要。</w:t>
      </w:r>
    </w:p>
    <w:p>
      <w:pPr>
        <w:pStyle w:val="ListParagraph"/>
        <w:numPr>
          <w:ilvl w:val="0"/>
          <w:numId w:val="2"/>
        </w:numPr>
        <w:spacing w:after="80" w:line="280"/>
      </w:pPr>
      <w:r>
        <w:rPr>
          <w:b/>
          <w:bCs/>
          <w:sz w:val="22"/>
          <w:szCs w:val="22"/>
        </w:rPr>
        <w:t xml:space="preserve">估值接近历史中枢，指标分位有所分化</w:t>
      </w:r>
      <w:r>
        <w:rPr>
          <w:sz w:val="22"/>
          <w:szCs w:val="22"/>
        </w:rPr>
        <w:t xml:space="preserve">：10月23日收盘14.90元，PE-TTM 20.03倍、PB-MRQ 1.56倍；PE处近5.2年43%分位，PB处61%分位。</w:t>
      </w:r>
    </w:p>
    <w:p>
      <w:pPr>
        <w:pStyle w:val="Heading2"/>
        <w:spacing w:after="120" w:before="240"/>
      </w:pPr>
      <w:r>
        <w:rPr>
          <w:b/>
          <w:bCs/>
          <w:color w:val="2E74B5"/>
          <w:sz w:val="24"/>
          <w:szCs w:val="24"/>
        </w:rPr>
        <w:t xml:space="preserve">市场预期与证据</w:t>
      </w:r>
    </w:p>
    <w:p>
      <w:pPr>
        <w:pStyle w:val="ListParagraph"/>
        <w:numPr>
          <w:ilvl w:val="0"/>
          <w:numId w:val="2"/>
        </w:numPr>
        <w:spacing w:after="80" w:line="280"/>
      </w:pPr>
      <w:r>
        <w:rPr>
          <w:b/>
          <w:bCs/>
          <w:sz w:val="22"/>
          <w:szCs w:val="22"/>
        </w:rPr>
        <w:t xml:space="preserve">市场在定价</w:t>
      </w:r>
      <w:r>
        <w:rPr>
          <w:sz w:val="22"/>
          <w:szCs w:val="22"/>
        </w:rPr>
        <w:t xml:space="preserve">：现价在给定回报及退出PE假设下隐含10年EPS年均增长11.2%；机构预测2026年净利润增长59.4%，但期限和指标不同，不能直接比较高低。</w:t>
      </w:r>
    </w:p>
    <w:p>
      <w:pPr>
        <w:pStyle w:val="ListParagraph"/>
        <w:numPr>
          <w:ilvl w:val="0"/>
          <w:numId w:val="2"/>
        </w:numPr>
        <w:spacing w:after="80" w:line="280"/>
      </w:pPr>
      <w:r>
        <w:rPr>
          <w:b/>
          <w:bCs/>
          <w:sz w:val="22"/>
          <w:szCs w:val="22"/>
        </w:rPr>
        <w:t xml:space="preserve">证据显示</w:t>
      </w:r>
      <w:r>
        <w:rPr>
          <w:sz w:val="22"/>
          <w:szCs w:val="22"/>
        </w:rPr>
        <w:t xml:space="preserve">：前三季度归母净利增长11.25%、扣非增长23.34%，但Q3单季利润转降；短期预测的高增长能否兑现，仍待后续业绩与风机盈利验证。</w:t>
      </w:r>
    </w:p>
    <w:p>
      <w:pPr>
        <w:spacing w:after="160" w:line="300"/>
      </w:pPr>
      <w:r>
        <w:rPr>
          <w:b/>
          <w:bCs/>
          <w:color w:val="1F4E79"/>
          <w:sz w:val="22"/>
          <w:szCs w:val="22"/>
        </w:rPr>
        <w:t xml:space="preserve">证据倾向：证据不足；置信度：低（部分财务字段仍缺官方核验或披露日期、部分论据存在期间或口径冲突，已屏蔽相关判断）</w:t>
      </w:r>
    </w:p>
    <w:p>
      <w:pPr>
        <w:spacing w:after="160" w:line="300"/>
      </w:pPr>
      <w:r>
        <w:rPr>
          <w:sz w:val="22"/>
          <w:szCs w:val="22"/>
        </w:rPr>
        <w:t xml:space="preserve">部分论据期间或口径未一致，相关比较已撤回。</w:t>
      </w:r>
    </w:p>
    <w:p>
      <w:pPr>
        <w:pStyle w:val="Heading1"/>
        <w:pBdr>
          <w:bottom w:val="single" w:color="1F4E79" w:sz="6" w:space="4"/>
        </w:pBdr>
        <w:spacing w:after="160" w:before="360"/>
      </w:pPr>
      <w:r>
        <w:rPr>
          <w:b/>
          <w:bCs/>
          <w:color w:val="1F4E79"/>
          <w:sz w:val="30"/>
          <w:szCs w:val="30"/>
        </w:rPr>
        <w:t xml:space="preserve">二、生意与竞争力</w:t>
      </w:r>
    </w:p>
    <w:p>
      <w:pPr>
        <w:pStyle w:val="Heading2"/>
        <w:spacing w:after="120" w:before="240"/>
      </w:pPr>
      <w:r>
        <w:rPr>
          <w:b/>
          <w:bCs/>
          <w:color w:val="2E74B5"/>
          <w:sz w:val="24"/>
          <w:szCs w:val="24"/>
        </w:rPr>
        <w:t xml:space="preserve">2.1 业务结构</w:t>
      </w:r>
    </w:p>
    <w:p>
      <w:pPr>
        <w:spacing w:after="160" w:line="300"/>
      </w:pPr>
      <w:r>
        <w:rPr>
          <w:sz w:val="22"/>
          <w:szCs w:val="22"/>
        </w:rPr>
        <w:t xml:space="preserve">销售风机及零部件为主，并通过风电场开发转让、风电服务及其他业务获得收入。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000"/>
        <w:gridCol w:w="1400"/>
        <w:gridCol w:w="1300"/>
        <w:gridCol w:w="1400"/>
        <w:gridCol w:w="3800"/>
      </w:tblGrid>
      <w:tr>
        <w:trPr>
          <w:tblHeader/>
        </w:trPr>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业务板块</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收入占比</w:t>
            </w:r>
          </w:p>
        </w:tc>
        <w:tc>
          <w:tcPr>
            <w:tcW w:type="dxa" w:w="13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收入增速</w:t>
            </w:r>
          </w:p>
        </w:tc>
        <w:tc>
          <w:tcPr>
            <w:tcW w:type="dxa" w:w="3800"/>
            <w:shd w:fill="1F4E79" w:val="clear"/>
            <w:tcMar>
              <w:top w:type="dxa" w:w="80"/>
              <w:left w:type="dxa" w:w="100"/>
              <w:bottom w:type="dxa" w:w="80"/>
              <w:right w:type="dxa" w:w="100"/>
            </w:tcMar>
            <w:vAlign w:val="center"/>
          </w:tcPr>
          <w:p>
            <w:pPr>
              <w:jc w:val="center"/>
            </w:pPr>
            <w:r>
              <w:rPr>
                <w:b/>
                <w:bCs/>
                <w:color w:val="FFFFFF"/>
                <w:sz w:val="20"/>
                <w:szCs w:val="20"/>
              </w:rPr>
              <w:t xml:space="preserve">要点</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风机及零部件销售</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2025年78.34%</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8.95%</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2025年同比+46.98%</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收入主体，直接材料占板块成本89.65%</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风电场开发</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2025年11.91%</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43.16%</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2025年同比-19.90%</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收入下降但毛利率高，是重要利润来源</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风电服务</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2025年7.83%</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20.36%</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2025年同比+3.79%</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提供机组销售之外的服务收入</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其他</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2025年1.93%</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22.81%</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2025年同比-0.65%</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包括水务、绿色甲醇、混塔、储能、能碳等业务</w:t>
            </w:r>
          </w:p>
        </w:tc>
      </w:tr>
    </w:tbl>
    <w:p>
      <w:pPr>
        <w:spacing w:before="200"/>
      </w:pPr>
    </w:p>
    <w:p>
      <w:pPr>
        <w:pStyle w:val="Heading2"/>
        <w:spacing w:after="120" w:before="240"/>
      </w:pPr>
      <w:r>
        <w:rPr>
          <w:b/>
          <w:bCs/>
          <w:color w:val="2E74B5"/>
          <w:sz w:val="24"/>
          <w:szCs w:val="24"/>
        </w:rPr>
        <w:t xml:space="preserve">2.2 竞争优势</w:t>
      </w:r>
    </w:p>
    <w:p>
      <w:pPr>
        <w:spacing w:after="160" w:line="300"/>
      </w:pPr>
      <w:r>
        <w:rPr>
          <w:b/>
          <w:bCs/>
          <w:color w:val="1F4E79"/>
          <w:sz w:val="22"/>
          <w:szCs w:val="22"/>
        </w:rPr>
        <w:t xml:space="preserve">竞争优势强度：弱</w:t>
      </w:r>
    </w:p>
    <w:p>
      <w:pPr>
        <w:pStyle w:val="ListParagraph"/>
        <w:numPr>
          <w:ilvl w:val="0"/>
          <w:numId w:val="2"/>
        </w:numPr>
        <w:spacing w:after="80" w:line="280"/>
      </w:pPr>
      <w:r>
        <w:rPr>
          <w:sz w:val="22"/>
          <w:szCs w:val="22"/>
        </w:rPr>
        <w:t xml:space="preserve">2025年国内新增装机份额21%，连续15年国内第一，规模覆盖突出</w:t>
      </w:r>
    </w:p>
    <w:p>
      <w:pPr>
        <w:pStyle w:val="ListParagraph"/>
        <w:numPr>
          <w:ilvl w:val="0"/>
          <w:numId w:val="2"/>
        </w:numPr>
        <w:spacing w:after="80" w:line="280"/>
      </w:pPr>
      <w:r>
        <w:rPr>
          <w:sz w:val="22"/>
          <w:szCs w:val="22"/>
        </w:rPr>
        <w:t xml:space="preserve">2025年整机认证194张，国内外授权专利及大容量机型布局支持产品迭代</w:t>
      </w:r>
    </w:p>
    <w:p>
      <w:pPr>
        <w:pStyle w:val="ListParagraph"/>
        <w:numPr>
          <w:ilvl w:val="0"/>
          <w:numId w:val="2"/>
        </w:numPr>
        <w:spacing w:after="80" w:line="280"/>
      </w:pPr>
      <w:r>
        <w:rPr>
          <w:sz w:val="22"/>
          <w:szCs w:val="22"/>
        </w:rPr>
        <w:t xml:space="preserve">2025年国内海上风电份额37.9%，国际业务收入180.82亿元</w:t>
      </w:r>
    </w:p>
    <w:p>
      <w:pPr>
        <w:spacing w:after="160" w:line="300"/>
      </w:pPr>
      <w:r>
        <w:rPr>
          <w:sz w:val="22"/>
          <w:szCs w:val="22"/>
        </w:rPr>
        <w:t xml:space="preserve">主要威胁：风机业务占收入近八成、毛利率不足9%；直接材料占成本高，低价竞争或部件成本上涨会侵蚀利润。</w:t>
      </w:r>
    </w:p>
    <w:p>
      <w:pPr>
        <w:pStyle w:val="Heading2"/>
        <w:spacing w:after="120" w:before="240"/>
      </w:pPr>
      <w:r>
        <w:rPr>
          <w:b/>
          <w:bCs/>
          <w:color w:val="2E74B5"/>
          <w:sz w:val="24"/>
          <w:szCs w:val="24"/>
        </w:rPr>
        <w:t xml:space="preserve">2.3 产业链位置与盈利趋势</w:t>
      </w:r>
    </w:p>
    <w:p>
      <w:pPr>
        <w:pStyle w:val="ListParagraph"/>
        <w:numPr>
          <w:ilvl w:val="0"/>
          <w:numId w:val="2"/>
        </w:numPr>
        <w:spacing w:after="80" w:line="280"/>
      </w:pPr>
      <w:r>
        <w:rPr>
          <w:sz w:val="22"/>
          <w:szCs w:val="22"/>
        </w:rPr>
        <w:t xml:space="preserve">风机大部件包括叶片、变桨轴承、轮毂、齿轮箱、发电机、主轴承等；风机板块直接材料占成本89.65%。</w:t>
      </w:r>
    </w:p>
    <w:p>
      <w:pPr>
        <w:pStyle w:val="ListParagraph"/>
        <w:numPr>
          <w:ilvl w:val="0"/>
          <w:numId w:val="2"/>
        </w:numPr>
        <w:spacing w:after="80" w:line="280"/>
      </w:pPr>
      <w:r>
        <w:rPr>
          <w:sz w:val="22"/>
          <w:szCs w:val="22"/>
        </w:rPr>
        <w:t xml:space="preserve">2025年前五大供应商采购占比33.57%，第一大占11.67%；年报未披露名称及单项部件采购额，成本端缺少明确议价权证据。</w:t>
      </w:r>
    </w:p>
    <w:p>
      <w:pPr>
        <w:pStyle w:val="ListParagraph"/>
        <w:numPr>
          <w:ilvl w:val="0"/>
          <w:numId w:val="2"/>
        </w:numPr>
        <w:spacing w:after="80" w:line="280"/>
      </w:pPr>
      <w:r>
        <w:rPr>
          <w:sz w:val="22"/>
          <w:szCs w:val="22"/>
        </w:rPr>
        <w:t xml:space="preserve">主要客户为风电项目开发商、发电企业及相关能源客户；整机销售面临项目业主招标和同业竞争，低价中标可能压低交付毛利。</w:t>
      </w:r>
    </w:p>
    <w:p>
      <w:pPr>
        <w:pStyle w:val="ListParagraph"/>
        <w:numPr>
          <w:ilvl w:val="0"/>
          <w:numId w:val="2"/>
        </w:numPr>
        <w:spacing w:after="80" w:line="280"/>
      </w:pPr>
      <w:r>
        <w:rPr>
          <w:sz w:val="22"/>
          <w:szCs w:val="22"/>
        </w:rPr>
        <w:t xml:space="preserve">风电场开发还受项目资源、并网及电力销售收益影响，议价和盈利机制不同于整机销售。</w:t>
      </w:r>
    </w:p>
    <w:p>
      <w:pPr>
        <w:pStyle w:val="ListParagraph"/>
        <w:numPr>
          <w:ilvl w:val="0"/>
          <w:numId w:val="2"/>
        </w:numPr>
        <w:spacing w:after="80" w:line="280"/>
      </w:pPr>
      <w:r>
        <w:rPr>
          <w:sz w:val="22"/>
          <w:szCs w:val="22"/>
        </w:rPr>
        <w:t xml:space="preserve">2025年年报披露前五大客户销售占比29.27%、关联方占比0%；客户名称匿名，公开数据仅覆盖该年度。</w:t>
      </w:r>
    </w:p>
    <w:p>
      <w:pPr>
        <w:pStyle w:val="ListParagraph"/>
        <w:numPr>
          <w:ilvl w:val="0"/>
          <w:numId w:val="2"/>
        </w:numPr>
        <w:spacing w:after="80" w:line="280"/>
      </w:pPr>
      <w:r>
        <w:rPr>
          <w:sz w:val="22"/>
          <w:szCs w:val="22"/>
        </w:rPr>
        <w:t xml:space="preserve">2025年末应收账款323.45亿元，为全年收入约44.3%、归母净利润约11.7倍；估算周转约158天。应付账款316.32亿元、应付票据126.22亿元。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800"/>
        <w:gridCol w:w="1800"/>
        <w:gridCol w:w="48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800"/>
            <w:shd w:fill="1F4E79" w:val="clear"/>
            <w:tcMar>
              <w:top w:type="dxa" w:w="80"/>
              <w:left w:type="dxa" w:w="100"/>
              <w:bottom w:type="dxa" w:w="80"/>
              <w:right w:type="dxa" w:w="100"/>
            </w:tcMar>
            <w:vAlign w:val="center"/>
          </w:tcPr>
          <w:p>
            <w:pPr>
              <w:jc w:val="center"/>
            </w:pPr>
            <w:r>
              <w:rPr>
                <w:b/>
                <w:bCs/>
                <w:color w:val="FFFFFF"/>
                <w:sz w:val="20"/>
                <w:szCs w:val="20"/>
              </w:rPr>
              <w:t xml:space="preserve">变动原因</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约17.14%</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约2.64%</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开发业务收入增长57.96%、毛利率47.30%；风机毛利率仅6.41%</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约13.80%</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约3.28%</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风机收入上升，开发收入及交付结构变化</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约14.18%</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约3.80%</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风机与开发业务毛利率分别提升3.90、3.15个百分点</w:t>
            </w:r>
          </w:p>
        </w:tc>
      </w:tr>
    </w:tbl>
    <w:p>
      <w:pPr>
        <w:spacing w:before="200"/>
      </w:pPr>
    </w:p>
    <w:p>
      <w:pPr>
        <w:spacing w:after="160" w:line="300"/>
      </w:pPr>
      <w:r>
        <w:rPr>
          <w:sz w:val="22"/>
          <w:szCs w:val="22"/>
        </w:rPr>
        <w:t xml:space="preserve">公司位于中游风机整机制造，收入规模大但整机毛利偏薄；风电场开发毛利较高。利润率改善取决于整机毛利修复、产品大型化与结构升级，以及海外和服务业务转化为稳定回款。趋势数据覆盖2023—2025年。</w:t>
      </w:r>
    </w:p>
    <w:p>
      <w:pPr>
        <w:pStyle w:val="Heading2"/>
        <w:spacing w:after="120" w:before="240"/>
      </w:pPr>
      <w:r>
        <w:rPr>
          <w:b/>
          <w:bCs/>
          <w:color w:val="2E74B5"/>
          <w:sz w:val="24"/>
          <w:szCs w:val="24"/>
        </w:rPr>
        <w:t xml:space="preserve">2.4 行业与同行对比</w:t>
      </w:r>
    </w:p>
    <w:p>
      <w:pPr>
        <w:spacing w:after="160" w:line="300"/>
      </w:pPr>
      <w:r>
        <w:rPr>
          <w:sz w:val="22"/>
          <w:szCs w:val="22"/>
        </w:rPr>
        <w:t xml:space="preserve">风电整机处于规模扩张与价格竞争并存阶段；金风2025年风机收入增长较快，但整机毛利率仅8.95%，盈利改善仍需验证。</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300"/>
        <w:gridCol w:w="2600"/>
        <w:gridCol w:w="29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3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可比数据</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与本公司差异</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明阳智能（601615）</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风电整机及风电场业务</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2025年营收约380.95亿元；综合毛利率约10.32%；PE(TTM) 123.08倍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收入规模较小，综合毛利率低于金风；PE为2026年10月23日行情快照</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三一重能（688349）</w:t>
            </w:r>
          </w:p>
        </w:tc>
        <w:tc>
          <w:tcPr>
            <w:tcW w:type="dxa" w:w="2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风电整机及相关业务</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2025年营收272.35亿元；主营毛利率9.45%；PE(TTM) 23.46倍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收入规模较小；主营毛利率与金风综合口径不同</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运达股份（300772）</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风电整机制造</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2025年营收、毛利率—；2026年10月23日TTM亏损；PE(TTM) 亏损，不适用</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缺少可比年报数字，无法量化比较</w:t>
            </w:r>
          </w:p>
        </w:tc>
      </w:tr>
    </w:tbl>
    <w:p>
      <w:pPr>
        <w:spacing w:before="200"/>
      </w:pPr>
    </w:p>
    <w:p>
      <w:pPr>
        <w:spacing w:after="160" w:line="300"/>
      </w:pPr>
      <w:r>
        <w:rPr>
          <w:sz w:val="22"/>
          <w:szCs w:val="22"/>
        </w:rPr>
        <w:t xml:space="preserve">金风2025年收入规模高于所列同行，风机毛利率8.95%，高于三一重能风机制造分产品毛利率4.43%；但整机业务仍薄利，规模领先尚不足以证明成本优势。</w:t>
      </w:r>
    </w:p>
    <w:p>
      <w:pPr>
        <w:pStyle w:val="Heading1"/>
        <w:pBdr>
          <w:bottom w:val="single" w:color="1F4E79" w:sz="6" w:space="4"/>
        </w:pBdr>
        <w:spacing w:after="160" w:before="360"/>
      </w:pPr>
      <w:r>
        <w:rPr>
          <w:b/>
          <w:bCs/>
          <w:color w:val="1F4E79"/>
          <w:sz w:val="30"/>
          <w:szCs w:val="30"/>
        </w:rPr>
        <w:t xml:space="preserve">三、财务质量</w:t>
      </w:r>
    </w:p>
    <w:p>
      <w:pPr>
        <w:pStyle w:val="Heading2"/>
        <w:spacing w:after="120" w:before="240"/>
      </w:pPr>
      <w:r>
        <w:rPr>
          <w:b/>
          <w:bCs/>
          <w:color w:val="2E74B5"/>
          <w:sz w:val="24"/>
          <w:szCs w:val="24"/>
        </w:rPr>
        <w:t xml:space="preserve">3.1 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600"/>
        <w:gridCol w:w="1100"/>
        <w:gridCol w:w="1600"/>
        <w:gridCol w:w="1100"/>
        <w:gridCol w:w="1400"/>
        <w:gridCol w:w="16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扣非同比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2026Q3单季</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182.84亿元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-6.76%</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10.21亿元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-6.95%</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-8.46%</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14.47%</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2026年前三季度</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520.23亿元</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8.05%</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28.75亿元</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11.25%</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23.34%</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15.96%</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730.23亿元人民币</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28.79%</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27.74亿元人民币</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49.12%</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47.03%</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14.2%</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566.99亿元人民币</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12.37%</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18.60亿元人民币</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39.78%</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38.26%</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13.80%</w:t>
            </w:r>
          </w:p>
        </w:tc>
      </w:tr>
    </w:tbl>
    <w:p>
      <w:pPr>
        <w:spacing w:before="200"/>
      </w:pPr>
    </w:p>
    <w:p>
      <w:pPr>
        <w:spacing w:after="200"/>
      </w:pPr>
      <w:r>
        <w:rPr>
          <w:i/>
          <w:iCs/>
          <w:color w:val="595959"/>
          <w:sz w:val="18"/>
          <w:szCs w:val="18"/>
        </w:rPr>
        <w:t xml:space="preserve">营业收入与归母净利润按同期间官方报表及明确币种列示；调整后盈利与法定利润分别比较。表中营业收入、归母净利润共8项，8项与发行人定期报告原文逐项比对一致。同比增速按原文本期、上期数推算了6项，6项与表中一致。</w:t>
      </w:r>
    </w:p>
    <w:p>
      <w:pPr>
        <w:spacing w:after="160" w:line="300"/>
      </w:pPr>
      <w:r>
        <w:rPr>
          <w:sz w:val="22"/>
          <w:szCs w:val="22"/>
        </w:rPr>
        <w:t xml:space="preserve">前三季度扣非利润增长快于归母，但第三季度收入、归母及扣非均同比回落，毛利率较上半年约16.76%回落；前三季度经营现金流仍接近零。</w:t>
      </w:r>
    </w:p>
    <w:p>
      <w:pPr>
        <w:pStyle w:val="Heading2"/>
        <w:spacing w:after="120" w:before="240"/>
      </w:pPr>
      <w:r>
        <w:rPr>
          <w:b/>
          <w:bCs/>
          <w:color w:val="2E74B5"/>
          <w:sz w:val="24"/>
          <w:szCs w:val="24"/>
        </w:rPr>
        <w:t xml:space="preserve">3.2 财务健康检查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1100"/>
        <w:gridCol w:w="44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判断</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资产负债率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71.3%，2026-09-30</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负债占总资产比重较高。</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经营现金流/归母净利润</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-1.0%，2026年前三季度</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现金流与同期利润表现背离。</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经营现金流/归母净利润</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1.28倍，2025年度</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良好</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年度经营现金流高于归母净利润。</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应收账款/总资产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约20.0%，2026-09-30</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应收账款规模较大，需跟踪回款与减值。</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应收账款周转天数</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约158天，2025年度估算</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按年末应收账款余额均值估算，非公司标准披露值。</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加权平均ROE</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6.94%，2026年前三季度</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一般</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前三季度累计回报率处于中等水平。</w:t>
            </w:r>
          </w:p>
        </w:tc>
      </w:tr>
    </w:tbl>
    <w:p>
      <w:pPr>
        <w:spacing w:before="200"/>
      </w:pPr>
    </w:p>
    <w:p>
      <w:pPr>
        <w:pStyle w:val="Heading1"/>
        <w:pBdr>
          <w:bottom w:val="single" w:color="1F4E79" w:sz="6" w:space="4"/>
        </w:pBdr>
        <w:spacing w:after="160" w:before="360"/>
      </w:pPr>
      <w:r>
        <w:rPr>
          <w:b/>
          <w:bCs/>
          <w:color w:val="1F4E79"/>
          <w:sz w:val="30"/>
          <w:szCs w:val="30"/>
        </w:rPr>
        <w:t xml:space="preserve">四、估值与市场预期</w:t>
      </w:r>
    </w:p>
    <w:p>
      <w:pPr>
        <w:pStyle w:val="Heading2"/>
        <w:spacing w:after="120" w:before="240"/>
      </w:pPr>
      <w:r>
        <w:rPr>
          <w:b/>
          <w:bCs/>
          <w:color w:val="2E74B5"/>
          <w:sz w:val="24"/>
          <w:szCs w:val="24"/>
        </w:rPr>
        <w:t xml:space="preserve">4.1 估值水平</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2000"/>
        <w:gridCol w:w="2900"/>
        <w:gridCol w:w="28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自身历史</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同行对比</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20.03倍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近5.2年43%分位（中位数20.93倍）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中位数73.27倍（明阳智能123.08、三一重能23.46）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1.56倍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近5.2年61%分位（中位数1.36倍）</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中位数1.08倍（明阳智能0.76、三一重能1.61、运达股份1.08）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PS(TTM)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0.8倍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近5.2年35%分位（中位数0.99倍）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中位数0.52倍（明阳智能0.52、三一重能0.75、运达股份0.21）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股息率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约1.34%</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r>
    </w:tbl>
    <w:p>
      <w:pPr>
        <w:spacing w:before="200"/>
      </w:pPr>
    </w:p>
    <w:p>
      <w:pPr>
        <w:spacing w:after="200"/>
      </w:pPr>
      <w:r>
        <w:rPr>
          <w:i/>
          <w:iCs/>
          <w:color w:val="595959"/>
          <w:sz w:val="18"/>
          <w:szCs w:val="18"/>
        </w:rPr>
        <w:t xml:space="preserve">估值倍数由程序按2026-10-23收盘数据计算（滚动十二个月口径）；同行倍数按2026-10-23收盘数据同口径计算</w:t>
      </w:r>
    </w:p>
    <w:p>
      <w:pPr>
        <w:spacing w:after="160" w:line="300"/>
      </w:pPr>
      <w:r>
        <w:rPr>
          <w:sz w:val="22"/>
          <w:szCs w:val="22"/>
        </w:rPr>
        <w:t xml:space="preserve">市场隐含预期：以当前20.03倍市盈率计，若投资者要求年化8%的回报、10年后按15倍市盈率估值，每股收益需年均增长约11.2%（不计分红，偏保守），短期机构净利润预测与该长期每股收益增速的期限及口径不同，不能直接比较高低。</w:t>
      </w:r>
    </w:p>
    <w:p>
      <w:pPr>
        <w:spacing w:after="160" w:line="300"/>
      </w:pPr>
      <w:r>
        <w:rPr>
          <w:sz w:val="22"/>
          <w:szCs w:val="22"/>
        </w:rPr>
        <w:t xml:space="preserve">现价在给定回报及退出PE假设下隐含10年EPS年均增长11.2%，与机构短期净利润预测的期限及指标不同，不能直接比较高低。</w:t>
      </w:r>
    </w:p>
    <w:p>
      <w:pPr>
        <w:pStyle w:val="Heading2"/>
        <w:spacing w:after="120" w:before="240"/>
      </w:pPr>
      <w:r>
        <w:rPr>
          <w:b/>
          <w:bCs/>
          <w:color w:val="2E74B5"/>
          <w:sz w:val="24"/>
          <w:szCs w:val="24"/>
        </w:rPr>
        <w:t xml:space="preserve">4.2 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894.98亿元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44.23亿元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+59.4%</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1.05元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1006.59亿元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55.80亿元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+26.2%</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1126.67亿元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66.85亿元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+19.8%</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1.58元</w:t>
            </w:r>
          </w:p>
        </w:tc>
      </w:tr>
    </w:tbl>
    <w:p>
      <w:pPr>
        <w:spacing w:before="200"/>
      </w:pPr>
    </w:p>
    <w:p>
      <w:pPr>
        <w:spacing w:after="200"/>
      </w:pPr>
      <w:r>
        <w:rPr>
          <w:i/>
          <w:iCs/>
          <w:color w:val="595959"/>
          <w:sz w:val="18"/>
          <w:szCs w:val="18"/>
        </w:rPr>
        <w:t xml:space="preserve">同花顺F10截至2026-10-24；归母净利预测16家、营收12家样本；归母预测区间2026—2028年分别37.70—53.56、48.36—66.23、55.95—79.87亿元。</w:t>
      </w:r>
    </w:p>
    <w:p>
      <w:pPr>
        <w:pStyle w:val="Heading2"/>
        <w:spacing w:after="120" w:before="240"/>
      </w:pPr>
      <w:r>
        <w:rPr>
          <w:b/>
          <w:bCs/>
          <w:color w:val="2E74B5"/>
          <w:sz w:val="24"/>
          <w:szCs w:val="24"/>
        </w:rPr>
        <w:t xml:space="preserve">4.3 机构观点</w:t>
      </w:r>
    </w:p>
    <w:p>
      <w:pPr>
        <w:spacing w:after="160" w:line="300"/>
      </w:pPr>
      <w:r>
        <w:rPr>
          <w:sz w:val="22"/>
          <w:szCs w:val="22"/>
        </w:rPr>
        <w:t xml:space="preserve">14家机构目标均价23.84元；另11名分析师均价23.52元、区间16.4—33.1元；样本口径不同，最新条目为2026年10月25日。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9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9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2026-10-25</w:t>
            </w:r>
          </w:p>
        </w:tc>
        <w:tc>
          <w:tcPr>
            <w:tcW w:type="dxa" w:w="3900"/>
            <w:tcMar>
              <w:top w:type="dxa" w:w="80"/>
              <w:left w:type="dxa" w:w="100"/>
              <w:bottom w:type="dxa" w:w="80"/>
              <w:right w:type="dxa" w:w="100"/>
            </w:tcMar>
            <w:vAlign w:val="center"/>
          </w:tcPr>
          <w:p>
            <w:pPr>
              <w:jc w:val="center"/>
            </w:pPr>
            <w:r>
              <w:rPr>
                <w:b w:val="false"/>
                <w:bCs w:val="false"/>
                <w:color w:val="000000"/>
                <w:sz w:val="20"/>
                <w:szCs w:val="20"/>
              </w:rPr>
              <w:t xml:space="preserve">未给出本次研报独立目标价。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华安证券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2026-08-31</w:t>
            </w:r>
          </w:p>
        </w:tc>
        <w:tc>
          <w:tcPr>
            <w:tcW w:type="dxa" w:w="3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2026-08-28</w:t>
            </w:r>
          </w:p>
        </w:tc>
        <w:tc>
          <w:tcPr>
            <w:tcW w:type="dxa" w:w="3900"/>
            <w:tcMar>
              <w:top w:type="dxa" w:w="80"/>
              <w:left w:type="dxa" w:w="100"/>
              <w:bottom w:type="dxa" w:w="80"/>
              <w:right w:type="dxa" w:w="100"/>
            </w:tcMar>
            <w:vAlign w:val="center"/>
          </w:tcPr>
          <w:p>
            <w:pPr>
              <w:jc w:val="center"/>
            </w:pPr>
            <w:r>
              <w:rPr>
                <w:b w:val="false"/>
                <w:bCs w:val="false"/>
                <w:color w:val="000000"/>
                <w:sz w:val="20"/>
                <w:szCs w:val="20"/>
              </w:rPr>
              <w:t xml:space="preserve">—</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光大证券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2026-08-28</w:t>
            </w:r>
          </w:p>
        </w:tc>
        <w:tc>
          <w:tcPr>
            <w:tcW w:type="dxa" w:w="3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900"/>
            <w:tcMar>
              <w:top w:type="dxa" w:w="80"/>
              <w:left w:type="dxa" w:w="100"/>
              <w:bottom w:type="dxa" w:w="80"/>
              <w:right w:type="dxa" w:w="100"/>
            </w:tcMar>
            <w:vAlign w:val="center"/>
          </w:tcPr>
          <w:p>
            <w:pPr>
              <w:jc w:val="center"/>
            </w:pPr>
            <w:r>
              <w:rPr>
                <w:b w:val="false"/>
                <w:bCs w:val="false"/>
                <w:color w:val="000000"/>
                <w:sz w:val="20"/>
                <w:szCs w:val="20"/>
              </w:rPr>
              <w:t xml:space="preserve">目标价23.44元。</w:t>
            </w:r>
          </w:p>
        </w:tc>
      </w:tr>
    </w:tbl>
    <w:p>
      <w:pPr>
        <w:spacing w:before="200"/>
      </w:pPr>
    </w:p>
    <w:p>
      <w:pPr>
        <w:pStyle w:val="Heading1"/>
        <w:pBdr>
          <w:bottom w:val="single" w:color="1F4E79" w:sz="6" w:space="4"/>
        </w:pBdr>
        <w:spacing w:after="160" w:before="360"/>
      </w:pPr>
      <w:r>
        <w:rPr>
          <w:b/>
          <w:bCs/>
          <w:color w:val="1F4E79"/>
          <w:sz w:val="30"/>
          <w:szCs w:val="30"/>
        </w:rPr>
        <w:t xml:space="preserve">五、催化剂与近期事件</w:t>
      </w:r>
    </w:p>
    <w:p>
      <w:pPr>
        <w:pStyle w:val="Heading2"/>
        <w:spacing w:after="120" w:before="240"/>
      </w:pPr>
      <w:r>
        <w:rPr>
          <w:b/>
          <w:bCs/>
          <w:color w:val="2E74B5"/>
          <w:sz w:val="24"/>
          <w:szCs w:val="24"/>
        </w:rPr>
        <w:t xml:space="preserve">5.1 未来关键节点</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000"/>
        <w:gridCol w:w="4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时间</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事件</w:t>
            </w:r>
          </w:p>
        </w:tc>
        <w:tc>
          <w:tcPr>
            <w:tcW w:type="dxa" w:w="4700"/>
            <w:shd w:fill="1F4E79" w:val="clear"/>
            <w:tcMar>
              <w:top w:type="dxa" w:w="80"/>
              <w:left w:type="dxa" w:w="100"/>
              <w:bottom w:type="dxa" w:w="80"/>
              <w:right w:type="dxa" w:w="100"/>
            </w:tcMar>
            <w:vAlign w:val="center"/>
          </w:tcPr>
          <w:p>
            <w:pPr>
              <w:jc w:val="center"/>
            </w:pPr>
            <w:r>
              <w:rPr>
                <w:b/>
                <w:bCs/>
                <w:color w:val="FFFFFF"/>
                <w:sz w:val="20"/>
                <w:szCs w:val="20"/>
              </w:rPr>
              <w:t xml:space="preserve">看点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2026-11月上旬</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披露10月回购进展</w:t>
            </w:r>
          </w:p>
        </w:tc>
        <w:tc>
          <w:tcPr>
            <w:tcW w:type="dxa" w:w="4700"/>
            <w:tcMar>
              <w:top w:type="dxa" w:w="80"/>
              <w:left w:type="dxa" w:w="100"/>
              <w:bottom w:type="dxa" w:w="80"/>
              <w:right w:type="dxa" w:w="100"/>
            </w:tcMar>
            <w:vAlign w:val="center"/>
          </w:tcPr>
          <w:p>
            <w:pPr>
              <w:jc w:val="center"/>
            </w:pPr>
            <w:r>
              <w:rPr>
                <w:b w:val="false"/>
                <w:bCs w:val="false"/>
                <w:color w:val="000000"/>
                <w:sz w:val="20"/>
                <w:szCs w:val="20"/>
              </w:rPr>
              <w:t xml:space="preserve">关注剩余额度约2亿元的执行速度；若回购明显停滞，回购支撑弱于预期。</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2026年第四季度</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兴安盟绿醇一期客户交付</w:t>
            </w:r>
          </w:p>
        </w:tc>
        <w:tc>
          <w:tcPr>
            <w:tcW w:type="dxa" w:w="4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公司交付指引由券商转述；关注是否兑现首批交付及收入确认，交付延期或规模偏小则不及预期。</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预计2027年3月下旬</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披露2026年年度报告</w:t>
            </w:r>
          </w:p>
        </w:tc>
        <w:tc>
          <w:tcPr>
            <w:tcW w:type="dxa" w:w="4700"/>
            <w:tcMar>
              <w:top w:type="dxa" w:w="80"/>
              <w:left w:type="dxa" w:w="100"/>
              <w:bottom w:type="dxa" w:w="80"/>
              <w:right w:type="dxa" w:w="100"/>
            </w:tcMar>
            <w:vAlign w:val="center"/>
          </w:tcPr>
          <w:p>
            <w:pPr>
              <w:jc w:val="center"/>
            </w:pPr>
            <w:r>
              <w:rPr>
                <w:b w:val="false"/>
                <w:bCs w:val="false"/>
                <w:color w:val="000000"/>
                <w:sz w:val="20"/>
                <w:szCs w:val="20"/>
              </w:rPr>
              <w:t xml:space="preserve">披露日期尚未预约；关注Q4业绩能否修复、风机盈利及订单转化情况，低于预期则全年业绩承压。</w:t>
            </w:r>
          </w:p>
        </w:tc>
      </w:tr>
    </w:tbl>
    <w:p>
      <w:pPr>
        <w:spacing w:before="200"/>
      </w:pPr>
    </w:p>
    <w:p>
      <w:pPr>
        <w:pStyle w:val="Heading2"/>
        <w:spacing w:after="120" w:before="240"/>
      </w:pPr>
      <w:r>
        <w:rPr>
          <w:b/>
          <w:bCs/>
          <w:color w:val="2E74B5"/>
          <w:sz w:val="24"/>
          <w:szCs w:val="24"/>
        </w:rPr>
        <w:t xml:space="preserve">5.2 近期重要事件</w:t>
      </w:r>
    </w:p>
    <w:p>
      <w:pPr>
        <w:pStyle w:val="ListParagraph"/>
        <w:numPr>
          <w:ilvl w:val="0"/>
          <w:numId w:val="2"/>
        </w:numPr>
        <w:spacing w:after="80" w:line="280"/>
      </w:pPr>
      <w:r>
        <w:rPr>
          <w:b/>
          <w:bCs/>
          <w:sz w:val="22"/>
          <w:szCs w:val="22"/>
        </w:rPr>
        <w:t xml:space="preserve">2026-10-24 三季报单季业绩转负（利空）</w:t>
      </w:r>
      <w:r>
        <w:rPr>
          <w:sz w:val="22"/>
          <w:szCs w:val="22"/>
        </w:rPr>
        <w:t xml:space="preserve">：Q3营收与利润同比转降，与上半年增长形成反差；后续修复取决于风机盈利能力及电站转让确认节奏。</w:t>
      </w:r>
    </w:p>
    <w:p>
      <w:pPr>
        <w:pStyle w:val="ListParagraph"/>
        <w:numPr>
          <w:ilvl w:val="0"/>
          <w:numId w:val="2"/>
        </w:numPr>
        <w:spacing w:after="80" w:line="280"/>
      </w:pPr>
      <w:r>
        <w:rPr>
          <w:b/>
          <w:bCs/>
          <w:sz w:val="22"/>
          <w:szCs w:val="22"/>
        </w:rPr>
        <w:t xml:space="preserve">2026-10 注销式回购已达下限（利好）</w:t>
      </w:r>
      <w:r>
        <w:rPr>
          <w:sz w:val="22"/>
          <w:szCs w:val="22"/>
        </w:rPr>
        <w:t xml:space="preserve">：截至9月末累计回购约3亿元，已触及方案下限；回购股份将注销，但占总股本约0.31%，对每股指标的直接提升有限。</w:t>
      </w:r>
    </w:p>
    <w:p>
      <w:pPr>
        <w:pStyle w:val="ListParagraph"/>
        <w:numPr>
          <w:ilvl w:val="0"/>
          <w:numId w:val="2"/>
        </w:numPr>
        <w:spacing w:after="80" w:line="280"/>
      </w:pPr>
      <w:r>
        <w:rPr>
          <w:b/>
          <w:bCs/>
          <w:sz w:val="22"/>
          <w:szCs w:val="22"/>
        </w:rPr>
        <w:t xml:space="preserve">2026-10-24 拟注册20亿元永续中票（中性）</w:t>
      </w:r>
      <w:r>
        <w:rPr>
          <w:sz w:val="22"/>
          <w:szCs w:val="22"/>
        </w:rPr>
        <w:t xml:space="preserve">：公司拟申请注册不超过20亿元、期限不超过3+N年的中期票据，用于补流、偿债及项目建设；尚需股东会审议及交易商协会接受注册。</w:t>
      </w:r>
    </w:p>
    <w:p>
      <w:pPr>
        <w:pStyle w:val="ListParagraph"/>
        <w:numPr>
          <w:ilvl w:val="0"/>
          <w:numId w:val="2"/>
        </w:numPr>
        <w:spacing w:after="80" w:line="280"/>
      </w:pPr>
      <w:r>
        <w:rPr>
          <w:b/>
          <w:bCs/>
          <w:sz w:val="22"/>
          <w:szCs w:val="22"/>
        </w:rPr>
        <w:t xml:space="preserve">2026-08-26 半年报显示主业修复（利好）</w:t>
      </w:r>
      <w:r>
        <w:rPr>
          <w:sz w:val="22"/>
          <w:szCs w:val="22"/>
        </w:rPr>
        <w:t xml:space="preserve">：半年报扣非利润增速明显高于归母利润，显示主业改善强于表观利润；Q3单季转负后，修复持续性仍待验证。</w:t>
      </w:r>
    </w:p>
    <w:p>
      <w:pPr>
        <w:pStyle w:val="Heading1"/>
        <w:pBdr>
          <w:bottom w:val="single" w:color="1F4E79" w:sz="6" w:space="4"/>
        </w:pBdr>
        <w:spacing w:after="160" w:before="360"/>
      </w:pPr>
      <w:r>
        <w:rPr>
          <w:b/>
          <w:bCs/>
          <w:color w:val="1F4E79"/>
          <w:sz w:val="30"/>
          <w:szCs w:val="30"/>
        </w:rPr>
        <w:t xml:space="preserve">六、多空分歧与风险</w:t>
      </w:r>
    </w:p>
    <w:p>
      <w:pPr>
        <w:pStyle w:val="Heading2"/>
        <w:spacing w:after="120" w:before="240"/>
      </w:pPr>
      <w:r>
        <w:rPr>
          <w:b/>
          <w:bCs/>
          <w:color w:val="2E74B5"/>
          <w:sz w:val="24"/>
          <w:szCs w:val="24"/>
        </w:rPr>
        <w:t xml:space="preserve">6.1 看多理由</w:t>
      </w:r>
    </w:p>
    <w:p>
      <w:pPr>
        <w:pStyle w:val="ListParagraph"/>
        <w:numPr>
          <w:ilvl w:val="0"/>
          <w:numId w:val="2"/>
        </w:numPr>
        <w:spacing w:after="80" w:line="280"/>
      </w:pPr>
      <w:r>
        <w:rPr>
          <w:sz w:val="22"/>
          <w:szCs w:val="22"/>
        </w:rPr>
        <w:t xml:space="preserve">2025年国内新增装机份额21%、连续15年排名第一，海上风电份额37.9%，规模与项目覆盖提供订单基础。</w:t>
      </w:r>
    </w:p>
    <w:p>
      <w:pPr>
        <w:pStyle w:val="ListParagraph"/>
        <w:numPr>
          <w:ilvl w:val="0"/>
          <w:numId w:val="2"/>
        </w:numPr>
        <w:spacing w:after="80" w:line="280"/>
      </w:pPr>
      <w:r>
        <w:rPr>
          <w:sz w:val="22"/>
          <w:szCs w:val="22"/>
        </w:rPr>
        <w:t xml:space="preserve">2025年经营现金流为归母净利润的1.28倍，年度现金转化良好；海外业务收入180.82亿元，提供市场拓展空间。</w:t>
      </w:r>
    </w:p>
    <w:p>
      <w:pPr>
        <w:pStyle w:val="Heading2"/>
        <w:spacing w:after="120" w:before="240"/>
      </w:pPr>
      <w:r>
        <w:rPr>
          <w:b/>
          <w:bCs/>
          <w:color w:val="2E74B5"/>
          <w:sz w:val="24"/>
          <w:szCs w:val="24"/>
        </w:rPr>
        <w:t xml:space="preserve">6.2 看空理由</w:t>
      </w:r>
    </w:p>
    <w:p>
      <w:pPr>
        <w:pStyle w:val="ListParagraph"/>
        <w:numPr>
          <w:ilvl w:val="0"/>
          <w:numId w:val="2"/>
        </w:numPr>
        <w:spacing w:after="80" w:line="280"/>
      </w:pPr>
      <w:r>
        <w:rPr>
          <w:sz w:val="22"/>
          <w:szCs w:val="22"/>
        </w:rPr>
        <w:t xml:space="preserve">2026年前三季度经营现金流与归母净利润比为-1.0%，同期利润增长未转化为现金流入。</w:t>
      </w:r>
    </w:p>
    <w:p>
      <w:pPr>
        <w:pStyle w:val="ListParagraph"/>
        <w:numPr>
          <w:ilvl w:val="0"/>
          <w:numId w:val="2"/>
        </w:numPr>
        <w:spacing w:after="80" w:line="280"/>
      </w:pPr>
      <w:r>
        <w:rPr>
          <w:sz w:val="22"/>
          <w:szCs w:val="22"/>
        </w:rPr>
        <w:t xml:space="preserve">2026年三季度毛利率14.47%，低于前三季度15.96%；应收账款约占总资产20%，回款与减值压力需关注。</w:t>
      </w:r>
    </w:p>
    <w:p>
      <w:pPr>
        <w:pStyle w:val="Heading2"/>
        <w:spacing w:after="120" w:before="240"/>
      </w:pPr>
      <w:r>
        <w:rPr>
          <w:b/>
          <w:bCs/>
          <w:color w:val="2E74B5"/>
          <w:sz w:val="24"/>
          <w:szCs w:val="24"/>
        </w:rPr>
        <w:t xml:space="preserve">6.3 其他风险</w:t>
      </w:r>
    </w:p>
    <w:p>
      <w:pPr>
        <w:pStyle w:val="ListParagraph"/>
        <w:numPr>
          <w:ilvl w:val="0"/>
          <w:numId w:val="2"/>
        </w:numPr>
        <w:spacing w:after="80" w:line="280"/>
      </w:pPr>
      <w:r>
        <w:rPr>
          <w:sz w:val="22"/>
          <w:szCs w:val="22"/>
        </w:rPr>
        <w:t xml:space="preserve">风机板块直接材料占成本89.65%→原材料涨价或低价竞争可能挤压本已偏薄的整机毛利。</w:t>
      </w:r>
    </w:p>
    <w:p>
      <w:pPr>
        <w:pStyle w:val="ListParagraph"/>
        <w:numPr>
          <w:ilvl w:val="0"/>
          <w:numId w:val="2"/>
        </w:numPr>
        <w:spacing w:after="80" w:line="280"/>
      </w:pPr>
      <w:r>
        <w:rPr>
          <w:sz w:val="22"/>
          <w:szCs w:val="22"/>
        </w:rPr>
        <w:t xml:space="preserve">前五大客户销售占比29.27%且客户名称未公开→主要客户需求或订单变化可能影响收入与回款。</w:t>
      </w:r>
    </w:p>
    <w:p>
      <w:pPr>
        <w:pStyle w:val="ListParagraph"/>
        <w:numPr>
          <w:ilvl w:val="0"/>
          <w:numId w:val="2"/>
        </w:numPr>
        <w:spacing w:after="80" w:line="280"/>
      </w:pPr>
      <w:r>
        <w:rPr>
          <w:sz w:val="22"/>
          <w:szCs w:val="22"/>
        </w:rPr>
        <w:t xml:space="preserve">拟注册不超过20亿元永续中票→若发行用于补流或建设，融资成本及负债压力可能上升。</w:t>
      </w:r>
    </w:p>
    <w:p>
      <w:pPr>
        <w:pStyle w:val="Heading1"/>
        <w:pBdr>
          <w:bottom w:val="single" w:color="1F4E79" w:sz="6" w:space="4"/>
        </w:pBdr>
        <w:spacing w:after="160" w:before="360"/>
      </w:pPr>
      <w:r>
        <w:rPr>
          <w:b/>
          <w:bCs/>
          <w:color w:val="1F4E79"/>
          <w:sz w:val="30"/>
          <w:szCs w:val="30"/>
        </w:rPr>
        <w:t xml:space="preserve">七、跟踪清单</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200"/>
        <w:gridCol w:w="2800"/>
        <w:gridCol w:w="28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跟踪指标</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验证看多</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验证看空</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风机板块毛利率</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2025年8.95%</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后续年度升至10%以上并持续改善</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回落至8%以下或连续下降</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单季利润增速</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2026Q3归母净利同比-6.95%</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后续单季归母净利恢复正增长</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连续季度同比下降</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经营现金流转化</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2026年前三季度现金流/归母净利-1.0%</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转正且经营现金流持续改善</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继续为负且应收占资产比例上升</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风电场开发业务</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2025年收入同比-19.90%，毛利率43.16%</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收入恢复增长且高毛利率基本稳定</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收入继续下滑并伴随毛利率走低</w:t>
            </w:r>
          </w:p>
        </w:tc>
      </w:tr>
    </w:tbl>
    <w:p>
      <w:pPr>
        <w:spacing w:before="200"/>
      </w:pPr>
    </w:p>
    <w:p>
      <w:pPr>
        <w:pStyle w:val="Heading1"/>
        <w:pBdr>
          <w:bottom w:val="single" w:color="1F4E79" w:sz="6" w:space="4"/>
        </w:pBdr>
        <w:spacing w:after="160" w:before="360"/>
      </w:pPr>
      <w:r>
        <w:rPr>
          <w:b/>
          <w:bCs/>
          <w:color w:val="1F4E79"/>
          <w:sz w:val="30"/>
          <w:szCs w:val="30"/>
        </w:rPr>
        <w:t xml:space="preserve">八、股价与短线展望（未来一周，情景推演，仅供参考）</w:t>
      </w:r>
    </w:p>
    <w:p>
      <w:pPr>
        <w:spacing w:after="160"/>
      </w:pPr>
      <w:r>
        <w:rPr>
          <w:b/>
          <w:bCs/>
          <w:color w:val="9C5700"/>
          <w:sz w:val="20"/>
          <w:szCs w:val="20"/>
        </w:rPr>
        <w:t xml:space="preserve">⚠️ 以下为基于当前技术与资金数据的主观情景推演，权重属启发式判断、非统计概率，不构成投资建议。</w:t>
      </w:r>
    </w:p>
    <w:p>
      <w:pPr>
        <w:pStyle w:val="Heading2"/>
        <w:spacing w:after="120" w:before="240"/>
      </w:pPr>
      <w:r>
        <w:rPr>
          <w:b/>
          <w:bCs/>
          <w:color w:val="2E74B5"/>
          <w:sz w:val="24"/>
          <w:szCs w:val="24"/>
        </w:rPr>
        <w:t xml:space="preserve">8.1 技术面概况</w:t>
      </w:r>
    </w:p>
    <w:p>
      <w:pPr>
        <w:spacing w:after="160" w:line="300"/>
      </w:pPr>
      <w:r>
        <w:rPr>
          <w:sz w:val="22"/>
          <w:szCs w:val="22"/>
        </w:rPr>
        <w:t xml:space="preserve">股价低于MA5、MA10及MA20，近20个交易日跌幅明显；RSI偏低、MACD柱体收窄，显示超跌后有修复可能，但趋势转强仍需收复短期均线并获成交确认。</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3000"/>
        <w:gridCol w:w="45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4500"/>
            <w:shd w:fill="1F4E79" w:val="clear"/>
            <w:tcMar>
              <w:top w:type="dxa" w:w="80"/>
              <w:left w:type="dxa" w:w="100"/>
              <w:bottom w:type="dxa" w:w="80"/>
              <w:right w:type="dxa" w:w="100"/>
            </w:tcMar>
            <w:vAlign w:val="center"/>
          </w:tcPr>
          <w:p>
            <w:pPr>
              <w:jc w:val="center"/>
            </w:pPr>
            <w:r>
              <w:rPr>
                <w:b/>
                <w:bCs/>
                <w:color w:val="FFFFFF"/>
                <w:sz w:val="20"/>
                <w:szCs w:val="20"/>
              </w:rPr>
              <w:t xml:space="preserve">解读</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均线</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MA5 15.04 / MA10 15.22 / MA20 16.34 / MA60 18.16</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股价低于各均线，短中期趋势偏弱</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-0.932 / DEA -0.855 / 柱 -0.155</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仍处零轴下方，柱体较前日收窄</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RSI6 28.3 / RSI14 28.5</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指标处于偏低区间，存在技术性反弹可能</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布林带(20,2)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 18.87 / 中轨 16.34 / 下轨 13.81</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收盘接近下轨，短线仍处弱势区域</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近20个交易日涨跌幅</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-18.22%</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近期下行幅度较大</w:t>
            </w:r>
          </w:p>
        </w:tc>
      </w:tr>
    </w:tbl>
    <w:p>
      <w:pPr>
        <w:spacing w:before="200"/>
      </w:pPr>
    </w:p>
    <w:p>
      <w:pPr>
        <w:pStyle w:val="Heading2"/>
        <w:spacing w:after="120" w:before="240"/>
      </w:pPr>
      <w:r>
        <w:rPr>
          <w:b/>
          <w:bCs/>
          <w:color w:val="2E74B5"/>
          <w:sz w:val="24"/>
          <w:szCs w:val="24"/>
        </w:rPr>
        <w:t xml:space="preserve">8.2 关键价位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5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15.0~15.3元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对应MA5、MA10附近；有效突破并站稳有望打开向MA20附近修复空间。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13.8~14.1元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对应布林下轨及近20日低点；失守后短线弱势可能延续。</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13.7~13.8元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靠近52周低点13.76元；有效跌破将打开更低区间。</w:t>
            </w:r>
          </w:p>
        </w:tc>
      </w:tr>
    </w:tbl>
    <w:p>
      <w:pPr>
        <w:spacing w:before="200"/>
      </w:pPr>
    </w:p>
    <w:p>
      <w:pPr>
        <w:pStyle w:val="Heading2"/>
        <w:spacing w:after="120" w:before="240"/>
      </w:pPr>
      <w:r>
        <w:rPr>
          <w:b/>
          <w:bCs/>
          <w:color w:val="2E74B5"/>
          <w:sz w:val="24"/>
          <w:szCs w:val="24"/>
        </w:rPr>
        <w:t xml:space="preserve">8.3 按历史波动率测算的一周区间</w:t>
      </w:r>
    </w:p>
    <w:p>
      <w:pPr>
        <w:spacing w:after="160" w:line="300"/>
      </w:pPr>
      <w:r>
        <w:rPr>
          <w:sz w:val="22"/>
          <w:szCs w:val="22"/>
        </w:rPr>
        <w:t xml:space="preserve">以2026-10-23价格14.90元为基准，用近300个交易日的收益分布（按当前指数加权日波动率约2.4%缩放，保留这只股票自身的大涨大跌频率）推算未来5个交易日的收盘价范围：</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700"/>
        <w:gridCol w:w="40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覆盖概率</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价格区间</w:t>
            </w:r>
          </w:p>
        </w:tc>
        <w:tc>
          <w:tcPr>
            <w:tcW w:type="dxa" w:w="4000"/>
            <w:shd w:fill="1F4E79" w:val="clear"/>
            <w:tcMar>
              <w:top w:type="dxa" w:w="80"/>
              <w:left w:type="dxa" w:w="100"/>
              <w:bottom w:type="dxa" w:w="80"/>
              <w:right w:type="dxa" w:w="100"/>
            </w:tcMar>
            <w:vAlign w:val="center"/>
          </w:tcPr>
          <w:p>
            <w:pPr>
              <w:jc w:val="center"/>
            </w:pPr>
            <w:r>
              <w:rPr>
                <w:b/>
                <w:bCs/>
                <w:color w:val="FFFFFF"/>
                <w:sz w:val="20"/>
                <w:szCs w:val="20"/>
              </w:rPr>
              <w:t xml:space="preserve">相对基准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约68%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14.14～15.79元</w:t>
            </w:r>
          </w:p>
        </w:tc>
        <w:tc>
          <w:tcPr>
            <w:tcW w:type="dxa" w:w="4000"/>
            <w:tcMar>
              <w:top w:type="dxa" w:w="80"/>
              <w:left w:type="dxa" w:w="100"/>
              <w:bottom w:type="dxa" w:w="80"/>
              <w:right w:type="dxa" w:w="100"/>
            </w:tcMar>
            <w:vAlign w:val="center"/>
          </w:tcPr>
          <w:p>
            <w:pPr>
              <w:jc w:val="center"/>
            </w:pPr>
            <w:r>
              <w:rPr>
                <w:b w:val="false"/>
                <w:bCs w:val="false"/>
                <w:color w:val="000000"/>
                <w:sz w:val="20"/>
                <w:szCs w:val="20"/>
              </w:rPr>
              <w:t xml:space="preserve">-5.1%～+6.0%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约95%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13.44～17.02元</w:t>
            </w:r>
          </w:p>
        </w:tc>
        <w:tc>
          <w:tcPr>
            <w:tcW w:type="dxa" w:w="4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-9.8%～+14.2%</w:t>
            </w:r>
          </w:p>
        </w:tc>
      </w:tr>
    </w:tbl>
    <w:p>
      <w:pPr>
        <w:spacing w:before="200"/>
      </w:pPr>
    </w:p>
    <w:p>
      <w:pPr>
        <w:spacing w:after="200"/>
      </w:pPr>
      <w:r>
        <w:rPr>
          <w:i/>
          <w:iCs/>
          <w:color w:val="595959"/>
          <w:sz w:val="18"/>
          <w:szCs w:val="18"/>
        </w:rPr>
        <w:t xml:space="preserve">该区间只反映这只股票近期的波动幅度，不含涨跌方向判断；遇到重大公告或大盘急跌，实际走势仍可能超出区间。</w:t>
      </w:r>
    </w:p>
    <w:p>
      <w:pPr>
        <w:pStyle w:val="Heading2"/>
        <w:spacing w:after="120" w:before="240"/>
      </w:pPr>
      <w:r>
        <w:rPr>
          <w:b/>
          <w:bCs/>
          <w:color w:val="2E74B5"/>
          <w:sz w:val="24"/>
          <w:szCs w:val="24"/>
        </w:rPr>
        <w:t xml:space="preserve">8.4 未来一周情景（主观权重，非统计概率）</w:t>
      </w:r>
    </w:p>
    <w:p>
      <w:pPr>
        <w:pStyle w:val="ListParagraph"/>
        <w:numPr>
          <w:ilvl w:val="0"/>
          <w:numId w:val="2"/>
        </w:numPr>
        <w:spacing w:after="80" w:line="280"/>
      </w:pPr>
      <w:r>
        <w:rPr>
          <w:b/>
          <w:bCs/>
          <w:sz w:val="22"/>
          <w:szCs w:val="22"/>
        </w:rPr>
        <w:t xml:space="preserve">震荡整理（约四成）</w:t>
      </w:r>
      <w:r>
        <w:rPr>
          <w:sz w:val="22"/>
          <w:szCs w:val="22"/>
        </w:rPr>
        <w:t xml:space="preserve">：14.0~15.3元；守住14.0元附近、但未有效收复15.3元时，偏向区间整理。按历史波动率测算，一周后收盘落在该区间的概率约55%。</w:t>
      </w:r>
    </w:p>
    <w:p>
      <w:pPr>
        <w:pStyle w:val="ListParagraph"/>
        <w:numPr>
          <w:ilvl w:val="0"/>
          <w:numId w:val="2"/>
        </w:numPr>
        <w:spacing w:after="80" w:line="280"/>
      </w:pPr>
      <w:r>
        <w:rPr>
          <w:b/>
          <w:bCs/>
          <w:sz w:val="22"/>
          <w:szCs w:val="22"/>
        </w:rPr>
        <w:t xml:space="preserve">偏弱下行（约四成半）</w:t>
      </w:r>
      <w:r>
        <w:rPr>
          <w:sz w:val="22"/>
          <w:szCs w:val="22"/>
        </w:rPr>
        <w:t xml:space="preserve">：13.6~14.2元；若放量跌破13.8元及52周低点附近支撑，下行风险增加。按历史波动率测算，一周后收盘落在该区间的概率约15%。</w:t>
      </w:r>
    </w:p>
    <w:p>
      <w:pPr>
        <w:pStyle w:val="ListParagraph"/>
        <w:numPr>
          <w:ilvl w:val="0"/>
          <w:numId w:val="2"/>
        </w:numPr>
        <w:spacing w:after="80" w:line="280"/>
      </w:pPr>
      <w:r>
        <w:rPr>
          <w:b/>
          <w:bCs/>
          <w:sz w:val="22"/>
          <w:szCs w:val="22"/>
        </w:rPr>
        <w:t xml:space="preserve">反弹走强（约一成半）</w:t>
      </w:r>
      <w:r>
        <w:rPr>
          <w:sz w:val="22"/>
          <w:szCs w:val="22"/>
        </w:rPr>
        <w:t xml:space="preserve">：15.2~16.4元；若成交放大并有效站上15.3元，且板块配合，或向MA20附近修复。按历史波动率测算，一周后收盘落在该区间的概率约35%。</w:t>
      </w:r>
    </w:p>
    <w:p>
      <w:pPr>
        <w:spacing w:after="200"/>
      </w:pPr>
      <w:r>
        <w:rPr>
          <w:i/>
          <w:iCs/>
          <w:color w:val="595959"/>
          <w:sz w:val="18"/>
          <w:szCs w:val="18"/>
        </w:rPr>
        <w:t xml:space="preserve">括号内是主观权重；句末的概率由上面的波动率区间反推，只反映波动幅度、不含方向判断。</w:t>
      </w:r>
    </w:p>
    <w:p>
      <w:pPr>
        <w:pStyle w:val="Heading2"/>
        <w:spacing w:after="120" w:before="240"/>
      </w:pPr>
      <w:r>
        <w:rPr>
          <w:b/>
          <w:bCs/>
          <w:color w:val="2E74B5"/>
          <w:sz w:val="24"/>
          <w:szCs w:val="24"/>
        </w:rPr>
        <w:t xml:space="preserve">8.5 资金与流动性</w:t>
      </w:r>
    </w:p>
    <w:p>
      <w:pPr>
        <w:spacing w:after="160" w:line="300"/>
      </w:pPr>
      <w:r>
        <w:rPr>
          <w:sz w:val="22"/>
          <w:szCs w:val="22"/>
        </w:rPr>
        <w:t xml:space="preserve">近10个交易日（2026-10-12至10-23）成交额约6.36亿~12.79亿元、换手率约1.25%~2.52%。截至2026-09-30，前十大流通股东合计持股43.90%；含香港结算、战略股东及少量基金持仓，披露存在滞后，结构可能已变化。近期成交活跃度尚可，但持仓集中度较高，交易仍需关注流动性变化。</w:t>
      </w:r>
    </w:p>
    <w:p>
      <w:pPr>
        <w:spacing w:after="160" w:line="300"/>
      </w:pPr>
      <w:r>
        <w:rPr>
          <w:sz w:val="22"/>
          <w:szCs w:val="22"/>
        </w:rPr>
        <w:t xml:space="preserve">若连续2个交易日成交额高于12.79亿元且收盘站上15.3元，可视为量价转强的确认信号。</w:t>
      </w:r>
    </w:p>
    <w:p>
      <w:pPr>
        <w:spacing w:after="200"/>
      </w:pPr>
      <w:r>
        <w:rPr>
          <w:i/>
          <w:iCs/>
          <w:color w:val="595959"/>
          <w:sz w:val="18"/>
          <w:szCs w:val="18"/>
        </w:rPr>
        <w:t xml:space="preserve">以上情景推演基于2026-10-23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金风科技(002202)_公司公告_金风科技：2025年年度报告新浪财经_新浪网 — https://vip.stock.finance.sina.com.cn/corp/view/vCB_AllBulletinDetail.php?id=12030262&amp;stockid=002202</w:t>
      </w:r>
    </w:p>
    <w:p>
      <w:pPr>
        <w:spacing w:after="200"/>
      </w:pPr>
      <w:r>
        <w:rPr>
          <w:i/>
          <w:iCs/>
          <w:color w:val="595959"/>
          <w:sz w:val="18"/>
          <w:szCs w:val="18"/>
        </w:rPr>
        <w:t xml:space="preserve">hkexnews.hk（公告PDF） — https://www1.hkexnews.hk/listedco/listconews/sehk/2026/0327/2026032702234_c.pdf</w:t>
      </w:r>
    </w:p>
    <w:p>
      <w:pPr>
        <w:spacing w:after="200"/>
      </w:pPr>
      <w:r>
        <w:rPr>
          <w:i/>
          <w:iCs/>
          <w:color w:val="595959"/>
          <w:sz w:val="18"/>
          <w:szCs w:val="18"/>
        </w:rPr>
        <w:t xml:space="preserve">金风科技股份有限公司2023 年年度报告全文 — https://stockn.xueqiu.com/SZ002202/20240328561185.pdf</w:t>
      </w:r>
    </w:p>
    <w:p>
      <w:pPr>
        <w:spacing w:after="200"/>
      </w:pPr>
      <w:r>
        <w:rPr>
          <w:i/>
          <w:iCs/>
          <w:color w:val="595959"/>
          <w:sz w:val="18"/>
          <w:szCs w:val="18"/>
        </w:rPr>
        <w:t xml:space="preserve">明阳智能(601615)_公司公告_明阳智能：2025年年度报告新浪财经_新浪网 — https://money.finance.sina.com.cn/corp/view/vCB_AllBulletinDetail.php?id=12263192&amp;stockid=601615</w:t>
      </w:r>
    </w:p>
    <w:p>
      <w:pPr>
        <w:spacing w:after="200"/>
      </w:pPr>
      <w:r>
        <w:rPr>
          <w:i/>
          <w:iCs/>
          <w:color w:val="595959"/>
          <w:sz w:val="18"/>
          <w:szCs w:val="18"/>
        </w:rPr>
        <w:t xml:space="preserve">2026年三季度报告 — https://static.cninfo.com.cn/finalpage/2026-10-24/1225620078.PDF</w:t>
      </w:r>
    </w:p>
    <w:p>
      <w:pPr>
        <w:spacing w:after="200"/>
      </w:pPr>
      <w:r>
        <w:rPr>
          <w:i/>
          <w:iCs/>
          <w:color w:val="595959"/>
          <w:sz w:val="18"/>
          <w:szCs w:val="18"/>
        </w:rPr>
        <w:t xml:space="preserve">2025年年度报告 — https://static.cninfo.com.cn/finalpage/2026-03-28/1225043613.PDF</w:t>
      </w:r>
    </w:p>
    <w:p>
      <w:pPr>
        <w:spacing w:after="200"/>
      </w:pPr>
      <w:r>
        <w:rPr>
          <w:i/>
          <w:iCs/>
          <w:color w:val="595959"/>
          <w:sz w:val="18"/>
          <w:szCs w:val="18"/>
        </w:rPr>
        <w:t xml:space="preserve">2024年年度报告 — https://static.cninfo.com.cn/finalpage/2025-03-29/1222951109.pdf</w:t>
      </w:r>
    </w:p>
    <w:p>
      <w:pPr>
        <w:spacing w:after="200"/>
      </w:pPr>
      <w:r>
        <w:rPr>
          <w:i/>
          <w:iCs/>
          <w:color w:val="595959"/>
          <w:sz w:val="18"/>
          <w:szCs w:val="18"/>
        </w:rPr>
        <w:t xml:space="preserve">2023年年度报告 — https://static.cninfo.com.cn/finalpage/2024-03-29/1219449714.PDF</w:t>
      </w:r>
    </w:p>
    <w:p>
      <w:pPr>
        <w:spacing w:after="200"/>
      </w:pPr>
      <w:r>
        <w:rPr>
          <w:i/>
          <w:iCs/>
          <w:color w:val="595959"/>
          <w:sz w:val="18"/>
          <w:szCs w:val="18"/>
        </w:rPr>
        <w:t xml:space="preserve">腾讯财经行情（2026-10-23） — https://gu.qq.com/sz002202</w:t>
      </w:r>
    </w:p>
    <w:p>
      <w:pPr>
        <w:spacing w:after="200"/>
      </w:pPr>
      <w:r>
        <w:rPr>
          <w:i/>
          <w:iCs/>
          <w:color w:val="595959"/>
          <w:sz w:val="18"/>
          <w:szCs w:val="18"/>
        </w:rPr>
        <w:t xml:space="preserve">东方财富F10 合并资产负债表（2026三季报） — https://emweb.securities.eastmoney.com/pc_hsf10/pages/index.html?type=web&amp;code=SZ002202#/cwfx</w:t>
      </w:r>
    </w:p>
    <w:p>
      <w:pPr>
        <w:spacing w:after="200"/>
      </w:pPr>
      <w:r>
        <w:rPr>
          <w:i/>
          <w:iCs/>
          <w:color w:val="595959"/>
          <w:sz w:val="18"/>
          <w:szCs w:val="18"/>
        </w:rPr>
        <w:t xml:space="preserve">static.cninfo.com.cn（公告PDF） — https://static.cninfo.com.cn/finalpage/2026-08-26/1225504212.PDF</w:t>
      </w:r>
    </w:p>
    <w:p>
      <w:pPr>
        <w:spacing w:after="200"/>
      </w:pPr>
      <w:r>
        <w:rPr>
          <w:i/>
          <w:iCs/>
          <w:color w:val="595959"/>
          <w:sz w:val="18"/>
          <w:szCs w:val="18"/>
        </w:rPr>
        <w:t xml:space="preserve">reportify.cn — https://reportify.cn/financials/1234989899350937600</w:t>
      </w:r>
    </w:p>
    <w:p>
      <w:pPr>
        <w:spacing w:after="200"/>
      </w:pPr>
      <w:r>
        <w:rPr>
          <w:i/>
          <w:iCs/>
          <w:color w:val="595959"/>
          <w:sz w:val="18"/>
          <w:szCs w:val="18"/>
        </w:rPr>
        <w:t xml:space="preserve">金风科技：关于2024年限制性股票激励计划预留授予部分第一个解除限售期解除限售条件成就的公告 — https://www.sohu.com/a/1091874603_121857546?scm=10001.325_13-325_13.0.0-1-0-0-0.5_1334&amp;spm=smpc.channel_248.block3_308_NDdFbm_1_fd.93.17927631944943jjKgCz</w:t>
      </w:r>
    </w:p>
    <w:p>
      <w:pPr>
        <w:spacing w:after="200"/>
      </w:pPr>
      <w:r>
        <w:rPr>
          <w:i/>
          <w:iCs/>
          <w:color w:val="595959"/>
          <w:sz w:val="18"/>
          <w:szCs w:val="18"/>
        </w:rPr>
        <w:t xml:space="preserve">金风科技: 关于申请注册发行长期限含权中期票据的公告-证券之星 — https://wap.stockstar.com/detail/SN2026102400001768</w:t>
      </w:r>
    </w:p>
    <w:p>
      <w:pPr>
        <w:spacing w:after="200"/>
      </w:pPr>
      <w:r>
        <w:rPr>
          <w:i/>
          <w:iCs/>
          <w:color w:val="595959"/>
          <w:sz w:val="18"/>
          <w:szCs w:val="18"/>
        </w:rPr>
        <w:t xml:space="preserve">金风科技(002202):申请注册发行长期限含权中期票据 — https://vipwt1.cfi.cn/p20261023002515.html</w:t>
      </w:r>
    </w:p>
    <w:p>
      <w:pPr>
        <w:spacing w:after="200"/>
      </w:pPr>
      <w:r>
        <w:rPr>
          <w:i/>
          <w:iCs/>
          <w:color w:val="595959"/>
          <w:sz w:val="18"/>
          <w:szCs w:val="18"/>
        </w:rPr>
        <w:t xml:space="preserve">金风科技公司公告 — http://news.stockstar.com/info/dstock_002202_c76.shtml</w:t>
      </w:r>
    </w:p>
    <w:p>
      <w:pPr>
        <w:spacing w:after="200"/>
      </w:pPr>
      <w:r>
        <w:rPr>
          <w:i/>
          <w:iCs/>
          <w:color w:val="595959"/>
          <w:sz w:val="18"/>
          <w:szCs w:val="18"/>
        </w:rPr>
        <w:t xml:space="preserve">金风科技：第九届董事会十八次会议决议公告 — https://finance.eastmoney.com/a/202610233906621537.html#gubaComment</w:t>
      </w:r>
    </w:p>
    <w:p>
      <w:pPr>
        <w:spacing w:after="200"/>
      </w:pPr>
      <w:r>
        <w:rPr>
          <w:i/>
          <w:iCs/>
          <w:color w:val="595959"/>
          <w:sz w:val="18"/>
          <w:szCs w:val="18"/>
        </w:rPr>
        <w:t xml:space="preserve">金风科技:第九届董事会薪酬与考核委员会第十次会议决议 _ 金风科技(002202) _ 公告正文 — https://data.eastmoney.com/notices/detail/002202/AN202610231830848584.html</w:t>
      </w:r>
    </w:p>
    <w:p>
      <w:pPr>
        <w:spacing w:after="200"/>
      </w:pPr>
      <w:r>
        <w:rPr>
          <w:i/>
          <w:iCs/>
          <w:color w:val="595959"/>
          <w:sz w:val="18"/>
          <w:szCs w:val="18"/>
        </w:rPr>
        <w:t xml:space="preserve">HK金风科技(02208):全资子公司金风国际为其全资子公司金风意大利提供担保 — https://wt.cfi.cn/p20261023003103.html</w:t>
      </w:r>
    </w:p>
    <w:p>
      <w:pPr>
        <w:spacing w:after="200"/>
      </w:pPr>
      <w:r>
        <w:rPr>
          <w:i/>
          <w:iCs/>
          <w:color w:val="595959"/>
          <w:sz w:val="18"/>
          <w:szCs w:val="18"/>
        </w:rPr>
        <w:t xml:space="preserve">金风科技(002202):H股公告（持续性关连交易） — https://vipwt1.cfi.cn/p20261023002513.html</w:t>
      </w:r>
    </w:p>
    <w:p>
      <w:pPr>
        <w:spacing w:after="200"/>
      </w:pPr>
      <w:r>
        <w:rPr>
          <w:i/>
          <w:iCs/>
          <w:color w:val="595959"/>
          <w:sz w:val="18"/>
          <w:szCs w:val="18"/>
        </w:rPr>
        <w:t xml:space="preserve">东方财富 个股资金流向 — https://data.eastmoney.com/zjlx/002202.html</w:t>
      </w:r>
    </w:p>
    <w:p>
      <w:pPr>
        <w:spacing w:after="200"/>
      </w:pPr>
      <w:r>
        <w:rPr>
          <w:i/>
          <w:iCs/>
          <w:color w:val="595959"/>
          <w:sz w:val="18"/>
          <w:szCs w:val="18"/>
        </w:rPr>
        <w:t xml:space="preserve">东方财富 股东研究 — https://emweb.securities.eastmoney.com/pc_hsf10/pages/index.html?type=web&amp;code=SZ002202#/gdyj</w:t>
      </w:r>
    </w:p>
    <w:p>
      <w:pPr>
        <w:spacing w:after="200"/>
      </w:pPr>
      <w:r>
        <w:rPr>
          <w:i/>
          <w:iCs/>
          <w:color w:val="595959"/>
          <w:sz w:val="18"/>
          <w:szCs w:val="18"/>
        </w:rPr>
        <w:t xml:space="preserve">本报告由AI基于公开渠道信息自动检索、整理并生成，信息截至 2026-10-23收盘，可能存在时效性差异，具体数据请以公司正式公告及权威数据终端为准。本报告仅为信息整理与研究参考，不构成任何投资建议，投资者应独立判断并自行承担投资风险。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2026-10-25T08:31:50.159Z</dcterms:created>
  <dcterms:modified xsi:type="dcterms:W3CDTF">2026-10-25T08:31:50.159Z</dcterms:modified>
</cp:coreProperties>
</file>

<file path=docProps/custom.xml><?xml version="1.0" encoding="utf-8"?>
<Properties xmlns="http://schemas.openxmlformats.org/officeDocument/2006/custom-properties" xmlns:vt="http://schemas.openxmlformats.org/officeDocument/2006/docPropsVTypes"/>
</file>