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深圳诺普信作物科学股份有限公司（诺普信，002215） (002215)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行业：农药制剂、农业植保服务与特色生鲜</w:t>
      </w:r>
    </w:p>
    <w:p>
      <w:pPr>
        <w:jc w:val="center"/>
      </w:pPr>
      <w:r>
        <w:rPr>
          <w:color w:val="595959"/>
          <w:sz w:val="22"/>
          <w:szCs w:val="22"/>
        </w:rPr>
        <w:t xml:space="preserve">报告日期：2026年9月13日</w:t>
      </w:r>
    </w:p>
    <w:p>
      <w:pPr>
        <w:jc w:val="center"/>
      </w:pPr>
      <w:r>
        <w:rPr>
          <w:color w:val="595959"/>
          <w:sz w:val="20"/>
          <w:szCs w:val="20"/>
        </w:rPr>
        <w:t xml:space="preserve">截至2026年9月10日收盘；部分技术指标数据截至2026年9月9日，股东数据截至2026年6月30日，公告披露日期为2026年8月20日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诺普信2026年上半年实现营业收入39.64亿元，同比增长7.76%；归母净利润7.65亿元，同比增长17.98%，扣非归母净利润增长10.45%，利润增速高于收入增速。但同期经营活动现金流量净额仅0.92亿元，同比下降63.98%，应收账款较2025年末由6.48亿元增至11.54亿元，显示利润增长与现金回收出现明显背离，是当前最具决策意义的财务信号。</w:t>
      </w:r>
    </w:p>
    <w:p>
      <w:pPr>
        <w:spacing w:after="160" w:line="300"/>
      </w:pPr>
      <w:r>
        <w:rPr>
          <w:sz w:val="22"/>
          <w:szCs w:val="22"/>
        </w:rPr>
        <w:t xml:space="preserve">公司已形成农药制剂与特色生鲜双主业结构。2025年特色生鲜消费业务收入26.57亿元，占比45.95%，毛利率39.65%；主体制剂业务收入24.82亿元，占比42.91%，毛利率41.85%。2026年上半年蓝莓等特色生鲜收入约20.70亿元，同比增长13.87%，成为利润增长的主要驱动；农药制剂收入约15.24亿元，同比增长2.43%，田田圈控股经销商业务收入约3.70亿元，同比下降约0.77%。</w:t>
      </w:r>
    </w:p>
    <w:p>
      <w:pPr>
        <w:spacing w:after="160" w:line="300"/>
      </w:pPr>
      <w:r>
        <w:rPr>
          <w:sz w:val="22"/>
          <w:szCs w:val="22"/>
        </w:rPr>
        <w:t xml:space="preserve">公司当前业务增长对蓝莓规模化种植、采摘销售、采后处理及冷链效率的依赖度提升，同时农药制剂仍受原药采购、渠道竞争和终端需求影响。2026年9月10日股价为10.48元，市盈率TTM约13.2—13.7倍，较8月中旬低点已反弹约18.3%；短线股价低于技术页面口径的MA5、MA10和MA20，且当日主力资金净流出约3001万元，呈现高位震荡和资金分歧特征。</w:t>
      </w:r>
    </w:p>
    <w:p>
      <w:pPr>
        <w:spacing w:after="160" w:line="300"/>
      </w:pPr>
      <w:r>
        <w:rPr>
          <w:sz w:val="22"/>
          <w:szCs w:val="22"/>
        </w:rPr>
        <w:t xml:space="preserve">机构汇总预测预计公司2026年至2028年营业收入由66.17亿元增至85.83亿元，归母净利润由11.03亿元增至16.30亿元，但相关预测仅有有限机构参与，且盈利兑现取决于蓝莓业务盈利持续性、农药制剂利润率、应收账款回款和经营现金流改善。近期蓝莓植物新品种权诉讼合计涉诉金额约3021.80万元，案件尚未形成最终判决。</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002215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诺普信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2008年2月18日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注册地址及总部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广东省深圳市宝安区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卢柏强先生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合并范围内子公司</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截至2025年12月31日纳入87户子公司；以上信息以公司2025年年度报告为准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农药制剂业务：主营农药制剂的研发、生产、销售和农业技术服务，产品包括杀虫剂、杀菌剂、除草剂、植物营养产品、植物生长调节剂及助剂等。2025年主体制剂业务收入24.82亿元，占营业收入42.91%，毛利率41.85%。</w:t>
      </w:r>
    </w:p>
    <w:p>
      <w:pPr>
        <w:pStyle w:val="ListParagraph"/>
        <w:numPr>
          <w:ilvl w:val="0"/>
          <w:numId w:val="2"/>
        </w:numPr>
        <w:spacing w:after="80" w:line="280"/>
      </w:pPr>
      <w:r>
        <w:rPr>
          <w:sz w:val="22"/>
          <w:szCs w:val="22"/>
        </w:rPr>
        <w:t xml:space="preserve">控股经销商及农业服务业务：承担农资销售、渠道和农业服务职能。2025年收入6.44亿元，占营业收入11.14%，毛利率11.35%；控股经销商数量由2024年的14家减少至2025年的12家。</w:t>
      </w:r>
    </w:p>
    <w:p>
      <w:pPr>
        <w:pStyle w:val="ListParagraph"/>
        <w:numPr>
          <w:ilvl w:val="0"/>
          <w:numId w:val="2"/>
        </w:numPr>
        <w:spacing w:after="80" w:line="280"/>
      </w:pPr>
      <w:r>
        <w:rPr>
          <w:sz w:val="22"/>
          <w:szCs w:val="22"/>
        </w:rPr>
        <w:t xml:space="preserve">特色生鲜消费业务：主要包括蓝莓、火龙果、燕窝果等特色水果，并覆盖品种选育、规模化种植、采摘、加工、冷链和品牌营销等环节。2025年收入26.57亿元，占营业收入45.95%，毛利率39.65%。</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诺普信位于农药产业链中游偏下游，核心环节是农药制剂加工、产品登记证、配方与剂型技术、品牌、渠道及植保服务，而非农药原药和基础化工原料生产；同时，公司通过蓝莓等特色生鲜业务向种植、加工、冷链和品牌消费端延伸。</w:t>
      </w:r>
    </w:p>
    <w:p>
      <w:pPr>
        <w:pStyle w:val="ListParagraph"/>
        <w:numPr>
          <w:ilvl w:val="0"/>
          <w:numId w:val="2"/>
        </w:numPr>
        <w:spacing w:after="80" w:line="280"/>
      </w:pPr>
      <w:r>
        <w:rPr>
          <w:sz w:val="22"/>
          <w:szCs w:val="22"/>
        </w:rPr>
        <w:t xml:space="preserve">农药制剂业务的主要投入包括农药原药及中间体、溶剂、助剂、乳化剂和制剂辅料、包装材料、肥料及植物营养产品原料，以及生产、仓储和物流服务。</w:t>
      </w:r>
    </w:p>
    <w:p>
      <w:pPr>
        <w:pStyle w:val="ListParagraph"/>
        <w:numPr>
          <w:ilvl w:val="0"/>
          <w:numId w:val="2"/>
        </w:numPr>
        <w:spacing w:after="80" w:line="280"/>
      </w:pPr>
      <w:r>
        <w:rPr>
          <w:sz w:val="22"/>
          <w:szCs w:val="22"/>
        </w:rPr>
        <w:t xml:space="preserve">生鲜业务的主要投入包括土地或基地租赁、蓝莓种苗、品种和基质、水肥、农药和农业设施、人工采摘、包装材料、冷库、分选和冷链运输。</w:t>
      </w:r>
    </w:p>
    <w:p>
      <w:pPr>
        <w:pStyle w:val="ListParagraph"/>
        <w:numPr>
          <w:ilvl w:val="0"/>
          <w:numId w:val="2"/>
        </w:numPr>
        <w:spacing w:after="80" w:line="280"/>
      </w:pPr>
      <w:r>
        <w:rPr>
          <w:sz w:val="22"/>
          <w:szCs w:val="22"/>
        </w:rPr>
        <w:t xml:space="preserve">2025年农药化肥类产品生产量为58,575.69吨，外购量为114,503.90吨；外购量明显高于自有生产量，显示公司对外部采购和供应链管理存在较强依赖。</w:t>
      </w:r>
    </w:p>
    <w:p>
      <w:pPr>
        <w:pStyle w:val="ListParagraph"/>
        <w:numPr>
          <w:ilvl w:val="0"/>
          <w:numId w:val="2"/>
        </w:numPr>
        <w:spacing w:after="80" w:line="280"/>
      </w:pPr>
      <w:r>
        <w:rPr>
          <w:sz w:val="22"/>
          <w:szCs w:val="22"/>
        </w:rPr>
        <w:t xml:space="preserve">公司以制剂为主，并非典型的原药一体化企业，对草甘膦、菊酯类、杀菌剂原药及其他农药有效成分的价格控制力较弱，成本端较大程度受原药市场行情影响，整体更接近上游原药和大宗化工品的价格接受者。</w:t>
      </w:r>
    </w:p>
    <w:p>
      <w:pPr>
        <w:pStyle w:val="ListParagraph"/>
        <w:numPr>
          <w:ilvl w:val="0"/>
          <w:numId w:val="2"/>
        </w:numPr>
        <w:spacing w:after="80" w:line="280"/>
      </w:pPr>
      <w:r>
        <w:rPr>
          <w:sz w:val="22"/>
          <w:szCs w:val="22"/>
        </w:rPr>
        <w:t xml:space="preserve">公司2025年农药化肥类产品生产量不能直接等同于统一口径的设计产能；年报未披露统一的农药制剂设计产能数字，且公司存在自有生产、委托加工和外购后销售等多种来源。</w:t>
      </w:r>
    </w:p>
    <w:p>
      <w:pPr>
        <w:pStyle w:val="ListParagraph"/>
        <w:numPr>
          <w:ilvl w:val="0"/>
          <w:numId w:val="2"/>
        </w:numPr>
        <w:spacing w:after="80" w:line="280"/>
      </w:pPr>
      <w:r>
        <w:rPr>
          <w:sz w:val="22"/>
          <w:szCs w:val="22"/>
        </w:rPr>
        <w:t xml:space="preserve">公司未在本次检索中找到供应商集中度的完整披露，因此无法据此判断供应商集中度高低。</w:t>
      </w:r>
    </w:p>
    <w:p>
      <w:pPr>
        <w:pStyle w:val="ListParagraph"/>
        <w:numPr>
          <w:ilvl w:val="0"/>
          <w:numId w:val="2"/>
        </w:numPr>
        <w:spacing w:after="80" w:line="280"/>
      </w:pPr>
      <w:r>
        <w:rPr>
          <w:sz w:val="22"/>
          <w:szCs w:val="22"/>
        </w:rPr>
        <w:t xml:space="preserve">农药制剂业务下游主要包括农资经销商和零售商、种植大户、家庭农场、农业合作社、专业植保服务组织及各类农作物种植终端。</w:t>
      </w:r>
    </w:p>
    <w:p>
      <w:pPr>
        <w:pStyle w:val="ListParagraph"/>
        <w:numPr>
          <w:ilvl w:val="0"/>
          <w:numId w:val="2"/>
        </w:numPr>
        <w:spacing w:after="80" w:line="280"/>
      </w:pPr>
      <w:r>
        <w:rPr>
          <w:sz w:val="22"/>
          <w:szCs w:val="22"/>
        </w:rPr>
        <w:t xml:space="preserve">生鲜业务下游包括商超、电商、批发商、餐饮及其他消费渠道；该业务更依赖品牌、品质、规格、采后处理和冷链能力。</w:t>
      </w:r>
    </w:p>
    <w:p>
      <w:pPr>
        <w:pStyle w:val="ListParagraph"/>
        <w:numPr>
          <w:ilvl w:val="0"/>
          <w:numId w:val="2"/>
        </w:numPr>
        <w:spacing w:after="80" w:line="280"/>
      </w:pPr>
      <w:r>
        <w:rPr>
          <w:sz w:val="22"/>
          <w:szCs w:val="22"/>
        </w:rPr>
        <w:t xml:space="preserve">农药行业的原药价格通常由行业供需和大宗化工品行情决定，制剂企业对上游议价能力有限；诺普信主要通过品牌、配方、登记证、技术服务和渠道覆盖提升产品溢价。</w:t>
      </w:r>
    </w:p>
    <w:p>
      <w:pPr>
        <w:pStyle w:val="ListParagraph"/>
        <w:numPr>
          <w:ilvl w:val="0"/>
          <w:numId w:val="2"/>
        </w:numPr>
        <w:spacing w:after="80" w:line="280"/>
      </w:pPr>
      <w:r>
        <w:rPr>
          <w:sz w:val="22"/>
          <w:szCs w:val="22"/>
        </w:rPr>
        <w:t xml:space="preserve">农资销售具有较强季节性，销售旺季前的渠道库存和赊销政策会影响现金流；终端农户对价格敏感，但也重视药效、稳定性和技术服务。</w:t>
      </w:r>
    </w:p>
    <w:p>
      <w:pPr>
        <w:pStyle w:val="ListParagraph"/>
        <w:numPr>
          <w:ilvl w:val="0"/>
          <w:numId w:val="2"/>
        </w:numPr>
        <w:spacing w:after="80" w:line="280"/>
      </w:pPr>
      <w:r>
        <w:rPr>
          <w:sz w:val="22"/>
          <w:szCs w:val="22"/>
        </w:rPr>
        <w:t xml:space="preserve">生鲜业务具有季节性和易腐性，价格波动、采后损耗、库存和冷链效率对盈利影响较大。</w:t>
      </w:r>
    </w:p>
    <w:p>
      <w:pPr>
        <w:pStyle w:val="ListParagraph"/>
        <w:numPr>
          <w:ilvl w:val="0"/>
          <w:numId w:val="2"/>
        </w:numPr>
        <w:spacing w:after="80" w:line="280"/>
      </w:pPr>
      <w:r>
        <w:rPr>
          <w:sz w:val="22"/>
          <w:szCs w:val="22"/>
        </w:rPr>
        <w:t xml:space="preserve">公司未在本次检索中找到2025年农药业务和生鲜业务前五大客户占比，客户集中度数据缺失；生鲜业务年报未披露前五大客户占比，因此无法判断下游客户集中度。</w:t>
      </w:r>
    </w:p>
    <w:p>
      <w:pPr>
        <w:pStyle w:val="ListParagraph"/>
        <w:numPr>
          <w:ilvl w:val="0"/>
          <w:numId w:val="2"/>
        </w:numPr>
        <w:spacing w:after="80" w:line="280"/>
      </w:pPr>
      <w:r>
        <w:rPr>
          <w:sz w:val="22"/>
          <w:szCs w:val="22"/>
        </w:rPr>
        <w:t xml:space="preserve">截至2025年12月31日，公司合并口径应收账款6.48亿元、预付款项2.37亿元、存货12.36亿元、营业收入57.83亿元、归属于母公司股东的净利润6.50亿元、经营活动现金流量净额14.75亿元。按期末余额简单计算，应收账款/营业收入约11.2%，应收账款/归母净利润约99.6%，存货/营业收入约21.4%。应收账款绝对金额接近当年归母净利润，渠道信用和回款质量仍需关注；存货规模较大，可能与农资季节性备货及蓝莓等生鲜业务扩张有关。2025年经营活动现金流量净额显著高于归母净利润，表明整体现金回收表现较好，但不能单独据此判断农药制剂业务议价能力增强。公司未披露统一口径的应收账款周转天数，且未找到供应商集中度和农药业务前五大客户占比。</w:t>
      </w:r>
    </w:p>
    <w:p>
      <w:pPr>
        <w:pStyle w:val="ListParagraph"/>
        <w:numPr>
          <w:ilvl w:val="0"/>
          <w:numId w:val="2"/>
        </w:numPr>
        <w:spacing w:after="80" w:line="280"/>
      </w:pPr>
      <w:r>
        <w:rPr>
          <w:sz w:val="22"/>
          <w:szCs w:val="22"/>
        </w:rPr>
        <w:t xml:space="preserve">公司未在本次检索中找到2025年农药和生鲜业务前五大客户占比、供应商集中度等完整数据，因此集中度判断不确定。公司官网披露云南超过7万亩基质蓝莓基地、76座现代化智能农场和47座冷链加工中心，但上述数据属于公司自披露信息，本次未找到同等口径的第三方独立核实材料。</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26.92%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公司仍以农药制剂和控股经销商业务为主，渠道业务占比较高，整体利润率相对有限。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27.11%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数据缺失，研究纪要未提供该年度整体净利率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主体制剂业务收入占比升至63.46%，但农药产品价格、原材料成本和渠道竞争限制了毛利率提升幅度。</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29.45%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农药制剂业务收入下降，但生鲜消费业务收入同比增长约271%，蓝莓等业务毛利结构开始影响整体利润。</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37.66%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数据缺失，研究纪要未提供该年度整体净利率</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生鲜消费业务快速放量，收入达到21.39亿元、占比40.45%；业务结构逐步转向“农药制剂+特色生鲜”双主业。</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37.44%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数据缺失，研究纪要未提供该年度整体净利率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2024年小幅下降；主体制剂业务毛利率41.85%，生鲜消费业务毛利率39.65%，但生鲜业务成本同比增速高于收入增速，毛利率同比下降4.33个百分点。整体高毛利表现部分依赖生鲜业务占比提升，而非单纯来自农药制剂提价。</w:t>
            </w:r>
          </w:p>
        </w:tc>
      </w:tr>
    </w:tbl>
    <w:p>
      <w:pPr>
        <w:spacing w:before="200"/>
      </w:pPr>
    </w:p>
    <w:p>
      <w:pPr>
        <w:spacing w:after="160" w:line="300"/>
      </w:pPr>
      <w:r>
        <w:rPr>
          <w:sz w:val="22"/>
          <w:szCs w:val="22"/>
        </w:rPr>
        <w:t xml:space="preserve">诺普信处于农药产业链中游偏下游，并向特色生鲜消费端延伸：相较上游原药和基础化工环节，公司依靠制剂配方、登记证、品牌、渠道和技术服务获取附加值，但不具备显著的上游原药资源控制力或大宗商品定价权。未来利润改善主要依赖农药制剂产品结构升级、品牌和技术服务溢价、渠道及成本控制，以及生鲜业务规模化、种植效率、采后处理和冷链效率提升。</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2026年上半年（2026年1月1日至6月30日）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39.64亿元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同比增长7.76%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7.65亿元（归属于上市公司股东的净利润）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同比增长17.98%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同比增长9.35%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6.50亿元（归属于上市公司股东的净利润）</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同比增长11.26%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52.88亿元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5.85亿元（归属于上市公司股东的净利润）</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bl>
    <w:p>
      <w:pPr>
        <w:spacing w:after="200"/>
      </w:pPr>
      <w:r>
        <w:rPr>
          <w:i/>
          <w:iCs/>
          <w:color w:val="595959"/>
          <w:sz w:val="18"/>
          <w:szCs w:val="18"/>
        </w:rPr>
        <w:t xml:space="preserve">2026年上半年扣除非经常性损益后的归母净利润为7.50亿元，同比增长10.45%；基本每股收益为0.7752元，同比增长17.21%；加权平均净资产收益率为16.75%，同比提升0.99个百分点。同期经营活动产生的现金流量净额为0.92亿元，同比下降63.98%。截至2026年6月30日，应收账款为11.54亿元，较2025年末的6.48亿元增加；短期借款为32.95亿元，资产负债率约为60.52%。</w:t>
      </w:r>
    </w:p>
    <w:p>
      <w:pPr>
        <w:spacing w:after="160" w:line="300"/>
      </w:pPr>
      <w:r>
        <w:rPr>
          <w:sz w:val="22"/>
          <w:szCs w:val="22"/>
        </w:rPr>
        <w:t xml:space="preserve">2026年上半年收入稳健增长，归母净利润增速高于收入增速，利润增长主要由蓝莓业务带动。收入结构包括特色生鲜消费业务约20.70亿元，同比增长13.87%；农药制剂业务约15.24亿元，同比增长2.43%；田田圈控股经销商业务约3.70亿元，同比下降约0.77%。需要关注经营现金流同比大幅下降、应收账款快速增加以及利润增长与现金回收之间的背离。公司业务具有一定季节性，蓝莓业务季度盈利波动可能较大，不能将上半年利润简单线性外推至全年。</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盈利预测页面截至2026年9月4日显示，近6个月内共有3家机构对公司2026年度业绩作出预测。上述数据为平台机构汇总预测，详细机构数据披露有限，不宜视为完全透明的多券商一致预期。公开可见的东北证券李强于2026年8月24日给出的单一预测为：2026年至2028年营业收入分别为66.17亿元、76.79亿元和85.83亿元，归母净利润分别为10.94亿元、13.51亿元和15.68亿元，EPS分别为1.09元、1.35元和1.56元。按同花顺汇总预测，2025年至2028年营业收入预计由57.83亿元增长至85.83亿元，期间复合增速约14%；归母净利润预计由6.50亿元增长至16.30亿元，期间复合增速约36%。</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2026年（同花顺平台机构汇总预测）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66.17亿元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11.03亿元（归母净利润）</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2027年（同花顺平台机构汇总预测）</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76.79亿元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13.65亿元（归母净利润）</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2028年（同花顺平台机构汇总预测）</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85.83亿元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16.30亿元（归母净利润）</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富途牛牛平台汇总（未完整披露具体券商）</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强力推荐；近三个月4位分析师中100%为该评级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截至2026年8月21日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目标价预测均值、最高值和最低值均为19.80元。页面未完整披露分析师对应券商、报告发布日期、评级变动及目标价计算依据，且均值、最高值和最低值完全相同，透明度有限。</w:t>
            </w:r>
          </w:p>
        </w:tc>
      </w:tr>
    </w:tbl>
    <w:p>
      <w:pPr>
        <w:spacing w:before="200"/>
      </w:pPr>
    </w:p>
    <w:p>
      <w:pPr>
        <w:spacing w:after="160" w:line="300"/>
      </w:pPr>
      <w:r>
        <w:rPr>
          <w:sz w:val="22"/>
          <w:szCs w:val="22"/>
        </w:rPr>
        <w:t xml:space="preserve">截至2026年9月11日收盘，股价约10.10元，总市值约101亿元，较前一交易日下跌3.63%。富途牛牛数据显示，2026年9月11日盘中股价约10.05元，市盈率TTM约13.15倍，静态市盈率约15.51倍，市净率约2.20倍；理杏仁截至2026年9月10日数据显示，股价10.48元，市盈率TTM为13.72倍，市净率约2.30倍，PE-TTM处于其历史区间约15.15%分位，低于历史中位数17.63倍。以2026年9月11日收盘价10.10元和同花顺机构预测EPS计算，2026年至2028年动态PE约为9.2倍、7.4倍和6.2倍；若采用东北证券单一预测EPS，对应PE约为9.3倍、7.5倍和6.5倍。整体看，公司当前TTM PE约13—14倍，按机构预测口径的远期估值更低；若预测兑现，当前估值水平不高。但估值能否向预测区间靠拢，取决于蓝莓业务盈利持续性、农药制剂业务利润率、应收账款回款及经营现金流改善情况。19.80元目标价和“强力推荐”评级来自富途牛牛汇总页面，缺乏完整券商报告及目标价计算依据，不能视为经过充分交叉验证的市场一致目标价。</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两项蓝莓植物新品种权诉讼获受理，涉诉金额合计约3021.80万元</w:t>
      </w:r>
    </w:p>
    <w:p>
      <w:pPr>
        <w:spacing w:after="160" w:line="300"/>
      </w:pPr>
      <w:r>
        <w:rPr>
          <w:sz w:val="22"/>
          <w:szCs w:val="22"/>
        </w:rPr>
        <w:t xml:space="preserve">2026年9月11日，公司披露下属控股公司盈江县旺悦莓农业有限公司涉及植物新品种权诉讼，原告为云南美鸣农业有限公司，诉讼请求金额为2000万元。截至公告披露日，案件已一审立案并排期开庭，尚未开庭审理。2026年9月8日，公司另披露云南甄富莓农业有限公司、爱莓庄农业集团有限公司及光筑（云南）农业有限公司涉及同类诉讼，涉诉金额为1021.797611万元。两案均涉及蓝莓品种授权、繁殖及种植，相关被告不认可原告诉讼主张并将积极应诉，实际损失以最终生效判决为准，目前尚不确定。</w:t>
      </w:r>
    </w:p>
    <w:p>
      <w:pPr>
        <w:pStyle w:val="Heading2"/>
        <w:spacing w:after="120" w:before="240"/>
      </w:pPr>
      <w:r>
        <w:rPr>
          <w:b/>
          <w:bCs/>
          <w:color w:val="2E74B5"/>
          <w:sz w:val="24"/>
          <w:szCs w:val="24"/>
        </w:rPr>
        <w:t xml:space="preserve">4.2 投资者关系活动关注蓝莓新产季及生鲜业务规划</w:t>
      </w:r>
    </w:p>
    <w:p>
      <w:pPr>
        <w:spacing w:after="160" w:line="300"/>
      </w:pPr>
      <w:r>
        <w:rPr>
          <w:sz w:val="22"/>
          <w:szCs w:val="22"/>
        </w:rPr>
        <w:t xml:space="preserve">公司于2026年9月8日披露投资者关系活动记录表，活动时间为2026年9月3日至9月8日。公司预计2026年9月中下旬蓝莓新产季陆续进入采摘期，四季度出货量同比增长，价格预计与去年同期基本持平；公司还表示，南美蓝莓产量下降及进口高峰后移可能为四季度国内销售提供更充裕窗口。火龙果业务不再新增投资，后续重点为经营优化和成本管控；果汁业务目前以代工为主，业务体量较小。上述内容属于公司经营判断和预期，不是正式业绩预告，实际情况仍存在不确定性。</w:t>
      </w:r>
    </w:p>
    <w:p>
      <w:pPr>
        <w:pStyle w:val="Heading2"/>
        <w:spacing w:after="120" w:before="240"/>
      </w:pPr>
      <w:r>
        <w:rPr>
          <w:b/>
          <w:bCs/>
          <w:color w:val="2E74B5"/>
          <w:sz w:val="24"/>
          <w:szCs w:val="24"/>
        </w:rPr>
        <w:t xml:space="preserve">4.3 2026年上半年收入及归母净利润保持增长，经营现金流同比下降</w:t>
      </w:r>
    </w:p>
    <w:p>
      <w:pPr>
        <w:spacing w:after="160" w:line="300"/>
      </w:pPr>
      <w:r>
        <w:rPr>
          <w:sz w:val="22"/>
          <w:szCs w:val="22"/>
        </w:rPr>
        <w:t xml:space="preserve">公司于2026年8月20日披露2026年半年度报告。2026年1月至6月，公司实现营业收入39.6388亿元，同比增长7.76%；归属于上市公司股东的净利润7.6452亿元，同比增长17.98%；扣除非经常性损益后的净利润7.5025亿元，同比增长10.45%；经营活动产生的现金流量净额9163.76万元，同比下降63.98%；基本每股收益0.7752元，加权平均净资产收益率16.75%。截至2026年6月30日，公司普通股股东总数为39927户。</w:t>
      </w:r>
    </w:p>
    <w:p>
      <w:pPr>
        <w:pStyle w:val="Heading2"/>
        <w:spacing w:after="120" w:before="240"/>
      </w:pPr>
      <w:r>
        <w:rPr>
          <w:b/>
          <w:bCs/>
          <w:color w:val="2E74B5"/>
          <w:sz w:val="24"/>
          <w:szCs w:val="24"/>
        </w:rPr>
        <w:t xml:space="preserve">4.4 公司出售南通泰禾部分股份，仍持有其2.95%股份</w:t>
      </w:r>
    </w:p>
    <w:p>
      <w:pPr>
        <w:spacing w:after="160" w:line="300"/>
      </w:pPr>
      <w:r>
        <w:rPr>
          <w:sz w:val="22"/>
          <w:szCs w:val="22"/>
        </w:rPr>
        <w:t xml:space="preserve">2026年半年度报告披露，截至2026年6月30日，公司已通过集中竞价方式累计出售南通泰禾化工股份有限公司股份450万股，占南通泰禾总股本的1%；出售完成后，公司仍持有南通泰禾股份1328万股，占其总股本的2.95%。该事项属于出售参股公司股份，不属于上市公司自身股票回购。</w:t>
      </w:r>
    </w:p>
    <w:p>
      <w:pPr>
        <w:pStyle w:val="Heading2"/>
        <w:spacing w:after="120" w:before="240"/>
      </w:pPr>
      <w:r>
        <w:rPr>
          <w:b/>
          <w:bCs/>
          <w:color w:val="2E74B5"/>
          <w:sz w:val="24"/>
          <w:szCs w:val="24"/>
        </w:rPr>
        <w:t xml:space="preserve">4.5 核销历史坏账1047.93万元，对当期损益无直接影响</w:t>
      </w:r>
    </w:p>
    <w:p>
      <w:pPr>
        <w:spacing w:after="160" w:line="300"/>
      </w:pPr>
      <w:r>
        <w:rPr>
          <w:sz w:val="22"/>
          <w:szCs w:val="22"/>
        </w:rPr>
        <w:t xml:space="preserve">公司于2026年8月20日披露《关于2026年坏账核销的公告》，拟核销坏账合计10479323.37元，涉及5家单位，其中应收账款核销926.81万元，其他应收款核销121.12万元。相关款项在核销前已经全额计提坏账准备，公司表示本次核销不会对当期损益和财务状况产生影响。</w:t>
      </w:r>
    </w:p>
    <w:p>
      <w:pPr>
        <w:pStyle w:val="Heading2"/>
        <w:spacing w:after="120" w:before="240"/>
      </w:pPr>
      <w:r>
        <w:rPr>
          <w:b/>
          <w:bCs/>
          <w:color w:val="2E74B5"/>
          <w:sz w:val="24"/>
          <w:szCs w:val="24"/>
        </w:rPr>
        <w:t xml:space="preserve">4.6 终止2025年度向特定对象发行A股股票，原计划募资不超过14.50亿元</w:t>
      </w:r>
    </w:p>
    <w:p>
      <w:pPr>
        <w:spacing w:after="160" w:line="300"/>
      </w:pPr>
      <w:r>
        <w:rPr>
          <w:sz w:val="22"/>
          <w:szCs w:val="22"/>
        </w:rPr>
        <w:t xml:space="preserve">公司于2026年7月11日披露终止2025年度向特定对象发行A股股票事项。原方案拟募集资金不超过14.50亿元，主要投向蓝莓产业扩建及研发中心项目。公司于2026年7月10日召开董事会审议通过终止事项，原因包括宏观市场环境变化、行业发展动态变化、公司战略布局调整及实际经营需要。截至公告披露日，公司尚未向深圳证券交易所提交本次发行申请文件。</w:t>
      </w:r>
    </w:p>
    <w:p>
      <w:pPr>
        <w:pStyle w:val="Heading2"/>
        <w:spacing w:after="120" w:before="240"/>
      </w:pPr>
      <w:r>
        <w:rPr>
          <w:b/>
          <w:bCs/>
          <w:color w:val="2E74B5"/>
          <w:sz w:val="24"/>
          <w:szCs w:val="24"/>
        </w:rPr>
        <w:t xml:space="preserve">4.7 重要股东质押3214万股，占公司总股本约3.20%</w:t>
      </w:r>
    </w:p>
    <w:p>
      <w:pPr>
        <w:spacing w:after="160" w:line="300"/>
      </w:pPr>
      <w:r>
        <w:rPr>
          <w:sz w:val="22"/>
          <w:szCs w:val="22"/>
        </w:rPr>
        <w:t xml:space="preserve">截至2026年9月4日可见数据，深圳市诺普信投资控股有限公司持有公司股份4486.39万股，占公司总股本4.47%，其中3214万股已质押给万联证券，质押股份占该股东持股比例约71.64%，占公司总股本约3.20%。截至本次检索，未发现2026年9月公司控股股东或实际控制人新增大额减持公告。</w:t>
      </w:r>
    </w:p>
    <w:p>
      <w:pPr>
        <w:pStyle w:val="Heading2"/>
        <w:spacing w:after="120" w:before="240"/>
      </w:pPr>
      <w:r>
        <w:rPr>
          <w:b/>
          <w:bCs/>
          <w:color w:val="2E74B5"/>
          <w:sz w:val="24"/>
          <w:szCs w:val="24"/>
        </w:rPr>
        <w:t xml:space="preserve">4.8 近期未检索到新增大规模二级市场股份回购方案</w:t>
      </w:r>
    </w:p>
    <w:p>
      <w:pPr>
        <w:spacing w:after="160" w:line="300"/>
      </w:pPr>
      <w:r>
        <w:rPr>
          <w:sz w:val="22"/>
          <w:szCs w:val="22"/>
        </w:rPr>
        <w:t xml:space="preserve">公司于2026年7月28日披露完成2023年限制性股票激励计划部分限制性股票回购注销。该类回购主要用于处理激励对象离职、考核条件未达成等情形，不属于上市公司使用自有资金在二级市场实施的股份回购。截至2026年9月13日，未检索到公司2026年7月至9月期间新增大规模二级市场股份回购方案或回购进展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10.48元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-3.14%，较前一交易日下跌0.34元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10.72元/10.83元/10.45元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约32.17万手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约3.39亿元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约105.25亿元/约84.68亿元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动态市盈率PE（TTM）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约13.2倍至13.7倍，不同数据源存在小幅口径差异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约2.30倍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低点约8.08元；高点不同来源约13.27元、13.72元或13.75元，参考区间约13.3~13.8元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2026年8月14日至9月10日收盘价由8.86元升至10.48元，区间涨幅约18.3%</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移动平均线（技术页面口径，截至2026年9月9日）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10.77元；MA10 10.70元；MA20 10.61元；MA50 10.44元；MA100 9.83元；MA200 9.39元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9月9日股价10.72元位于MA10、MA20和MA50上方；9月10日收盘价10.48元低于MA5、MA10和MA20，仍略高于MA50，短线由强势上攻转为高位震荡</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自行计算简单均线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基于2026年8月14日至9月10日收盘价序列计算：MA5约10.65元；MA10约10.49元；MA20约9.97元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与技术页面披露的MA20约10.61元存在较大差异，可能源于数据刷新时间、复权方式、历史数据抓取异常或数据序列不同；MA20应以交易终端当日重新计算结果为准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MACD（12,26，截至2026年9月9日）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约0.10；技术评级为“买入”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截至9月9日短期动能仍偏正，但9月10日股价回落且主力资金净流出；由于缺少9月10日收盘后同步更新的快线、慢线及柱体数据，不能将该状态直接视为9月10日收盘后的最新状态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RSI（14，截至2026年9月9日）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60.494；技术评级为“买入”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位于50上方但未达到通常意义上的极端超买区域，表明此前反弹仍有一定强度；9月10日下跌后，短线强弱可能有所回落，但缺少当日收盘后的同步数值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布林带（基于截至2026年9月10日最近20个交易日收盘价估算）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20日中轨约9.97元；收盘价标准差约0.63元；上轨约11.23元；下轨约8.71元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收盘价10.48元位于布林中轨与上轨之间，距离上轨约0.75元，尚未触及极端上轨位置；该指标为公开收盘价序列估算，不是交易终端官方实时指标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主力资金流向（证券之星单一来源，截至2026年9月10日）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主力资金净流出约3001.34万元，占当日成交额约8.85%；游资净流入约582.75万元；散户资金净流入约2418.59万元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呈现大单资金偏卖出、非主力资金承接的结构，短线多空分歧加大；该类主力资金数据通常按成交单大小划分，不等同于可识别的真实机构账户行为，且未取得第二个独立静态来源的完全一致数值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近期成交额与量价关系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最近几个交易日成交额约2.75亿至4.52亿元；9月9日约4.52亿元，9月10日约3.39亿元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8月26日至8月27日上涨阶段成交量明显放大，9月9日成交额升至近期较高水平；9月10日出现放量下跌并伴随主力资金净流出，短线上方抛压与多空分歧较为明显</w:t>
            </w:r>
          </w:p>
        </w:tc>
      </w:tr>
    </w:tbl>
    <w:p>
      <w:pPr>
        <w:spacing w:before="200"/>
      </w:pPr>
    </w:p>
    <w:p>
      <w:pPr>
        <w:spacing w:after="160" w:line="300"/>
      </w:pPr>
      <w:r>
        <w:rPr>
          <w:sz w:val="22"/>
          <w:szCs w:val="22"/>
        </w:rPr>
        <w:t xml:space="preserve">诺普信自8月中旬低位反弹后，股价由8月14日收盘的8.86元升至9月10日的10.48元，区间涨幅约18.3%。9月10日股价高开后回落，收盘低于开盘价，且成交额约3.39亿元、主力资金净流出约3001.34万元，短线存在获利回吐和上方抛压。技术指标方面，9月9日MACD仍为正值、RSI位于50上方，但9月10日收盘已低于技术页面口径的MA5、MA10和MA20，短线由强势上攻转为高位震荡。当前价格处于布林中轨与上轨之间，关键在于10.14~10.38元支撑区和10.82~11.15元压力区的有效性。需要注意，均线和布林带存在不同数据口径，部分技术指标并非9月10日收盘后同步更新。</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风险提示：以下内容仅为基于截至2026年9月10日收盘数据、历史价格和公开技术指标的主观情景推演，不构成投资建议，也不是对未来价格的确定性预测。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10.82~11.15元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10.82元对应9月9日收盘价附近，11.15元对应9月9日盘中高点附近，并参考近期高位成交密集区；若放量突破并稳定在11.15元上方，可能打开向约11.2~11.3元布林上轨估算区间测试的空间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10.14~10.38元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10.14元对应9月2日盘中低点附近，10.38元接近外部数据模型给出的支撑区上沿；若获得承接，可能维持10元上方震荡；若有效跌破，短线反弹结构将转弱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9.36~9.97元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9.97元为基于最近20个交易日收盘价计算的MA20附近，9.36~9.58元为近期成交密集区及前期反弹平台附近；若该区域被有效跌破，可能向约8.75~9.20元一带寻找支撑，接近布林下轨估算区间及52周低点附近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形态、成交量和资金流向的主观启发式判断，不是统计概率）：参考区间约10.15~10.90元。触发条件为股价在10.14元上方获得承接，成交额回落至近期常态区间约2.7~4.0亿元，且未出现明显行业或公司负面催化。技术表现可能为10.4元附近反复换手，上方受10.82~11.15元压力区压制</w:t>
      </w:r>
    </w:p>
    <w:p>
      <w:pPr>
        <w:pStyle w:val="ListParagraph"/>
        <w:numPr>
          <w:ilvl w:val="0"/>
          <w:numId w:val="2"/>
        </w:numPr>
        <w:spacing w:after="80" w:line="280"/>
      </w:pPr>
      <w:r>
        <w:rPr>
          <w:sz w:val="22"/>
          <w:szCs w:val="22"/>
        </w:rPr>
        <w:t xml:space="preserve">偏弱下行（权重中等；该权重为主观启发式判断，不是统计概率）：参考区间约9.35~10.15元。触发条件包括放量跌破10.14元，且单日成交额达到约4.5亿元以上、主力资金继续净流出，或大盘及相关农业、农化板块同步走弱。若9.97元附近不能形成有效支撑，可能回探9.36~9.58元区域</w:t>
      </w:r>
    </w:p>
    <w:p>
      <w:pPr>
        <w:pStyle w:val="ListParagraph"/>
        <w:numPr>
          <w:ilvl w:val="0"/>
          <w:numId w:val="2"/>
        </w:numPr>
        <w:spacing w:after="80" w:line="280"/>
      </w:pPr>
      <w:r>
        <w:rPr>
          <w:sz w:val="22"/>
          <w:szCs w:val="22"/>
        </w:rPr>
        <w:t xml:space="preserve">反弹走强（权重偏低；该权重为主观启发式判断，不是统计概率）：参考区间约10.90~11.30元。触发条件为股价重新站上10.82元，并伴随成交额连续放大至4.5亿~5亿元以上，同时主力资金由净流出转为明显净流入；进一步突破11.15元，才可视为短线反弹强度得到确认。若上涨但成交量明显萎缩，更可能属于弱反抽，而非趋势重新转强</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10日，换手率为3.98%，成交额为3.39亿元，流通市值约84.68亿元，当日成交额约占流通市值的0.40%；近期日成交额主要处于约2.7亿~4.5亿元区间，说明日常交易活跃度尚可，未显示极端低流动性特征。9月10日主力资金净流出约3001万元，短线资金分歧仍较明显。股东结构方面，最新公开数据截至2026年6月30日，前十大流通股东合计持股比例因数据源及统计口径不同约为23.93%~29.75%；前十大流通股东中同时包含实际控制人及关联自然人、关联企业、社保基金、公募基金和保险资金，机构投资者并非缺席，但筹码也并非完全由公募机构主导。股东数据距9月10日行情已有约两个多月滞后，期间机构或大股东持仓可能发生变化，不能视为实时筹码结构。实际含义是，股票具有一定成交活跃度和筹码集中度，但短线价格仍需结合成交额、资金流向及关键价位观察，不能仅据滞后股东数据判断当前资金控制情况。</w:t>
      </w:r>
    </w:p>
    <w:p>
      <w:pPr>
        <w:spacing w:after="160" w:line="300"/>
      </w:pPr>
      <w:r>
        <w:rPr>
          <w:sz w:val="22"/>
          <w:szCs w:val="22"/>
        </w:rPr>
        <w:t xml:space="preserve">可检查的量能确认信号是：若后续单日成交额连续放大至4.5亿~5亿元以上，且股价收盘站回10.82~11.15元区间，可视为短线资金重新增强的较明确确认信号；若放量同时跌破10.14元，则更应理解为卖压释放，而非单纯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观察10.14~10.38元区域能否形成有效承接，不将单日盘中跌破等同于有效破位。</w:t>
      </w:r>
    </w:p>
    <w:p>
      <w:pPr>
        <w:pStyle w:val="ListParagraph"/>
        <w:numPr>
          <w:ilvl w:val="0"/>
          <w:numId w:val="2"/>
        </w:numPr>
        <w:spacing w:after="80" w:line="280"/>
      </w:pPr>
      <w:r>
        <w:rPr>
          <w:sz w:val="22"/>
          <w:szCs w:val="22"/>
        </w:rPr>
        <w:t xml:space="preserve">观察10.82~11.15元压力区能否在成交额放大的配合下突破。</w:t>
      </w:r>
    </w:p>
    <w:p>
      <w:pPr>
        <w:pStyle w:val="ListParagraph"/>
        <w:numPr>
          <w:ilvl w:val="0"/>
          <w:numId w:val="2"/>
        </w:numPr>
        <w:spacing w:after="80" w:line="280"/>
      </w:pPr>
      <w:r>
        <w:rPr>
          <w:sz w:val="22"/>
          <w:szCs w:val="22"/>
        </w:rPr>
        <w:t xml:space="preserve">观察主力资金净流出是否持续，以及成交额放大时价格是否同步转强。</w:t>
      </w:r>
    </w:p>
    <w:p>
      <w:pPr>
        <w:pStyle w:val="ListParagraph"/>
        <w:numPr>
          <w:ilvl w:val="0"/>
          <w:numId w:val="2"/>
        </w:numPr>
        <w:spacing w:after="80" w:line="280"/>
      </w:pPr>
      <w:r>
        <w:rPr>
          <w:sz w:val="22"/>
          <w:szCs w:val="22"/>
        </w:rPr>
        <w:t xml:space="preserve">观察9.97元附近的20日均线估算区及9.36~9.58元成交密集区是否提供更强支撑。以上均为观察思路，非操作指令。</w:t>
      </w:r>
    </w:p>
    <w:p>
      <w:pPr>
        <w:spacing w:after="200"/>
      </w:pPr>
      <w:r>
        <w:rPr>
          <w:i/>
          <w:iCs/>
          <w:color w:val="595959"/>
          <w:sz w:val="18"/>
          <w:szCs w:val="18"/>
        </w:rPr>
        <w:t xml:space="preserve">以上情景推演基于2026年9月10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农药产业链大致分为上游基础化工原料、农药中间体和原药，中游农药制剂、剂型加工和包装，下游农资渠道、农业技术服务、种植户和农产品消费端。诺普信主要处于农药制剂、品牌、渠道和植保服务环节，同时向蓝莓等特色生鲜的种植、加工、冷链和品牌销售环节延伸。</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全球农化行业集中度较高，传统六大农化集团经过并购整合后，形成以先正达、拜耳、巴斯夫、科迪华等为代表的全球巨头格局。</w:t>
      </w:r>
    </w:p>
    <w:p>
      <w:pPr>
        <w:pStyle w:val="ListParagraph"/>
        <w:numPr>
          <w:ilvl w:val="0"/>
          <w:numId w:val="2"/>
        </w:numPr>
        <w:spacing w:after="80" w:line="280"/>
      </w:pPr>
      <w:r>
        <w:rPr>
          <w:sz w:val="22"/>
          <w:szCs w:val="22"/>
        </w:rPr>
        <w:t xml:space="preserve">大型跨国农化企业通常拥有创制农药、原药、制剂、种子及全球销售网络，处于产业链高附加值位置。</w:t>
      </w:r>
    </w:p>
    <w:p>
      <w:pPr>
        <w:pStyle w:val="ListParagraph"/>
        <w:numPr>
          <w:ilvl w:val="0"/>
          <w:numId w:val="2"/>
        </w:numPr>
        <w:spacing w:after="80" w:line="280"/>
      </w:pPr>
      <w:r>
        <w:rPr>
          <w:sz w:val="22"/>
          <w:szCs w:val="22"/>
        </w:rPr>
        <w:t xml:space="preserve">国内农药行业原药和中间体产能规模较大、竞争激烈；制剂企业数量较多，呈现区域性和渠道性特征。</w:t>
      </w:r>
    </w:p>
    <w:p>
      <w:pPr>
        <w:pStyle w:val="ListParagraph"/>
        <w:numPr>
          <w:ilvl w:val="0"/>
          <w:numId w:val="2"/>
        </w:numPr>
        <w:spacing w:after="80" w:line="280"/>
      </w:pPr>
      <w:r>
        <w:rPr>
          <w:sz w:val="22"/>
          <w:szCs w:val="22"/>
        </w:rPr>
        <w:t xml:space="preserve">环保、安全和登记证要求提高行业进入门槛，行业并购整合持续推进，竞争逐渐从单纯价格竞争转向产品、品牌、渠道、技术服务和综合解决方案竞争。</w:t>
      </w:r>
    </w:p>
    <w:p>
      <w:pPr>
        <w:pStyle w:val="ListParagraph"/>
        <w:numPr>
          <w:ilvl w:val="0"/>
          <w:numId w:val="2"/>
        </w:numPr>
        <w:spacing w:after="80" w:line="280"/>
      </w:pPr>
      <w:r>
        <w:rPr>
          <w:sz w:val="22"/>
          <w:szCs w:val="22"/>
        </w:rPr>
        <w:t xml:space="preserve">《“十四五”全国农药产业发展规划》提出推进农药生产企业兼并重组和转型升级，培育一批规模较大的农药企业。</w:t>
      </w:r>
    </w:p>
    <w:p>
      <w:pPr>
        <w:pStyle w:val="ListParagraph"/>
        <w:numPr>
          <w:ilvl w:val="0"/>
          <w:numId w:val="2"/>
        </w:numPr>
        <w:spacing w:after="80" w:line="280"/>
      </w:pPr>
      <w:r>
        <w:rPr>
          <w:sz w:val="22"/>
          <w:szCs w:val="22"/>
        </w:rPr>
        <w:t xml:space="preserve">公开行业资料显示，诺普信在2021年中国农药制剂企业销售排名中位居前列，销售额约27.84亿元、市场份额约7%；该数据来自2021年第三方行业资料，市场规模、销售口径和企业范围可能存在差异，不能直接外推为2025年市场份额。</w:t>
      </w:r>
    </w:p>
    <w:p>
      <w:pPr>
        <w:pStyle w:val="ListParagraph"/>
        <w:numPr>
          <w:ilvl w:val="0"/>
          <w:numId w:val="2"/>
        </w:numPr>
        <w:spacing w:after="80" w:line="280"/>
      </w:pPr>
      <w:r>
        <w:rPr>
          <w:sz w:val="22"/>
          <w:szCs w:val="22"/>
        </w:rPr>
        <w:t xml:space="preserve">公司自身年报将诺普信定位为非专利作物保护市场的领军企业。</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安道麦A（000553）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全球大型非专利农药企业，产品覆盖除草剂、杀虫剂、杀菌剂等，拥有全球销售网络和较强的原药、制剂一体化能力。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规模和国际化程度明显更高，原药及全球渠道优势较强；诺普信更侧重中国市场的制剂、渠道和植保服务。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扬农化工（600486）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国内农药原药和制剂综合企业，强项包括菊酯类、麦草畏等产品，并受益于与先正达体系的协同。</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更偏上游原药和一体化制造；诺普信更偏下游制剂、品牌和作物解决方案。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海利尔（603639）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农药原药、制剂和植物营养产品企业，杀虫剂、杀菌剂等产品与诺普信存在较强业务重合。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具备一定原药及制剂一体化能力；诺普信在全国制剂渠道、品牌和农业技术服务方面更突出。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利民股份（002734）</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农药原药、制剂及兽药相关业务企业，重点产品包括代森锰锌、百菌清等杀菌剂。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在部分原药和杀菌剂品类拥有产能优势；诺普信更侧重多品种制剂、渠道和终端服务。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新安股份（600596）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草甘膦、硅材料和农化产品综合企业，拥有较强的上游原材料和原药能力。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更偏上游资源及原药一体化；诺普信则位于更靠近终端的制剂和植保服务环节。</w:t>
            </w:r>
          </w:p>
        </w:tc>
      </w:tr>
    </w:tbl>
    <w:p>
      <w:pPr>
        <w:spacing w:before="200"/>
      </w:pPr>
    </w:p>
    <w:p>
      <w:pPr>
        <w:spacing w:after="160" w:line="300"/>
      </w:pPr>
      <w:r>
        <w:rPr>
          <w:sz w:val="22"/>
          <w:szCs w:val="22"/>
        </w:rPr>
        <w:t xml:space="preserve">诺普信与安道麦A、扬农化工、海利尔、利民股份、新安股份的业务重合主要在农药产品层面，但各公司处于产业链不同位置，不能进行完全同口径的直接比较。诺普信的相对优势在于国内农药制剂渠道、品牌、登记证、农业技术服务和作物解决方案能力；相较原药及一体化企业，其上游资源和原药成本控制能力较弱。公司同时布局特色生鲜，带来新的成长空间，但也增加了种植、自然灾害、价格波动、库存损耗和资本开支风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蓝莓业务盈利波动风险：2026年上半年利润增长主要由蓝莓业务带动，但公司业务具有季节性，蓝莓产量、销售价格、采摘期及新产季出货情况存在不确定性，不能将上半年利润简单线性外推至全年。</w:t>
      </w:r>
    </w:p>
    <w:p>
      <w:pPr>
        <w:pStyle w:val="ListParagraph"/>
        <w:numPr>
          <w:ilvl w:val="0"/>
          <w:numId w:val="2"/>
        </w:numPr>
        <w:spacing w:after="80" w:line="280"/>
      </w:pPr>
      <w:r>
        <w:rPr>
          <w:sz w:val="22"/>
          <w:szCs w:val="22"/>
        </w:rPr>
        <w:t xml:space="preserve">生鲜种植及供应链风险：公司蓝莓、火龙果等业务涉及种苗、基地种植、人工采摘、包装、分选、冷库和冷链运输，可能受到自然灾害、种植效率、采后损耗、库存及冷链效率变化影响；公司已表示火龙果业务不再新增投资，后续重点转向经营优化和成本管控。</w:t>
      </w:r>
    </w:p>
    <w:p>
      <w:pPr>
        <w:pStyle w:val="ListParagraph"/>
        <w:numPr>
          <w:ilvl w:val="0"/>
          <w:numId w:val="2"/>
        </w:numPr>
        <w:spacing w:after="80" w:line="280"/>
      </w:pPr>
      <w:r>
        <w:rPr>
          <w:sz w:val="22"/>
          <w:szCs w:val="22"/>
        </w:rPr>
        <w:t xml:space="preserve">蓝莓植物新品种权诉讼风险：下属控股公司涉及两起蓝莓品种授权、繁殖及种植诉讼，涉诉金额合计约3021.80万元，目前均处于一审立案或排期开庭阶段，最终损失及对相关业务的影响尚不确定。</w:t>
      </w:r>
    </w:p>
    <w:p>
      <w:pPr>
        <w:pStyle w:val="ListParagraph"/>
        <w:numPr>
          <w:ilvl w:val="0"/>
          <w:numId w:val="2"/>
        </w:numPr>
        <w:spacing w:after="80" w:line="280"/>
      </w:pPr>
      <w:r>
        <w:rPr>
          <w:sz w:val="22"/>
          <w:szCs w:val="22"/>
        </w:rPr>
        <w:t xml:space="preserve">应收账款和现金流风险：截至2026年6月30日应收账款11.54亿元，较2025年末的6.48亿元明显增加；同期经营活动现金流量净额同比下降63.98%至0.92亿元，若渠道回款继续放缓，可能加大营运资金压力。</w:t>
      </w:r>
    </w:p>
    <w:p>
      <w:pPr>
        <w:pStyle w:val="ListParagraph"/>
        <w:numPr>
          <w:ilvl w:val="0"/>
          <w:numId w:val="2"/>
        </w:numPr>
        <w:spacing w:after="80" w:line="280"/>
      </w:pPr>
      <w:r>
        <w:rPr>
          <w:sz w:val="22"/>
          <w:szCs w:val="22"/>
        </w:rPr>
        <w:t xml:space="preserve">杠杆和融资风险：截至2026年6月30日公司短期借款32.95亿元，资产负债率约60.52%；同时原计划不超过14.50亿元的定向增发已终止，若业务扩张和营运资金需求持续增长，融资安排及偿债压力需要关注。</w:t>
      </w:r>
    </w:p>
    <w:p>
      <w:pPr>
        <w:pStyle w:val="ListParagraph"/>
        <w:numPr>
          <w:ilvl w:val="0"/>
          <w:numId w:val="2"/>
        </w:numPr>
        <w:spacing w:after="80" w:line="280"/>
      </w:pPr>
      <w:r>
        <w:rPr>
          <w:sz w:val="22"/>
          <w:szCs w:val="22"/>
        </w:rPr>
        <w:t xml:space="preserve">农药制剂成本与竞争风险：公司主要处于农药产业链中游偏下游，2025年农药化肥类产品外购量明显高于生产量，对原药、制剂辅料及外部供应链存在较强依赖，原药价格波动或渠道竞争加剧可能压缩制剂业务利润率。</w:t>
      </w:r>
    </w:p>
    <w:p>
      <w:pPr>
        <w:pStyle w:val="ListParagraph"/>
        <w:numPr>
          <w:ilvl w:val="0"/>
          <w:numId w:val="2"/>
        </w:numPr>
        <w:spacing w:after="80" w:line="280"/>
      </w:pPr>
      <w:r>
        <w:rPr>
          <w:sz w:val="22"/>
          <w:szCs w:val="22"/>
        </w:rPr>
        <w:t xml:space="preserve">经销商业务承压风险：控股经销商数量由2024年的14家减少至2025年的12家，2026年上半年田田圈控股经销商业务收入同比下降约0.77%，若渠道调整持续，可能影响农资销售规模、渠道覆盖和农业服务协同。</w:t>
      </w:r>
    </w:p>
    <w:p>
      <w:pPr>
        <w:pStyle w:val="ListParagraph"/>
        <w:numPr>
          <w:ilvl w:val="0"/>
          <w:numId w:val="2"/>
        </w:numPr>
        <w:spacing w:after="80" w:line="280"/>
      </w:pPr>
      <w:r>
        <w:rPr>
          <w:sz w:val="22"/>
          <w:szCs w:val="22"/>
        </w:rPr>
        <w:t xml:space="preserve">股价及技术指标波动风险：股价自2026年8月中旬低位反弹后，9月10日出现下跌并低于部分短期均线，主力资金净流出约3001万元；技术指标存在数据口径和更新时间差异，若10.14—10.38元支撑区失守，短线波动可能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特色生鲜业务放量、蓝莓产销规模扩大以及农药制剂的品牌、登记证、渠道和植保服务能力。2026年上半年生鲜业务保持较快增长，农药制剂业务亦维持正增长，叠加公司在制剂产品结构和农业技术服务方面的积累，构成收入和利润继续增长的基础。</w:t>
      </w:r>
    </w:p>
    <w:p>
      <w:pPr>
        <w:spacing w:after="160" w:line="300"/>
      </w:pPr>
      <w:r>
        <w:rPr>
          <w:sz w:val="22"/>
          <w:szCs w:val="22"/>
        </w:rPr>
        <w:t xml:space="preserve">不过，公司利润结构已较大程度受生鲜业务影响，未来业绩稳定性取决于蓝莓产量、价格、采后损耗、冷链效率和成本控制；农药制剂业务则缺乏上游原药一体化优势，对原药价格和外部采购依赖较强。终止原计划不超过14.50亿元的定增后，蓝莓产业扩建及研发中心项目的资金安排和扩张节奏也需要结合后续经营情况观察。</w:t>
      </w:r>
    </w:p>
    <w:p>
      <w:pPr>
        <w:spacing w:after="160" w:line="300"/>
      </w:pPr>
      <w:r>
        <w:rPr>
          <w:sz w:val="22"/>
          <w:szCs w:val="22"/>
        </w:rPr>
        <w:t xml:space="preserve">从估值和技术面看，公司当前估值处于相对不高水平，但市场对业绩预测的定价能否兑现，仍需观察经营现金流、应收账款、蓝莓新产季表现及诉讼进展。短线股价在10.14—10.38元附近存在支撑参考，在10.82—11.15元附近面临压力参考；上述价位和机构预测均不构成对未来股价或业绩的确定性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诺普信(002215)_公司公告_诺普信：2025年年度报告新浪财经_新浪网 — https://money.finance.sina.com.cn/corp/view/vCB_AllBulletinDetail.php?id=12233158&amp;stockid=002215</w:t>
      </w:r>
    </w:p>
    <w:p>
      <w:pPr>
        <w:spacing w:after="200"/>
      </w:pPr>
      <w:r>
        <w:rPr>
          <w:i/>
          <w:iCs/>
          <w:color w:val="595959"/>
          <w:sz w:val="18"/>
          <w:szCs w:val="18"/>
        </w:rPr>
        <w:t xml:space="preserve">诺普信(002215)_公司公告_诺普信：2025年年度报告新浪财经_新浪网 — https://money.finance.sina.com.cn/corp/view/vCB_AllBulletinDetail.php?id=12233158&amp;stockid=002215&amp;utm_source=openai</w:t>
      </w:r>
    </w:p>
    <w:p>
      <w:pPr>
        <w:spacing w:after="200"/>
      </w:pPr>
      <w:r>
        <w:rPr>
          <w:i/>
          <w:iCs/>
          <w:color w:val="595959"/>
          <w:sz w:val="18"/>
          <w:szCs w:val="18"/>
        </w:rPr>
        <w:t xml:space="preserve">关于我们 - 深圳诺普信作物科学股份有限公司 — https://www.noposion.com/about_complex.aspx?nid=1</w:t>
      </w:r>
    </w:p>
    <w:p>
      <w:pPr>
        <w:spacing w:after="200"/>
      </w:pPr>
      <w:r>
        <w:rPr>
          <w:i/>
          <w:iCs/>
          <w:color w:val="595959"/>
          <w:sz w:val="18"/>
          <w:szCs w:val="18"/>
        </w:rPr>
        <w:t xml:space="preserve">诺普信(002215)_公司公告_诺普信：2021年年度报告新浪财经_新浪网 — https://vip.stock.finance.sina.com.cn/corp/view/vCB_AllBulletinDetail.php?id=8095707&amp;stockid=002215&amp;utm_source=openai</w:t>
      </w:r>
    </w:p>
    <w:p>
      <w:pPr>
        <w:spacing w:after="200"/>
      </w:pPr>
      <w:r>
        <w:rPr>
          <w:i/>
          <w:iCs/>
          <w:color w:val="595959"/>
          <w:sz w:val="18"/>
          <w:szCs w:val="18"/>
        </w:rPr>
        <w:t xml:space="preserve">SZ.002215 诺普信 NOPOSION - A股实时报价 RT Quote - 公司资料 Company Information - etnet 经济通|香港新闻财经资讯和生活平台 — https://www.etnet.com.hk/www/sc/ashares/quote_ci_ratio.php?code=002215&amp;utm_source=openai</w:t>
      </w:r>
    </w:p>
    <w:p>
      <w:pPr>
        <w:spacing w:after="200"/>
      </w:pPr>
      <w:r>
        <w:rPr>
          <w:i/>
          <w:iCs/>
          <w:color w:val="595959"/>
          <w:sz w:val="18"/>
          <w:szCs w:val="18"/>
        </w:rPr>
        <w:t xml:space="preserve">诺普信(002215)_公司公告_诺普信：2022年年度报告新浪财经_新浪网 — https://vip.stock.finance.sina.com.cn/corp/view/vCB_AllBulletinDetail.php?id=9113890&amp;stockid=002215&amp;utm_source=openai</w:t>
      </w:r>
    </w:p>
    <w:p>
      <w:pPr>
        <w:spacing w:after="200"/>
      </w:pPr>
      <w:r>
        <w:rPr>
          <w:i/>
          <w:iCs/>
          <w:color w:val="595959"/>
          <w:sz w:val="18"/>
          <w:szCs w:val="18"/>
        </w:rPr>
        <w:t xml:space="preserve">诺普信(002215)_公司公告_诺普信：2023年年度报告新浪财经_新浪网 — https://money.finance.sina.com.cn/corp/view/vCB_AllBulletinDetail.php?id=10126318&amp;stockid=002215&amp;utm_source=openai</w:t>
      </w:r>
    </w:p>
    <w:p>
      <w:pPr>
        <w:spacing w:after="200"/>
      </w:pPr>
      <w:r>
        <w:rPr>
          <w:i/>
          <w:iCs/>
          <w:color w:val="595959"/>
          <w:sz w:val="18"/>
          <w:szCs w:val="18"/>
        </w:rPr>
        <w:t xml:space="preserve">诺普信(002215)_公司公告_诺普信：2024年年度报告新浪财经_新浪网 — https://money.finance.sina.com.cn/corp/view/vCB_AllBulletinDetail.php?id=10968894&amp;stockid=002215&amp;utm_source=openai</w:t>
      </w:r>
    </w:p>
    <w:p>
      <w:pPr>
        <w:spacing w:after="200"/>
      </w:pPr>
      <w:r>
        <w:rPr>
          <w:i/>
          <w:iCs/>
          <w:color w:val="595959"/>
          <w:sz w:val="18"/>
          <w:szCs w:val="18"/>
        </w:rPr>
        <w:t xml:space="preserve">https://static.cninfo.com.cn/finalpage/2025-12-30/1224903689.PDF — https://static.cninfo.com.cn/finalpage/2025-12-30/1224903689.PDF</w:t>
      </w:r>
    </w:p>
    <w:p>
      <w:pPr>
        <w:spacing w:after="200"/>
      </w:pPr>
      <w:r>
        <w:rPr>
          <w:i/>
          <w:iCs/>
          <w:color w:val="595959"/>
          <w:sz w:val="18"/>
          <w:szCs w:val="18"/>
        </w:rPr>
        <w:t xml:space="preserve">2023年中国农药制剂行业发展现状及竞争格局分析，将朝着环保化、高效化、安全化、智能化的方向发展「图」_华经情报网_华经产业研究院 — https://www.huaon.com/channel/trend/951930.html?utm_source=openai</w:t>
      </w:r>
    </w:p>
    <w:p>
      <w:pPr>
        <w:spacing w:after="200"/>
      </w:pPr>
      <w:r>
        <w:rPr>
          <w:i/>
          <w:iCs/>
          <w:color w:val="595959"/>
          <w:sz w:val="18"/>
          <w:szCs w:val="18"/>
        </w:rPr>
        <w:t xml:space="preserve">深圳诺普信作物科学股份有限公司 2026 年半年度报告全文 — https://static.cninfo.com.cn/finalpage/2026-08-20/1225482362.PDF?utm_source=openai</w:t>
      </w:r>
    </w:p>
    <w:p>
      <w:pPr>
        <w:spacing w:after="200"/>
      </w:pPr>
      <w:r>
        <w:rPr>
          <w:i/>
          <w:iCs/>
          <w:color w:val="595959"/>
          <w:sz w:val="18"/>
          <w:szCs w:val="18"/>
        </w:rPr>
        <w:t xml:space="preserve">诺普信(002215)_公司公告_诺普信：2026年半年度报告新浪财经_新浪网 — https://vip.stock.finance.sina.com.cn/corp/view/vCB_AllBulletinDetail.php?id=12507106&amp;stockid=002215&amp;utm_source=openai</w:t>
      </w:r>
    </w:p>
    <w:p>
      <w:pPr>
        <w:spacing w:after="200"/>
      </w:pPr>
      <w:r>
        <w:rPr>
          <w:i/>
          <w:iCs/>
          <w:color w:val="595959"/>
          <w:sz w:val="18"/>
          <w:szCs w:val="18"/>
        </w:rPr>
        <w:t xml:space="preserve">诺普信(002215)_公司公告_诺普信：2026年半年度报告新浪财经_新浪网 — https://money.finance.sina.com.cn/corp/view/vCB_AllBulletinDetail.php?id=12507106&amp;stockid=002215&amp;utm_source=openai</w:t>
      </w:r>
    </w:p>
    <w:p>
      <w:pPr>
        <w:spacing w:after="200"/>
      </w:pPr>
      <w:r>
        <w:rPr>
          <w:i/>
          <w:iCs/>
          <w:color w:val="595959"/>
          <w:sz w:val="18"/>
          <w:szCs w:val="18"/>
        </w:rPr>
        <w:t xml:space="preserve">诺普信(002215)_公司公告_诺普信：2025年年度报告摘要新浪财经_新浪网 — https://vip.stock.finance.sina.com.cn/corp/view/vCB_AllBulletinDetail.php?id=12233186&amp;stockid=002215&amp;utm_source=openai</w:t>
      </w:r>
    </w:p>
    <w:p>
      <w:pPr>
        <w:spacing w:after="200"/>
      </w:pPr>
      <w:r>
        <w:rPr>
          <w:i/>
          <w:iCs/>
          <w:color w:val="595959"/>
          <w:sz w:val="18"/>
          <w:szCs w:val="18"/>
        </w:rPr>
        <w:t xml:space="preserve">诺普信(002215) 盈利预测_F10_同花顺金融服务网 — https://basic.10jqka.com.cn/002215/worth.html?utm_source=openai</w:t>
      </w:r>
    </w:p>
    <w:p>
      <w:pPr>
        <w:spacing w:after="200"/>
      </w:pPr>
      <w:r>
        <w:rPr>
          <w:i/>
          <w:iCs/>
          <w:color w:val="595959"/>
          <w:sz w:val="18"/>
          <w:szCs w:val="18"/>
        </w:rPr>
        <w:t xml:space="preserve">诺普信 (002215)股票预测和分析师评级 - 富途牛牛 — https://www.futunn.com/stock/002215-SZ/forecast?utm_source=openai</w:t>
      </w:r>
    </w:p>
    <w:p>
      <w:pPr>
        <w:spacing w:after="200"/>
      </w:pPr>
      <w:r>
        <w:rPr>
          <w:i/>
          <w:iCs/>
          <w:color w:val="595959"/>
          <w:sz w:val="18"/>
          <w:szCs w:val="18"/>
        </w:rPr>
        <w:t xml:space="preserve">Shenzhen Noposion Agrochemicals Co Ltd (002215)歷史價格 - Investing.com — https://hk.investing.com/equities/noposion-agro-a-historical-data?utm_source=openai</w:t>
      </w:r>
    </w:p>
    <w:p>
      <w:pPr>
        <w:spacing w:after="200"/>
      </w:pPr>
      <w:r>
        <w:rPr>
          <w:i/>
          <w:iCs/>
          <w:color w:val="595959"/>
          <w:sz w:val="18"/>
          <w:szCs w:val="18"/>
        </w:rPr>
        <w:t xml:space="preserve">诺普信(002215) 股价、新闻、报价和图表 - 富途牛牛 — https://www.futunn.com/stock/002215-SZ?utm_source=openai</w:t>
      </w:r>
    </w:p>
    <w:p>
      <w:pPr>
        <w:spacing w:after="200"/>
      </w:pPr>
      <w:r>
        <w:rPr>
          <w:i/>
          <w:iCs/>
          <w:color w:val="595959"/>
          <w:sz w:val="18"/>
          <w:szCs w:val="18"/>
        </w:rPr>
        <w:t xml:space="preserve">诺普信(002215)市盈率|估值|基本面 - 理杏仁 — https://www.lixinger.com/equity/company/detail/sz/002215/2215/fundamental/valuation/pe-ttm?utm_source=openai</w:t>
      </w:r>
    </w:p>
    <w:p>
      <w:pPr>
        <w:spacing w:after="200"/>
      </w:pPr>
      <w:r>
        <w:rPr>
          <w:i/>
          <w:iCs/>
          <w:color w:val="595959"/>
          <w:sz w:val="18"/>
          <w:szCs w:val="18"/>
        </w:rPr>
        <w:t xml:space="preserve">深圳诺普信作物科学股份有限公司简介_诺普信(002215)公司简介_证劵之星 — https://stock.quote.stockstar.com/corp/brief_002215.shtml?utm_source=openai</w:t>
      </w:r>
    </w:p>
    <w:p>
      <w:pPr>
        <w:spacing w:after="200"/>
      </w:pPr>
      <w:r>
        <w:rPr>
          <w:i/>
          <w:iCs/>
          <w:color w:val="595959"/>
          <w:sz w:val="18"/>
          <w:szCs w:val="18"/>
        </w:rPr>
        <w:t xml:space="preserve">诺普信(002215)_公司公告_诺普信：关于下属控股公司涉及诉讼的公告新浪财经_新浪网 — https://money.finance.sina.com.cn/corp/view/vCB_AllBulletinDetail.php?id=12594874&amp;stockid=002215</w:t>
      </w:r>
    </w:p>
    <w:p>
      <w:pPr>
        <w:spacing w:after="200"/>
      </w:pPr>
      <w:r>
        <w:rPr>
          <w:i/>
          <w:iCs/>
          <w:color w:val="595959"/>
          <w:sz w:val="18"/>
          <w:szCs w:val="18"/>
        </w:rPr>
        <w:t xml:space="preserve">诺普信(002215)_公司公告_诺普信：关于下属控股公司涉及诉讼的公告新浪财经_新浪网 — https://money.finance.sina.com.cn/corp/view/vCB_AllBulletinDetail.php?id=12587436&amp;stockid=002215</w:t>
      </w:r>
    </w:p>
    <w:p>
      <w:pPr>
        <w:spacing w:after="200"/>
      </w:pPr>
      <w:r>
        <w:rPr>
          <w:i/>
          <w:iCs/>
          <w:color w:val="595959"/>
          <w:sz w:val="18"/>
          <w:szCs w:val="18"/>
        </w:rPr>
        <w:t xml:space="preserve">诺普信(002215)_公司公告_诺普信：投资者关系活动记录表新浪财经_新浪网 — https://money.finance.sina.com.cn/corp/view/vCB_AllBulletinDetail.php?id=12589771&amp;stockid=002215</w:t>
      </w:r>
    </w:p>
    <w:p>
      <w:pPr>
        <w:spacing w:after="200"/>
      </w:pPr>
      <w:r>
        <w:rPr>
          <w:i/>
          <w:iCs/>
          <w:color w:val="595959"/>
          <w:sz w:val="18"/>
          <w:szCs w:val="18"/>
        </w:rPr>
        <w:t xml:space="preserve">诺普信(002215)_公司公告_诺普信：2026年半年度报告摘要新浪财经_新浪网 — https://money.finance.sina.com.cn/corp/view/vCB_AllBulletinDetail.php?id=12505508&amp;stockid=002215</w:t>
      </w:r>
    </w:p>
    <w:p>
      <w:pPr>
        <w:spacing w:after="200"/>
      </w:pPr>
      <w:r>
        <w:rPr>
          <w:i/>
          <w:iCs/>
          <w:color w:val="595959"/>
          <w:sz w:val="18"/>
          <w:szCs w:val="18"/>
        </w:rPr>
        <w:t xml:space="preserve">诺普信(002215)_公司公告_诺普信：关于2026年坏账核销的公告新浪财经_新浪网 — https://money.finance.sina.com.cn/corp/view/vCB_AllBulletinDetail.php?id=12505511&amp;stockid=002215&amp;utm_source=openai</w:t>
      </w:r>
    </w:p>
    <w:p>
      <w:pPr>
        <w:spacing w:after="200"/>
      </w:pPr>
      <w:r>
        <w:rPr>
          <w:i/>
          <w:iCs/>
          <w:color w:val="595959"/>
          <w:sz w:val="18"/>
          <w:szCs w:val="18"/>
        </w:rPr>
        <w:t xml:space="preserve">诺普信终止14.5亿元定增事项 因多因素综合考量 - 经济观察网 － 专业财经新闻网站 — https://www.eeo.com.cn/2026/0711/953168.shtml?utm_source=openai</w:t>
      </w:r>
    </w:p>
    <w:p>
      <w:pPr>
        <w:spacing w:after="200"/>
      </w:pPr>
      <w:r>
        <w:rPr>
          <w:i/>
          <w:iCs/>
          <w:color w:val="595959"/>
          <w:sz w:val="18"/>
          <w:szCs w:val="18"/>
        </w:rPr>
        <w:t xml:space="preserve">诺普信(002215) 最新动态_F10_同花顺金融服务网 — https://basic.10jqka.com.cn/002215/index.html</w:t>
      </w:r>
    </w:p>
    <w:p>
      <w:pPr>
        <w:spacing w:after="200"/>
      </w:pPr>
      <w:r>
        <w:rPr>
          <w:i/>
          <w:iCs/>
          <w:color w:val="595959"/>
          <w:sz w:val="18"/>
          <w:szCs w:val="18"/>
        </w:rPr>
        <w:t xml:space="preserve">诺普信(002215) 最新动态_F10_同花顺金融服务网 — https://basic.10jqka.com.cn/002215/index.html?utm_source=openai</w:t>
      </w:r>
    </w:p>
    <w:p>
      <w:pPr>
        <w:spacing w:after="200"/>
      </w:pPr>
      <w:r>
        <w:rPr>
          <w:i/>
          <w:iCs/>
          <w:color w:val="595959"/>
          <w:sz w:val="18"/>
          <w:szCs w:val="18"/>
        </w:rPr>
        <w:t xml:space="preserve">诺普信(002215)公司公告_新浪财经_新浪网 — https://money.finance.sina.com.cn/corp/go.php/vCB_AllBulletin/stockid/002215.phtml</w:t>
      </w:r>
    </w:p>
    <w:p>
      <w:pPr>
        <w:spacing w:after="200"/>
      </w:pPr>
      <w:r>
        <w:rPr>
          <w:i/>
          <w:iCs/>
          <w:color w:val="595959"/>
          <w:sz w:val="18"/>
          <w:szCs w:val="18"/>
        </w:rPr>
        <w:t xml:space="preserve">诺 普 信(002215)股票信息 - 数据平台 — https://data.agoer.com/cms/Index/detail?id=002215&amp;utm_source=openai</w:t>
      </w:r>
    </w:p>
    <w:p>
      <w:pPr>
        <w:spacing w:after="200"/>
      </w:pPr>
      <w:r>
        <w:rPr>
          <w:i/>
          <w:iCs/>
          <w:color w:val="595959"/>
          <w:sz w:val="18"/>
          <w:szCs w:val="18"/>
        </w:rPr>
        <w:t xml:space="preserve">诺 普 信(002215)股票历史数据:历史行情,价格,走势图表_英为财情Investing.com — https://cn.investing.com/equities/noposion-agro-a-historical-data</w:t>
      </w:r>
    </w:p>
    <w:p>
      <w:pPr>
        <w:spacing w:after="200"/>
      </w:pPr>
      <w:r>
        <w:rPr>
          <w:i/>
          <w:iCs/>
          <w:color w:val="595959"/>
          <w:sz w:val="18"/>
          <w:szCs w:val="18"/>
        </w:rPr>
        <w:t xml:space="preserve">诺普信(SZ002215)股票股价_股价行情_财报_数据报告 - 雪球 — https://xueqiu.com/S/sz002215?utm_source=openai</w:t>
      </w:r>
    </w:p>
    <w:p>
      <w:pPr>
        <w:spacing w:after="200"/>
      </w:pPr>
      <w:r>
        <w:rPr>
          <w:i/>
          <w:iCs/>
          <w:color w:val="595959"/>
          <w:sz w:val="18"/>
          <w:szCs w:val="18"/>
        </w:rPr>
        <w:t xml:space="preserve">诺 普 信(002215)股票行情走势技术分析_未来预测_买卖操作建议_英为财情Investing.com — https://cn.investing.com/equities/noposion-agro-a-technical</w:t>
      </w:r>
    </w:p>
    <w:p>
      <w:pPr>
        <w:spacing w:after="200"/>
      </w:pPr>
      <w:r>
        <w:rPr>
          <w:i/>
          <w:iCs/>
          <w:color w:val="595959"/>
          <w:sz w:val="18"/>
          <w:szCs w:val="18"/>
        </w:rPr>
        <w:t xml:space="preserve">股票行情快报：诺普信（002215）9月10日主力资金净卖出3001.34万元_股票频道_证券之星 — https://stock.stockstar.com/RB2026091000038400.shtml?utm_source=openai</w:t>
      </w:r>
    </w:p>
    <w:p>
      <w:pPr>
        <w:spacing w:after="200"/>
      </w:pPr>
      <w:r>
        <w:rPr>
          <w:i/>
          <w:iCs/>
          <w:color w:val="595959"/>
          <w:sz w:val="18"/>
          <w:szCs w:val="18"/>
        </w:rPr>
        <w:t xml:space="preserve">诺普信(002215) - 流通股股东 - 股票行情中心 - 搜狐证券 — https://q.stock.sohu.com/cn/002215/ltgd.shtml?utm_source=openai</w:t>
      </w:r>
    </w:p>
    <w:p>
      <w:pPr>
        <w:spacing w:after="200"/>
      </w:pPr>
      <w:r>
        <w:rPr>
          <w:i/>
          <w:iCs/>
          <w:color w:val="595959"/>
          <w:sz w:val="18"/>
          <w:szCs w:val="18"/>
        </w:rPr>
        <w:t xml:space="preserve">本报告由AI基于公开渠道信息自动检索、整理并生成，信息截至 截至2026年9月10日收盘；部分技术指标数据截至2026年9月9日，股东数据截至2026年6月30日，公告披露日期为2026年8月20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2026-09-13T16:04:00.236Z</dcterms:created>
  <dcterms:modified xsi:type="dcterms:W3CDTF">2026-09-13T16:04:00.236Z</dcterms:modified>
</cp:coreProperties>
</file>

<file path=docProps/custom.xml><?xml version="1.0" encoding="utf-8"?>
<Properties xmlns="http://schemas.openxmlformats.org/officeDocument/2006/custom-properties" xmlns:vt="http://schemas.openxmlformats.org/officeDocument/2006/docPropsVTypes"/>
</file>