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歌尔股份有限公司 (002241)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行业：消费电子精密制造、智能硬件ODM/JDM、声学及光学零组件</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截至2026年9月11日收盘；部分技术指标、资金流向和股东数据来自不同数据商或自行估算，存在更新时间和计算口径差异。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截至2026年上半年，歌尔股份实现营业收入400.46亿元，同比增长6.65%；归属于上市公司股东的净利润14.66亿元，同比增长3.46%，扣非归母净利润同比增长7.96%至11.16亿元，显示主营业务盈利有所改善。但同期经营活动现金流量净额为-2.45亿元，上年同期为18.71亿元，收入和利润修复尚未完全转化为现金流改善。</w:t>
      </w:r>
    </w:p>
    <w:p>
      <w:pPr>
        <w:spacing w:after="160" w:line="300"/>
      </w:pPr>
      <w:r>
        <w:rPr>
          <w:sz w:val="22"/>
          <w:szCs w:val="22"/>
        </w:rPr>
        <w:t xml:space="preserve">公司仍以智能硬件整机为收入主体，2025年智能硬件收入537.69亿元、占比55.69%，但同比下降6.00%；精密零组件收入179.78亿元、同比增长19.45%，毛利率23.52%，是收入增速和盈利能力较好的板块。2026年上半年智能声学整机收入同比增长35.90%、毛利率提升至9.70%，智能硬件毛利率也升至13.61%，但智能硬件收入仍同比下降2.20%，业务结构改善仍需持续验证。</w:t>
      </w:r>
    </w:p>
    <w:p>
      <w:pPr>
        <w:spacing w:after="160" w:line="300"/>
      </w:pPr>
      <w:r>
        <w:rPr>
          <w:sz w:val="22"/>
          <w:szCs w:val="22"/>
        </w:rPr>
        <w:t xml:space="preserve">公司采用“精密零组件+智能硬件整机”的垂直整合ODM/JDM模式，增长逻辑集中于精密零组件、MEMS、光学模组、AI眼镜、VR/MR及智能声学产品的放量，以及自动化、良率和规模制造改善。与此同时，2025年前五大客户销售占比79.05%，前五大供应商采购占比39.65%，客户集中度较高；2025年归母净利润还包含歌尔光学股权交易相关收益，利润基数与主营盈利表现需要区分观察。</w:t>
      </w:r>
    </w:p>
    <w:p>
      <w:pPr>
        <w:spacing w:after="160" w:line="300"/>
      </w:pPr>
      <w:r>
        <w:rPr>
          <w:sz w:val="22"/>
          <w:szCs w:val="22"/>
        </w:rPr>
        <w:t xml:space="preserve">截至2026年9月11日，股价为22.24元，约对应19.84倍市盈率和2.08倍市净率，处于52周价格区间偏低位置。技术上股价低于MA5、MA10和MA20，MACD处于负值区间，9月4日至9月10日主力资金累计净流出约3.54亿元；同时RSI(14)约30.39、股价接近布林下轨，短线存在技术性反弹条件，但尚未形成趋势反转确认。</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002241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2001年6月</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2008年5月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山东潍坊</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计算机、通信和其他电子设备制造业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以精密零组件为技术基础、以智能硬件整机为收入主体的垂直整合型ODM/JDM制造商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主要依据2025年年度报告及公司官网资料，财务及经营数据截至2025年12月31日；年报披露日期为2026年4月24日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965.50亿元，同比下降4.36%</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精密零组件：主要包括微型扬声器、受话器及扬声器模组，触觉器件、马达、无线充电器件、天线，MR/AR光学器件及模组，微纳光学器件，3D结构光模组，AR HUD模组，MEMS声学传感器及其他MEMS传感器，微系统模组和精密结构件等。2025年营业收入179.78亿元，占公司营业收入18.62%，同比增长19.45%，毛利率23.52%。</w:t>
      </w:r>
    </w:p>
    <w:p>
      <w:pPr>
        <w:pStyle w:val="ListParagraph"/>
        <w:numPr>
          <w:ilvl w:val="0"/>
          <w:numId w:val="2"/>
        </w:numPr>
        <w:spacing w:after="80" w:line="280"/>
      </w:pPr>
      <w:r>
        <w:rPr>
          <w:sz w:val="22"/>
          <w:szCs w:val="22"/>
        </w:rPr>
        <w:t xml:space="preserve">智能声学整机：主要包括智能无线耳机、智能音箱，技术方向涉及智能降噪、AI语音交互和空间音频。2025年营业收入229.78亿元，占公司营业收入23.80%，同比下降12.62%，毛利率3.85%。</w:t>
      </w:r>
    </w:p>
    <w:p>
      <w:pPr>
        <w:pStyle w:val="ListParagraph"/>
        <w:numPr>
          <w:ilvl w:val="0"/>
          <w:numId w:val="2"/>
        </w:numPr>
        <w:spacing w:after="80" w:line="280"/>
      </w:pPr>
      <w:r>
        <w:rPr>
          <w:sz w:val="22"/>
          <w:szCs w:val="22"/>
        </w:rPr>
        <w:t xml:space="preserve">智能硬件：主要包括AI智能眼镜、VR/MR/AR设备、智能可穿戴产品、智能游戏主机及配件、智能家居产品等。2025年营业收入537.69亿元，占公司营业收入55.69%，同比下降6.00%，毛利率11.37%。</w:t>
      </w:r>
    </w:p>
    <w:p>
      <w:pPr>
        <w:pStyle w:val="ListParagraph"/>
        <w:numPr>
          <w:ilvl w:val="0"/>
          <w:numId w:val="2"/>
        </w:numPr>
        <w:spacing w:after="80" w:line="280"/>
      </w:pPr>
      <w:r>
        <w:rPr>
          <w:sz w:val="22"/>
          <w:szCs w:val="22"/>
        </w:rPr>
        <w:t xml:space="preserve">公司具备从产品设计、模具开发、零组件制造、模组组装到整机生产的综合解决方案能力，并覆盖模具、注塑、表面处理及自动化产线设计制造。</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歌尔股份位于消费电子产业链中游偏前端，采用“精密零组件+智能硬件整机”的垂直整合模式，业务覆盖声学、光学、微电子、精密结构件、自动化设备和智能制造等环节。精密零组件业务技术和工艺属性较强，智能声学整机更接近成熟消费电子规模制造，智能硬件则兼具产品设计、整机制造和系统集成属性。</w:t>
      </w:r>
    </w:p>
    <w:p>
      <w:pPr>
        <w:pStyle w:val="ListParagraph"/>
        <w:numPr>
          <w:ilvl w:val="0"/>
          <w:numId w:val="2"/>
        </w:numPr>
        <w:spacing w:after="80" w:line="280"/>
      </w:pPr>
      <w:r>
        <w:rPr>
          <w:sz w:val="22"/>
          <w:szCs w:val="22"/>
        </w:rPr>
        <w:t xml:space="preserve">直接采购内容包括集成电路、芯片及控制器件，FET、PCB、连接器等电子元器件，磁铁、振膜、背极板、T铁等声学材料，塑胶件、金属冲压件、精密结构件，光学材料、光学镜片及相关模组，电池、显示器件以及包装材料和生产辅助材料。</w:t>
      </w:r>
    </w:p>
    <w:p>
      <w:pPr>
        <w:pStyle w:val="ListParagraph"/>
        <w:numPr>
          <w:ilvl w:val="0"/>
          <w:numId w:val="2"/>
        </w:numPr>
        <w:spacing w:after="80" w:line="280"/>
      </w:pPr>
      <w:r>
        <w:rPr>
          <w:sz w:val="22"/>
          <w:szCs w:val="22"/>
        </w:rPr>
        <w:t xml:space="preserve">公司对直接材料依赖较高。2025年电子元器件业务营业成本中，直接材料金额711.71亿元，占营业成本85.24%；直接人工占6.29%，制造费用占8.47%。</w:t>
      </w:r>
    </w:p>
    <w:p>
      <w:pPr>
        <w:pStyle w:val="ListParagraph"/>
        <w:numPr>
          <w:ilvl w:val="0"/>
          <w:numId w:val="2"/>
        </w:numPr>
        <w:spacing w:after="80" w:line="280"/>
      </w:pPr>
      <w:r>
        <w:rPr>
          <w:sz w:val="22"/>
          <w:szCs w:val="22"/>
        </w:rPr>
        <w:t xml:space="preserve">公司能够通过模具、注塑、表面处理、精密结构件及部分声学零部件自制，降低部分外采依赖并提高工艺协同效率；但在核心芯片、部分高端光学元件、显示器件及其他关键电子器件方面仍属于采购方，通常缺乏对国际头部供应商的完全议价能力。</w:t>
      </w:r>
    </w:p>
    <w:p>
      <w:pPr>
        <w:pStyle w:val="ListParagraph"/>
        <w:numPr>
          <w:ilvl w:val="0"/>
          <w:numId w:val="2"/>
        </w:numPr>
        <w:spacing w:after="80" w:line="280"/>
      </w:pPr>
      <w:r>
        <w:rPr>
          <w:sz w:val="22"/>
          <w:szCs w:val="22"/>
        </w:rPr>
        <w:t xml:space="preserve">2025年前五大供应商采购金额315.45亿元，占年度采购总额39.65%；第一大供应商采购占比18.93%。该集中度数据为2025年年报口径，年报未披露供应商名称，无法确认其具体对应的芯片、显示、光学或其他物料类别。</w:t>
      </w:r>
    </w:p>
    <w:p>
      <w:pPr>
        <w:pStyle w:val="ListParagraph"/>
        <w:numPr>
          <w:ilvl w:val="0"/>
          <w:numId w:val="2"/>
        </w:numPr>
        <w:spacing w:after="80" w:line="280"/>
      </w:pPr>
      <w:r>
        <w:rPr>
          <w:sz w:val="22"/>
          <w:szCs w:val="22"/>
        </w:rPr>
        <w:t xml:space="preserve">下游客户主要是全球科技、消费电子和智能硬件品牌商，最终应用覆盖无线耳机、智能音箱、VR/MR设备、AI眼镜、可穿戴设备、游戏主机、智能家居和汽车电子等。</w:t>
      </w:r>
    </w:p>
    <w:p>
      <w:pPr>
        <w:pStyle w:val="ListParagraph"/>
        <w:numPr>
          <w:ilvl w:val="0"/>
          <w:numId w:val="2"/>
        </w:numPr>
        <w:spacing w:after="80" w:line="280"/>
      </w:pPr>
      <w:r>
        <w:rPr>
          <w:sz w:val="22"/>
          <w:szCs w:val="22"/>
        </w:rPr>
        <w:t xml:space="preserve">公司主要采用ODM和JDM模式，参与前期产品设计、工程开发、模具开发、样机验证和量产导入，相较单纯EMS具有更高的技术参与度和项目黏性。</w:t>
      </w:r>
    </w:p>
    <w:p>
      <w:pPr>
        <w:pStyle w:val="ListParagraph"/>
        <w:numPr>
          <w:ilvl w:val="0"/>
          <w:numId w:val="2"/>
        </w:numPr>
        <w:spacing w:after="80" w:line="280"/>
      </w:pPr>
      <w:r>
        <w:rPr>
          <w:sz w:val="22"/>
          <w:szCs w:val="22"/>
        </w:rPr>
        <w:t xml:space="preserve">2025年前五大客户销售金额763.22亿元，占年度销售总额79.05%；第一大客户占29.72%，第二大客户占26.49%，第三大客户占10.63%。该数据为2025年年报口径，客户名称采用“客户一、客户二”等匿名披露，无法仅依据年报确认具体品牌；研究纪要未提供其他年度客户集中度，数据的跨年度可比性有限。</w:t>
      </w:r>
    </w:p>
    <w:p>
      <w:pPr>
        <w:pStyle w:val="ListParagraph"/>
        <w:numPr>
          <w:ilvl w:val="0"/>
          <w:numId w:val="2"/>
        </w:numPr>
        <w:spacing w:after="80" w:line="280"/>
      </w:pPr>
      <w:r>
        <w:rPr>
          <w:sz w:val="22"/>
          <w:szCs w:val="22"/>
        </w:rPr>
        <w:t xml:space="preserve">下游客户议价能力较强：品牌商掌握产品定义、渠道和终端品牌，通常具有全球采购和多供应商导入能力；同时消费电子产品生命周期较短，对价格、良率和交付要求严格，订单还会随终端销售、产品迭代及客户供应链策略变化而波动。</w:t>
      </w:r>
    </w:p>
    <w:p>
      <w:pPr>
        <w:pStyle w:val="ListParagraph"/>
        <w:numPr>
          <w:ilvl w:val="0"/>
          <w:numId w:val="2"/>
        </w:numPr>
        <w:spacing w:after="80" w:line="280"/>
      </w:pPr>
      <w:r>
        <w:rPr>
          <w:sz w:val="22"/>
          <w:szCs w:val="22"/>
        </w:rPr>
        <w:t xml:space="preserve">公司需要承担较多产线、库存和交付压力。该行业的主要议价约束并非资源品基准定价，而是头部品牌商的采购议价、产品降价压力、严格认证和订单切换风险；研究纪要未披露具体客户合同中的年度降价条款。</w:t>
      </w:r>
    </w:p>
    <w:p>
      <w:pPr>
        <w:pStyle w:val="ListParagraph"/>
        <w:numPr>
          <w:ilvl w:val="0"/>
          <w:numId w:val="2"/>
        </w:numPr>
        <w:spacing w:after="80" w:line="280"/>
      </w:pPr>
      <w:r>
        <w:rPr>
          <w:sz w:val="22"/>
          <w:szCs w:val="22"/>
        </w:rPr>
        <w:t xml:space="preserve">截至2025年12月31日，应收账款132.95亿元，占当年营业收入约13.77%；存货130.77亿元，占营业收入约13.54%；预付款项1.72亿元；经营活动现金流量净额68.49亿元。应收账款由2024年末178.81亿元降至132.95亿元，年报解释主要与第四季度营业收入规模同比减少有关；存货由104.79亿元增至130.77亿元，主要与生产经营需要有关。公司未提供完整客户账龄、应收账款周转天数及按客户划分的回款数据，因此无法准确判断各头部客户的实际账期。</w:t>
      </w:r>
    </w:p>
    <w:p>
      <w:pPr>
        <w:pStyle w:val="ListParagraph"/>
        <w:numPr>
          <w:ilvl w:val="0"/>
          <w:numId w:val="2"/>
        </w:numPr>
        <w:spacing w:after="80" w:line="280"/>
      </w:pPr>
      <w:r>
        <w:rPr>
          <w:sz w:val="22"/>
          <w:szCs w:val="22"/>
        </w:rPr>
        <w:t xml:space="preserve">供应端和客户端均存在集中度：2025年前五大供应商采购占比39.65%，第一大供应商占18.93%；前五大客户销售占比79.05%，第一大客户占29.72%。客户集中度明显高于供应商集中度，显示公司与头部客户合作较深，但订单变化可能对经营产生较大影响。上述数据均为2025年年报口径，客户和供应商名称匿名披露，且研究纪要未提供其他年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研究纪要未提供公司整体及三大业务板块2024年毛利率绝对值，仅披露2025年相对2024年的变动：精密零组件提升2.01个百分点，智能声学整机下降5.62个百分点，智能硬件提升2.20个百分点。</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研究纪要未提供2024年公司整体或分业务净利率。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从披露的变动方向看，零组件和智能硬件改善与产品结构升级、工艺及规模制造改善相关；智能声学整机承受收入下降和成熟整机制造低毛利压力。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精密零组件23.52%；智能声学整机3.85%；智能硬件11.37%；公司整体毛利率未在研究纪要中提供。</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研究纪要未提供2025年公司整体或分业务净利率。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密零组件为三大板块中毛利率最高且收入增长最快的业务；智能声学整机收入下降、毛利率明显下滑；智能硬件收入下降但毛利率提升。整体利润仍受材料成本、客户定价、产品生命周期、产能利用率和库存减值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多年趋势</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研究纪要未提供满足3—5个年度的公司整体毛利率连续数据。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研究纪要未提供满足3—5个年度的公司整体净利率连续数据。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现有纪要仅支持2025年分业务毛利率及其相对2024年的百分点变动，不宜据此编造完整多年趋势。</w:t>
            </w:r>
          </w:p>
        </w:tc>
      </w:tr>
    </w:tbl>
    <w:p>
      <w:pPr>
        <w:spacing w:before="200"/>
      </w:pPr>
    </w:p>
    <w:p>
      <w:pPr>
        <w:spacing w:after="160" w:line="300"/>
      </w:pPr>
      <w:r>
        <w:rPr>
          <w:sz w:val="22"/>
          <w:szCs w:val="22"/>
        </w:rPr>
        <w:t xml:space="preserve">歌尔股份处于消费电子产业链中游偏前端，不属于资源型上游高毛利企业，也不是单纯低端组装厂。其利润改善主要取决于精密零组件、MEMS、光学模组、AI眼镜和MR产品占比提升，以及自动化、良率、产能利用率和垂直整合带来的单位成本下降；若客户降价、产品生命周期缩短、产能利用率下降、材料价格上升或库存减值增加，利润率可能快速承压。</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400.46亿元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同比上升6.65%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归属于上市公司股东的净利润14.66亿元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同比上升3.46%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965.50亿元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同比下降4.36%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归属于上市公司股东的净利润39.40亿元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同比增长47.85%</w:t>
            </w:r>
          </w:p>
        </w:tc>
      </w:tr>
    </w:tbl>
    <w:p>
      <w:pPr>
        <w:spacing w:after="200"/>
      </w:pPr>
      <w:r>
        <w:rPr>
          <w:i/>
          <w:iCs/>
          <w:color w:val="595959"/>
          <w:sz w:val="18"/>
          <w:szCs w:val="18"/>
        </w:rPr>
        <w:t xml:space="preserve">最新一期财务数据截至2026年6月30日，来自《2026年半年度报告》，报告于2026年8月21日披露。2026年上半年扣除非经常性损益后的归母净利润为11.16亿元，同比增长7.96%；基本每股收益为0.42元，同比增长2.44%；加权平均净资产收益率为3.92%，较上年同期下降0.29个百分点；经营活动产生的现金流量净额为-2.45亿元，上年同期为18.71亿元，同比下降113.08%。</w:t>
      </w:r>
    </w:p>
    <w:p>
      <w:pPr>
        <w:spacing w:after="160" w:line="300"/>
      </w:pPr>
      <w:r>
        <w:rPr>
          <w:sz w:val="22"/>
          <w:szCs w:val="22"/>
        </w:rPr>
        <w:t xml:space="preserve">2026年上半年扣非归母净利润增速高于归母净利润增速，主营业务利润有所改善，但经营现金流转负，需关注存货、应收账款及备货规模变化。2025年归母净利润包含歌尔光学股权交易相关收益，机构整理数据显示扣非归母净利润约14.8亿元，同比下降约38.2%，歌尔光学股权交易重新计量产生约21.4亿元收益；上述机构数据及判断应以公司年报附注为准。2026年上半年分业务收入为：精密零组件77.59亿元，同比增长2.03%，毛利率24.86%；智能声学整机113.12亿元，同比增长35.90%，毛利率9.70%；智能硬件198.93亿元，同比下降2.20%，毛利率13.61%；电子元器件行业389.64亿元，同比增长7.43%，毛利率14.72%。整体毛利率约14.52%。</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9日，同花顺统计有10家机构进行预测。上述数据为券商研报摘录形成的机构汇总数据，不是公司正式指引，也不是交易所披露数据。机构同时预计2026年收入同比增长约5.09%，2027年收入同比增长约15.58%，2028年收入同比增长约16.11%。</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机构平均预测1014.69亿元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归母净利润平均预测35.47亿元，预测区间32.36亿—41.63亿元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较2025年平均预期下降约9.35%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平均预测1.00元，预测区间0.91—1.17元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机构平均预测1171.88亿元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归母净利润平均预测45.84亿元，预测区间40.52亿—51.58亿元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平均预期同比增长约28.81%</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平均预测1.29元，预测区间1.14—1.45元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机构平均预测1360.95亿元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归母净利润平均预测58.23亿元，预测区间53.17亿—63.25亿元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平均预期同比增长约27.86%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平均预测1.64元，预测区间1.50—1.78元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机构评级汇总（同花顺）</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6份买入、4份增持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截至2026年9月11日，近六个月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共10份机构评级，无中性、减持或卖出评级。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2026—2028年EPS预测分别为0.97元、1.28元、1.61元；对应预测市盈率约24.9倍、18.9倍和15.0倍。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2026—2028年归母净利润预测分别为33.35亿元、44.80亿元、60.29亿元；EPS分别为0.94元、1.26元、1.70元。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2026—2028年归母净利润预测分别为35.20亿元、45.37亿元、55.89亿元；EPS分别为0.99元、1.28元、1.57元。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2026—2028年归母净利润预测分别为35.96亿元、45.31亿元、58.94亿元；EPS分别为1.01元、1.28元、1.66元。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未公开给出目标价。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Jefferies</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JPMorgan</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持有</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综合评级为买入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截至2026年8月底至9月初</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6位分析师；12个月平均目标价约29.17元，最高35元，最低25元；评级统计为5家买入、4家持有、0家卖出。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富途牛牛汇总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强力推荐占71.43%，买入占28.57%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21位分析师；目标价平均36.49元，最高40元，最低32.86元。</w:t>
            </w:r>
          </w:p>
        </w:tc>
      </w:tr>
    </w:tbl>
    <w:p>
      <w:pPr>
        <w:spacing w:before="200"/>
      </w:pPr>
    </w:p>
    <w:p>
      <w:pPr>
        <w:spacing w:after="160" w:line="300"/>
      </w:pPr>
      <w:r>
        <w:rPr>
          <w:sz w:val="22"/>
          <w:szCs w:val="22"/>
        </w:rPr>
        <w:t xml:space="preserve">截至2026年9月11日收盘，股价约22.24元，总市值约791.31亿元，市盈率TTM约19.8—20.0倍，市净率约2.08倍。按照10家机构一致预期EPS计算，2026—2028年动态市盈率分别约22.2倍、17.2倍和13.6倍；华鑫证券对应预测市盈率约24.9倍、18.9倍和15.0倍，财信证券对应约23.23倍、18.43倍和14.17倍。海外机构及综合平台目标价样本差异较大，Investing.com汇总平均目标价约29.17元，富途牛牛汇总平均目标价36.49元，不宜简单合并为单一一致目标价。当前估值约20倍PE、2.1倍PB，处于消费电子制造及智能硬件产业链中相对合理、但并非极低估值水平。估值逻辑依赖2027年以后利润恢复增长，AI眼镜、XR、智能声学整机及智能硬件放量节奏、毛利率和经营现金流改善情况存在不确定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“家园7号”员工持股计划第三个锁定期届满</w:t>
      </w:r>
    </w:p>
    <w:p>
      <w:pPr>
        <w:spacing w:after="160" w:line="300"/>
      </w:pPr>
      <w:r>
        <w:rPr>
          <w:sz w:val="22"/>
          <w:szCs w:val="22"/>
        </w:rPr>
        <w:t xml:space="preserve">2026年9月12日，歌尔股份披露“家园7号”员工持股计划第三个锁定期届满提示性公告。锁定期届满不等同于已经减持，后续是否出售、减持规模及节奏尚未明确，需以后续公告为准。若员工持股计划所持资产全部变为货币资金，员工持股计划可以提前终止；在存续期届满前，也可以按规定申请延期。</w:t>
      </w:r>
    </w:p>
    <w:p>
      <w:pPr>
        <w:pStyle w:val="Heading2"/>
        <w:spacing w:after="120" w:before="240"/>
      </w:pPr>
      <w:r>
        <w:rPr>
          <w:b/>
          <w:bCs/>
          <w:color w:val="2E74B5"/>
          <w:sz w:val="24"/>
          <w:szCs w:val="24"/>
        </w:rPr>
        <w:t xml:space="preserve">4.2 股票期权激励计划第三个行权期启动自主行权</w:t>
      </w:r>
    </w:p>
    <w:p>
      <w:pPr>
        <w:spacing w:after="160" w:line="300"/>
      </w:pPr>
      <w:r>
        <w:rPr>
          <w:sz w:val="22"/>
          <w:szCs w:val="22"/>
        </w:rPr>
        <w:t xml:space="preserve">2026年9月8日，公司披露2023年股票期权激励计划首次授予部分第三个行权期采用自主行权模式的提示性公告。可行权激励对象共4,506名，可行权股票期权数量为5,205.9492万份，约占公司目前总股本的1.46%，行权价格为17.62元/股，行权期限为2026年9月8日至2027年8月27日期间的交易日。上述数量为可行权上限，并非已经实际行权的股份。若全部行权，公司总股本理论上将由3,558,062,598股增加至3,610,122,090股。</w:t>
      </w:r>
    </w:p>
    <w:p>
      <w:pPr>
        <w:pStyle w:val="Heading2"/>
        <w:spacing w:after="120" w:before="240"/>
      </w:pPr>
      <w:r>
        <w:rPr>
          <w:b/>
          <w:bCs/>
          <w:color w:val="2E74B5"/>
          <w:sz w:val="24"/>
          <w:szCs w:val="24"/>
        </w:rPr>
        <w:t xml:space="preserve">4.3 部分股票期权注销完成</w:t>
      </w:r>
    </w:p>
    <w:p>
      <w:pPr>
        <w:spacing w:after="160" w:line="300"/>
      </w:pPr>
      <w:r>
        <w:rPr>
          <w:sz w:val="22"/>
          <w:szCs w:val="22"/>
        </w:rPr>
        <w:t xml:space="preserve">2026年9月4日，公司披露部分股票期权注销完成公告。本次注销包括首次授予部分第二个行权期到期未行权股票期权0.45万份，以及459名激励对象持有的不具备行权条件的股票期权303.006万份，合计注销303.456万份，相关手续已于2026年9月2日办理完成。由于相关股票期权尚未行权，本次注销不会影响公司总股本和股本结构。</w:t>
      </w:r>
    </w:p>
    <w:p>
      <w:pPr>
        <w:pStyle w:val="Heading2"/>
        <w:spacing w:after="120" w:before="240"/>
      </w:pPr>
      <w:r>
        <w:rPr>
          <w:b/>
          <w:bCs/>
          <w:color w:val="2E74B5"/>
          <w:sz w:val="24"/>
          <w:szCs w:val="24"/>
        </w:rPr>
        <w:t xml:space="preserve">4.4 股票期权激励计划第三个行权期条件成就及激励对象调整</w:t>
      </w:r>
    </w:p>
    <w:p>
      <w:pPr>
        <w:spacing w:after="160" w:line="300"/>
      </w:pPr>
      <w:r>
        <w:rPr>
          <w:sz w:val="22"/>
          <w:szCs w:val="22"/>
        </w:rPr>
        <w:t xml:space="preserve">2026年9月1日，公司披露2023年股票期权激励计划首次授予部分激励对象名单及授予数量调整、部分股票期权注销，以及第三个行权期行权条件成就等相关公告。首次授予部分第三个行权期行权条件已经满足，符合条件的激励对象为4,506名，可行权股票期权数量为5,205.9492万份，行权价格为17.62元/股。该事项是9月8日自主行权安排的前置程序。</w:t>
      </w:r>
    </w:p>
    <w:p>
      <w:pPr>
        <w:pStyle w:val="Heading2"/>
        <w:spacing w:after="120" w:before="240"/>
      </w:pPr>
      <w:r>
        <w:rPr>
          <w:b/>
          <w:bCs/>
          <w:color w:val="2E74B5"/>
          <w:sz w:val="24"/>
          <w:szCs w:val="24"/>
        </w:rPr>
        <w:t xml:space="preserve">4.5 股东户数环比下降</w:t>
      </w:r>
    </w:p>
    <w:p>
      <w:pPr>
        <w:spacing w:after="160" w:line="300"/>
      </w:pPr>
      <w:r>
        <w:rPr>
          <w:sz w:val="22"/>
          <w:szCs w:val="22"/>
        </w:rPr>
        <w:t xml:space="preserve">截至2026年8月31日，公司股东户数为457,913户，较2026年7月31日减少19,011户，环比减少约3.99%，相关数据于2026年9月7日披露。股东账户数量变化不能简单等同于机构增持或散户集中买入，也不能单独据此判断筹码集中度改善。</w:t>
      </w:r>
    </w:p>
    <w:p>
      <w:pPr>
        <w:pStyle w:val="Heading2"/>
        <w:spacing w:after="120" w:before="240"/>
      </w:pPr>
      <w:r>
        <w:rPr>
          <w:b/>
          <w:bCs/>
          <w:color w:val="2E74B5"/>
          <w:sz w:val="24"/>
          <w:szCs w:val="24"/>
        </w:rPr>
        <w:t xml:space="preserve">4.6 控股股东一致行动人姜龙股票质押仍在存续</w:t>
      </w:r>
    </w:p>
    <w:p>
      <w:pPr>
        <w:spacing w:after="160" w:line="300"/>
      </w:pPr>
      <w:r>
        <w:rPr>
          <w:sz w:val="22"/>
          <w:szCs w:val="22"/>
        </w:rPr>
        <w:t xml:space="preserve">截至2026年9月11日，姜龙持有的5,000万股处于质押状态，占其持股比例约19.97%，占公司总股本约1.41%，质押期限为2026年5月27日至2027年5月27日，质权人为招商证券，公告披露用途为个人资金需求。姜龙此前于2026年5月28日解除质押6,500万股，并于2026年5月27日新质押5,000万股，净减少质押股份1,500万股。截至2026年9月12日，未检索到姜龙、歌尔集团或其他主要股东在9月新增减持或增持公告。</w:t>
      </w:r>
    </w:p>
    <w:p>
      <w:pPr>
        <w:pStyle w:val="Heading2"/>
        <w:spacing w:after="120" w:before="240"/>
      </w:pPr>
      <w:r>
        <w:rPr>
          <w:b/>
          <w:bCs/>
          <w:color w:val="2E74B5"/>
          <w:sz w:val="24"/>
          <w:szCs w:val="24"/>
        </w:rPr>
        <w:t xml:space="preserve">4.7 2026年上半年回购及年度权益分派进展</w:t>
      </w:r>
    </w:p>
    <w:p>
      <w:pPr>
        <w:spacing w:after="160" w:line="300"/>
      </w:pPr>
      <w:r>
        <w:rPr>
          <w:sz w:val="22"/>
          <w:szCs w:val="22"/>
        </w:rPr>
        <w:t xml:space="preserve">公司2026年8月21日披露的“质量回报双提升”行动方案进展公告显示，2026年上半年公司回购股份9,702,900股，支付金额约2.5亿元。公司已实施2025年度权益分派，每10股派发现金红利2.00元，现金分红总额约7亿元。截至2026年9月12日，未检索到公司9月发布新的回购方案、回购价格调整或新增回购进展公告。</w:t>
      </w:r>
    </w:p>
    <w:p>
      <w:pPr>
        <w:pStyle w:val="Heading2"/>
        <w:spacing w:after="120" w:before="240"/>
      </w:pPr>
      <w:r>
        <w:rPr>
          <w:b/>
          <w:bCs/>
          <w:color w:val="2E74B5"/>
          <w:sz w:val="24"/>
          <w:szCs w:val="24"/>
        </w:rPr>
        <w:t xml:space="preserve">4.8 回购股份余额</w:t>
      </w:r>
    </w:p>
    <w:p>
      <w:pPr>
        <w:spacing w:after="160" w:line="300"/>
      </w:pPr>
      <w:r>
        <w:rPr>
          <w:sz w:val="22"/>
          <w:szCs w:val="22"/>
        </w:rPr>
        <w:t xml:space="preserve">公司2026年半年度报告披露，截至2026年6月30日，公司回购专用证券账户持有公司股票46,011,092股，占公司总股本约1.30%。</w:t>
      </w:r>
    </w:p>
    <w:p>
      <w:pPr>
        <w:pStyle w:val="Heading2"/>
        <w:spacing w:after="120" w:before="240"/>
      </w:pPr>
      <w:r>
        <w:rPr>
          <w:b/>
          <w:bCs/>
          <w:color w:val="2E74B5"/>
          <w:sz w:val="24"/>
          <w:szCs w:val="24"/>
        </w:rPr>
        <w:t xml:space="preserve">4.9 向歌尔光学增资5亿元</w:t>
      </w:r>
    </w:p>
    <w:p>
      <w:pPr>
        <w:spacing w:after="160" w:line="300"/>
      </w:pPr>
      <w:r>
        <w:rPr>
          <w:sz w:val="22"/>
          <w:szCs w:val="22"/>
        </w:rPr>
        <w:t xml:space="preserve">2026年6月10日，公司披露向歌尔光学科技有限公司增资暨关联交易公告。歌尔股份拟以现金向歌尔光学增资5亿元，宁波舜宇奥来技术有限公司拟同步增资5亿元。歌尔股份认购歌尔光学新增注册资本10,975.7032万元，双方合计认购新增注册资本21,951.4064万元；增资完成后，歌尔光学注册资本增至192,952.8622万元，歌尔股份持股比例增至39.6676%。该事项属于对控股子公司的增资及关联交易，支持歌尔光学融资需求和业务发展。</w:t>
      </w:r>
    </w:p>
    <w:p>
      <w:pPr>
        <w:pStyle w:val="Heading2"/>
        <w:spacing w:after="120" w:before="240"/>
      </w:pPr>
      <w:r>
        <w:rPr>
          <w:b/>
          <w:bCs/>
          <w:color w:val="2E74B5"/>
          <w:sz w:val="24"/>
          <w:szCs w:val="24"/>
        </w:rPr>
        <w:t xml:space="preserve">4.10 发行2026年度第一期超短期融资券</w:t>
      </w:r>
    </w:p>
    <w:p>
      <w:pPr>
        <w:spacing w:after="160" w:line="300"/>
      </w:pPr>
      <w:r>
        <w:rPr>
          <w:sz w:val="22"/>
          <w:szCs w:val="22"/>
        </w:rPr>
        <w:t xml:space="preserve">2026年8月18日，公司披露2026年度第一期超短期融资券发行结果。实际发行总额10亿元，期限270日，发行利率1.44%，起息日为2026年8月14日，兑付日为2027年5月11日，募集资金已于2026年8月14日到账。本期发行属于此前获准注册的不超过30亿元超短期融资券额度项下发行。</w:t>
      </w:r>
    </w:p>
    <w:p>
      <w:pPr>
        <w:pStyle w:val="Heading2"/>
        <w:spacing w:after="120" w:before="240"/>
      </w:pPr>
      <w:r>
        <w:rPr>
          <w:b/>
          <w:bCs/>
          <w:color w:val="2E74B5"/>
          <w:sz w:val="24"/>
          <w:szCs w:val="24"/>
        </w:rPr>
        <w:t xml:space="preserve">4.11 近期未检索到新的三季度业绩预告</w:t>
      </w:r>
    </w:p>
    <w:p>
      <w:pPr>
        <w:spacing w:after="160" w:line="300"/>
      </w:pPr>
      <w:r>
        <w:rPr>
          <w:sz w:val="22"/>
          <w:szCs w:val="22"/>
        </w:rPr>
        <w:t xml:space="preserve">截至2026年9月12日，未检索到歌尔股份在2026年9月发布新的三季度业绩预告或业绩快报。公司最近一项重要业绩披露为2026年半年度报告，披露日期为2026年8月21日。未经公司公告确认的券商预测或市场传闻未列入近期业绩预告。</w:t>
      </w:r>
    </w:p>
    <w:p>
      <w:pPr>
        <w:pStyle w:val="Heading2"/>
        <w:spacing w:after="120" w:before="240"/>
      </w:pPr>
      <w:r>
        <w:rPr>
          <w:b/>
          <w:bCs/>
          <w:color w:val="2E74B5"/>
          <w:sz w:val="24"/>
          <w:szCs w:val="24"/>
        </w:rPr>
        <w:t xml:space="preserve">4.12 近期未发现新增监管处罚或重大违规处理公告</w:t>
      </w:r>
    </w:p>
    <w:p>
      <w:pPr>
        <w:spacing w:after="160" w:line="300"/>
      </w:pPr>
      <w:r>
        <w:rPr>
          <w:sz w:val="22"/>
          <w:szCs w:val="22"/>
        </w:rPr>
        <w:t xml:space="preserve">截至2026年9月12日，基于深交所、巨潮资讯及主要公告检索结果，未发现歌尔股份在2026年9月新增立案调查、行政处罚、监管问询函或重大违规处理公告。公开搜索结果和公告数据库可能存在更新延迟，未检索到相关公告不等同于绝对不存在尚未公开披露的监管沟通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22.24元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22.30元/22.66元/22.02元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约508,713手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约11.33亿元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约791.31亿元/约700.89亿元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约19.84倍/约2.08倍；市盈率为行情页面披露值，具体财务口径和更新时间可能存在差异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约20.22—40.68元；部分平台将52周低点显示为21.75元，可能与复权、统计窗口或数据更新时间差异有关</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8月21日收盘23.40元，8月24日最高24.80元；8月31日收盘24.25元，9月2日收盘24.14元；9月8日至9月11日收盘价由23.68元降至22.24元，4个交易日累计回落约6.1%；9月9日至9月11日连续收跌</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冲高回落后呈弱势整理，短线卖压仍然存在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MA5约23.01元，MA10约23.46元，MA20约23.22元；均为基于9月11日前最近20个交易日收盘价的简单移动平均估算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现价22.24元低于三条均线，且MA5低于MA10，短期均线结构偏空；MA10和MA20集中于23.2—23.5元附近，构成反弹压力区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约-0.35；英为财情技术页面截至其最新抓取时点显示，页面时间约为2026年9月11日凌晨附近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处于负值区间，快慢均线差偏弱，尚未出现明确的趋势性修复信号；由于未必完全反映9月11日收盘后数据，仅作第三方参考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约30.39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接近超卖区间但尚未明显跌破30，中短期动能偏弱，存在技术性反弹可能，但不能单独视为趋势反转信号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约13；基于最近6个交易日收盘涨跌幅和价格变动自行估算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明显低于50，显示最近几日短线动能较弱、跌势较集中；不同软件因复权价格、盘中数据或初始化方法不同，结果可能存在差异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中轨约23.22元，上轨约24.65—24.70元，下轨约21.75—21.80元；按截至9月11日最近20个交易日收盘价、20日均线和2倍标准差估算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股价明显低于中轨并接近下轨，处于近期波动区间偏低位置；若有效跌破21.7—21.8元，弱势可能向52周低点约20.22元方向延伸</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证券之星口径：9月10日主力净流出约1.25亿元；9月9日净流出约3.04亿元；9月8日净流入约2.19亿元；9月7日净流入约3556万元；9月4日净流出约1.79亿元；9月4日至9月10日累计净流出约3.54亿元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近期股价回落伴随大单资金偏流出，短线资金面尚未转强；未找到可交叉核实的9月11日个股主力资金最终数据，不能将该日方向写成确定事实</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9月7日至9月11日成交额约10.04—20.99亿元，换手率约1.41%—2.81%；5日平均成交额约14.8亿元，平均换手率约2.0%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9月8日放量后成交额连续两日下降，股价仍走弱，暂未形成放量上涨、资金承接增强的确认结构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股东集中度与筹码背景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截至2026年3月31日，流通股本约31.46亿股，总股本约35.52亿股，股东户数约47.69万户，十大流通股东合计持股比例约29.41%，股权质押比例约占A股总股本1.41%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十大股东包括控股股东及实际控制人相关持股、华泰柏瑞沪深300ETF、易方达沪深300ETF、中国证券金融股份有限公司、员工持股计划等。该集中度数据距当前价格数据约半年，可能受基金调仓、股东增减持、可转债转股或股本变化影响，不能等同于2026年9月11日实时筹码集中度</w:t>
            </w:r>
          </w:p>
        </w:tc>
      </w:tr>
    </w:tbl>
    <w:p>
      <w:pPr>
        <w:spacing w:before="200"/>
      </w:pPr>
    </w:p>
    <w:p>
      <w:pPr>
        <w:spacing w:after="160" w:line="300"/>
      </w:pPr>
      <w:r>
        <w:rPr>
          <w:sz w:val="22"/>
          <w:szCs w:val="22"/>
        </w:rPr>
        <w:t xml:space="preserve">截至2026年9月11日，歌尔股份收盘价为22.24元，处于52周区间约20.22—40.68元的偏低位置。股价在8月冲高至24.80元后回落，9月8日至9月11日连续走弱，当前低于MA5、MA10和MA20，MACD处于负值区间，短期均线和趋势指标偏空。与此同时，RSI(14)约30.39、RSI(6)约13，股价接近布林下轨，说明短线存在超卖反弹条件，但尚不足以确认趋势反转。资金方面，9月4日至9月10日主力资金累计净流出约3.54亿元，且9月8日放量后成交额回落、股价继续走弱，当前更适合观察22元附近支撑、21.70—21.90元强支撑以及23.40—23.70元压力区的有效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风险提示：以下内容仅为基于截至2026年9月11日收盘数据、历史价格和公开技术指标的主观情景推演，不构成投资建议，也不构成对未来价格的确定性预测。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23.40—23.70元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依据包括MA10、MA20所在区域及近期成交密集区；若有效站回该区间，短线可观察24.00—24.30元附近；若反弹至该区间后缩量受阻，则显示上方压力仍重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22.00—22.30元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依据包括9月11日最低价22.02元、近期22元附近交易密集区域及短线价格承接区；若该区间失守，需进一步观察21.70—21.90元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21.70—21.90元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接近估算布林下轨21.75—21.80元及阶段性低位区域；若有效跌破，弱势可能向20.22—20.60元一带延伸，即52周低点附近及前期低位区域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相对权重较高，约五成至六成；该权重是基于当前技术面和资金流向的启发式判断，不是统计概率）：价格区间观察为21.90—23.40元。触发条件是股价在22元附近获得承接，但无法放量站上23.40—23.70元压力区，成交额维持近期正常水平约10—16亿元。RSI(14)接近30、RSI(6)处于低位，提供技术性反弹基础，但股价仍低于MA5、MA10、MA20，且截至9月10日主力资金偏流出，因此可能表现为弱势震荡并反复确认支撑。</w:t>
      </w:r>
    </w:p>
    <w:p>
      <w:pPr>
        <w:pStyle w:val="ListParagraph"/>
        <w:numPr>
          <w:ilvl w:val="0"/>
          <w:numId w:val="2"/>
        </w:numPr>
        <w:spacing w:after="80" w:line="280"/>
      </w:pPr>
      <w:r>
        <w:rPr>
          <w:sz w:val="22"/>
          <w:szCs w:val="22"/>
        </w:rPr>
        <w:t xml:space="preserve">偏弱下行（主观相对权重中等，约三成左右；该权重是基于当前技术面和资金流向的启发式判断，不是统计概率）：价格区间观察为21.70—22.20元，若破位则观察20.22—21.00元。触发条件是22.00元附近无法有效企稳，单日收盘跌破21.70—21.90元，同时成交额放大至18亿元以上但价格继续收低。若跌破布林下轨附近，技术面可能由超卖反弹转为弱势延续，并向52周低点约20.22元附近寻找承接。</w:t>
      </w:r>
    </w:p>
    <w:p>
      <w:pPr>
        <w:pStyle w:val="ListParagraph"/>
        <w:numPr>
          <w:ilvl w:val="0"/>
          <w:numId w:val="2"/>
        </w:numPr>
        <w:spacing w:after="80" w:line="280"/>
      </w:pPr>
      <w:r>
        <w:rPr>
          <w:sz w:val="22"/>
          <w:szCs w:val="22"/>
        </w:rPr>
        <w:t xml:space="preserve">反弹走强（主观相对权重偏低，约一成至两成；该权重是基于当前技术面和资金流向的启发式判断，不是统计概率）：价格区间观察为23.40—24.30元，强势情况下观察24.60—24.70元。触发条件是股价重新站上23.40—23.70元，至少有一个交易日成交额放大至18亿元以上，同时电子板块或消费电子相关主题同步走强，主力资金由连续净流出转为净流入。RSI低位可提供反弹条件，但MACD为负且均线偏空，仍需价格突破与成交量共同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期换手率约1.4%—2.8%，9月7日至9月11日成交额约10—21亿元，5日平均成交额约14.8亿元、平均换手率约2.0%。对于总市值约791亿元的股票而言，当前日常交易流动性尚可，但近期成交活跃度较8月24日、8月31日等阶段性放量日有所下降。股东结构方面，截至2026年3月31日，十大流通股东合计持股比例约29.41%，其中包括控股股东及实际控制人相关持股、ETF、证金公司和员工持股计划等机构或类机构持仓；但该数据距当前已有约半年，可能已因机构调仓、股东增减持、可转债转股或股本变化而改变。2026年5月29日股东人数较上一期增加3.95%，但该信息同样早于当前行情约三个半月。因此，以上数据可用于判断历史筹码背景和近期交易活跃度，不能直接等同于当前实时筹码结构。</w:t>
      </w:r>
    </w:p>
    <w:p>
      <w:pPr>
        <w:spacing w:after="160" w:line="300"/>
      </w:pPr>
      <w:r>
        <w:rPr>
          <w:sz w:val="22"/>
          <w:szCs w:val="22"/>
        </w:rPr>
        <w:t xml:space="preserve">可检查的量价确认信号是：若未来一周出现单日成交额持续放大至18亿元以上，同时收盘价重新站上23.40—23.70元压力区，可视为短线资金承接改善的观察信号；若成交额放大但股价跌破21.70—21.90元，则更接近放量兑现或卖压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观察22.00—22.30元能否形成短线支撑，以及失守后是否向21.70—21.90元区域运行。</w:t>
      </w:r>
    </w:p>
    <w:p>
      <w:pPr>
        <w:pStyle w:val="ListParagraph"/>
        <w:numPr>
          <w:ilvl w:val="0"/>
          <w:numId w:val="2"/>
        </w:numPr>
        <w:spacing w:after="80" w:line="280"/>
      </w:pPr>
      <w:r>
        <w:rPr>
          <w:sz w:val="22"/>
          <w:szCs w:val="22"/>
        </w:rPr>
        <w:t xml:space="preserve">观察21.70—21.90元强支撑是否被有效跌破，若破位则关注20.22—20.60元一带。</w:t>
      </w:r>
    </w:p>
    <w:p>
      <w:pPr>
        <w:pStyle w:val="ListParagraph"/>
        <w:numPr>
          <w:ilvl w:val="0"/>
          <w:numId w:val="2"/>
        </w:numPr>
        <w:spacing w:after="80" w:line="280"/>
      </w:pPr>
      <w:r>
        <w:rPr>
          <w:sz w:val="22"/>
          <w:szCs w:val="22"/>
        </w:rPr>
        <w:t xml:space="preserve">观察23.40—23.70元压力区能否被放量收复，并进一步验证24.00—24.30元附近压力。</w:t>
      </w:r>
    </w:p>
    <w:p>
      <w:pPr>
        <w:pStyle w:val="ListParagraph"/>
        <w:numPr>
          <w:ilvl w:val="0"/>
          <w:numId w:val="2"/>
        </w:numPr>
        <w:spacing w:after="80" w:line="280"/>
      </w:pPr>
      <w:r>
        <w:rPr>
          <w:sz w:val="22"/>
          <w:szCs w:val="22"/>
        </w:rPr>
        <w:t xml:space="preserve">观察成交额能否达到18亿元以上并与价格上涨同步，而不是仅出现放量下跌。以上均为观察思路，非操作指令。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是消费电子精密制造、智能硬件ODM/JDM、声学零组件、VR/MR/AR设备和AI可穿戴设备的交叉领域。行业整体具有客户集中、全球化采购、产品迭代快、规模制造和良率要求高等特征；整机代工通常收入规模较大但毛利率较低，具备技术、客户认证和工艺壁垒的MEMS、声学器件、光学模组和精密结构件盈利能力相对较好。</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全球品牌商通常集中采购，供应商需通过质量、成本、交付、环保和信息安全等认证；大型供应商具备规模和工程能力优势，但对头部客户依赖也较高。</w:t>
      </w:r>
    </w:p>
    <w:p>
      <w:pPr>
        <w:pStyle w:val="ListParagraph"/>
        <w:numPr>
          <w:ilvl w:val="0"/>
          <w:numId w:val="2"/>
        </w:numPr>
        <w:spacing w:after="80" w:line="280"/>
      </w:pPr>
      <w:r>
        <w:rPr>
          <w:sz w:val="22"/>
          <w:szCs w:val="22"/>
        </w:rPr>
        <w:t xml:space="preserve">消费电子产品单价下降较快，制造企业需要依靠自动化、模具自制、精密加工、生产效率和良率改善维持利润。</w:t>
      </w:r>
    </w:p>
    <w:p>
      <w:pPr>
        <w:pStyle w:val="ListParagraph"/>
        <w:numPr>
          <w:ilvl w:val="0"/>
          <w:numId w:val="2"/>
        </w:numPr>
        <w:spacing w:after="80" w:line="280"/>
      </w:pPr>
      <w:r>
        <w:rPr>
          <w:sz w:val="22"/>
          <w:szCs w:val="22"/>
        </w:rPr>
        <w:t xml:space="preserve">ODM/JDM模式的技术要求高于纯EMS，VR/MR、AI眼镜和智能耳机供应商往往需要参与结构设计、声学设计、光学方案、模组整合、软件调试及量产导入。</w:t>
      </w:r>
    </w:p>
    <w:p>
      <w:pPr>
        <w:pStyle w:val="ListParagraph"/>
        <w:numPr>
          <w:ilvl w:val="0"/>
          <w:numId w:val="2"/>
        </w:numPr>
        <w:spacing w:after="80" w:line="280"/>
      </w:pPr>
      <w:r>
        <w:rPr>
          <w:sz w:val="22"/>
          <w:szCs w:val="22"/>
        </w:rPr>
        <w:t xml:space="preserve">VR/MR和AI眼镜仍处于产品迭代和市场培育阶段。公开招股书引用Counterpoint数据称，2021年歌尔为Meta相关产品主要供应商，并位居VR/AR ODM/EMS出货量全球第一；该数据为2021年口径，不能直接代表2025年或2026年市场份额。</w:t>
      </w:r>
    </w:p>
    <w:p>
      <w:pPr>
        <w:pStyle w:val="ListParagraph"/>
        <w:numPr>
          <w:ilvl w:val="0"/>
          <w:numId w:val="2"/>
        </w:numPr>
        <w:spacing w:after="80" w:line="280"/>
      </w:pPr>
      <w:r>
        <w:rPr>
          <w:sz w:val="22"/>
          <w:szCs w:val="22"/>
        </w:rPr>
        <w:t xml:space="preserve">公司未披露按VR整机、耳机、扬声器、MEMS传感器等产品拆分的标准产能或产能利用率。2025年电子元器件行业合计生产量586,737.71万只、销售量572,746.04万只、库存量60,380.27万只，不能等同于耳机、VR设备或AI眼镜整机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立讯精密（002475.SZ）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综合性消费电子零组件、模组和整机系统集成企业，并布局汽车电子、通信及数据中心。</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整体规模更大、业务多元化程度更高，在连接器、线束、消费电子整机和汽车电子方面较强；与歌尔在声学、结构件、模组和整机制造方面存在重叠。</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华勤技术（603296.SH）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智能硬件ODM企业，覆盖智能手机、平板电脑、笔记本、智能穿戴、AIoT、计算及数据中心等产品。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在手机、平板、笔记本和综合智能硬件ODM方面更强；歌尔在声学零组件、MEMS、VR/MR、AI眼镜和声光电一体化方面更具差异化。</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闻泰科技（600745.SH）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主要从事智能手机等移动互联网设备研发制造，并拥有半导体和光学模组业务。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优势更偏向手机ODM、半导体和光学模组；与歌尔在手机ODM、半导体和光学模组等领域存在部分交叉。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瑞声科技（02018.HK）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声学器件、触觉器件、光学及精密结构件供应商。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与歌尔在微型扬声器、受话器、马达、结构件、光学和消费电子零组件方面直接竞争；歌尔进一步延伸至智能耳机、VR/MR和AI眼镜等整机及系统级产品。</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鸿海精密/富士康、广达、仁宝等台湾ODM/EMS厂商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拥有全球化制造基地、广泛客户覆盖和大型整机制造能力。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游戏主机、计算设备、消费电子和智能硬件整机制造方面与歌尔竞争；其在大型整机、笔记本、服务器、游戏主机和全球制造网络方面更强，歌尔在声学、光学、微电子及VR/MR、AI眼镜精密零组件和模组协同方面更具针对性。</w:t>
            </w:r>
          </w:p>
        </w:tc>
      </w:tr>
    </w:tbl>
    <w:p>
      <w:pPr>
        <w:spacing w:before="200"/>
      </w:pPr>
    </w:p>
    <w:p>
      <w:pPr>
        <w:spacing w:after="160" w:line="300"/>
      </w:pPr>
      <w:r>
        <w:rPr>
          <w:sz w:val="22"/>
          <w:szCs w:val="22"/>
        </w:rPr>
        <w:t xml:space="preserve">歌尔与立讯精密的业务重叠最为广泛，均覆盖消费电子零组件、模组和整机制造；与华勤技术、闻泰科技的竞争更多集中于智能硬件ODM及部分光学、半导体相关领域；与瑞声科技在声学、触觉、光学和精密结构件领域存在直接竞争；与鸿海、广达、仁宝等厂商相比，歌尔的差异化优势更集中在声学、光学、微电子、VR/MR、AI眼镜及相关精密零组件与系统协同。</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较高。2025年前五大客户销售占比79.05%，第一大客户占29.72%，第二大客户占26.49%；若头部客户订单、产品导入、供应链策略或终端销售发生变化，可能对歌尔股份收入、产能利用率和利润造成较大影响。</w:t>
      </w:r>
    </w:p>
    <w:p>
      <w:pPr>
        <w:pStyle w:val="ListParagraph"/>
        <w:numPr>
          <w:ilvl w:val="0"/>
          <w:numId w:val="2"/>
        </w:numPr>
        <w:spacing w:after="80" w:line="280"/>
      </w:pPr>
      <w:r>
        <w:rPr>
          <w:sz w:val="22"/>
          <w:szCs w:val="22"/>
        </w:rPr>
        <w:t xml:space="preserve">整机业务盈利能力偏低且容易受定价压力影响。2025年智能声学整机毛利率仅3.85%，收入同比下降12.62%；虽然2026年上半年毛利率回升至9.70%，但客户降价、产品生命周期缩短或成熟产品需求走弱，仍可能导致利润率再次承压。</w:t>
      </w:r>
    </w:p>
    <w:p>
      <w:pPr>
        <w:pStyle w:val="ListParagraph"/>
        <w:numPr>
          <w:ilvl w:val="0"/>
          <w:numId w:val="2"/>
        </w:numPr>
        <w:spacing w:after="80" w:line="280"/>
      </w:pPr>
      <w:r>
        <w:rPr>
          <w:sz w:val="22"/>
          <w:szCs w:val="22"/>
        </w:rPr>
        <w:t xml:space="preserve">经营现金流出现恶化。2026年上半年经营活动现金流量净额为-2.45亿元，而上年同期为18.71亿元；公司同时存在存货、应收账款和备货规模变化，若订单兑现或回款不及预期，可能加大营运资金压力。</w:t>
      </w:r>
    </w:p>
    <w:p>
      <w:pPr>
        <w:pStyle w:val="ListParagraph"/>
        <w:numPr>
          <w:ilvl w:val="0"/>
          <w:numId w:val="2"/>
        </w:numPr>
        <w:spacing w:after="80" w:line="280"/>
      </w:pPr>
      <w:r>
        <w:rPr>
          <w:sz w:val="22"/>
          <w:szCs w:val="22"/>
        </w:rPr>
        <w:t xml:space="preserve">存货规模上升带来减值和周转风险。截至2025年末存货130.77亿元，较2024年末的104.79亿元增加；消费电子产品迭代较快，若智能硬件、耳机或VR/MR产品销售不及预期，可能出现库存积压、降价处理或减值。</w:t>
      </w:r>
    </w:p>
    <w:p>
      <w:pPr>
        <w:pStyle w:val="ListParagraph"/>
        <w:numPr>
          <w:ilvl w:val="0"/>
          <w:numId w:val="2"/>
        </w:numPr>
        <w:spacing w:after="80" w:line="280"/>
      </w:pPr>
      <w:r>
        <w:rPr>
          <w:sz w:val="22"/>
          <w:szCs w:val="22"/>
        </w:rPr>
        <w:t xml:space="preserve">供应链存在集中及关键物料依赖。2025年前五大供应商采购占比39.65%，第一大供应商占18.93%；公司在芯片、部分高端光学元件、显示器件及其他关键电子器件方面仍依赖外部采购，若供应中断、价格变化或交付受限，可能影响生产成本和交付能力。</w:t>
      </w:r>
    </w:p>
    <w:p>
      <w:pPr>
        <w:pStyle w:val="ListParagraph"/>
        <w:numPr>
          <w:ilvl w:val="0"/>
          <w:numId w:val="2"/>
        </w:numPr>
        <w:spacing w:after="80" w:line="280"/>
      </w:pPr>
      <w:r>
        <w:rPr>
          <w:sz w:val="22"/>
          <w:szCs w:val="22"/>
        </w:rPr>
        <w:t xml:space="preserve">利润基数存在非经常性因素影响。2025年归母净利润39.40亿元，同比增长47.85%，但其中包含歌尔光学股权交易相关收益；若后续主营业务利润增长不足，单纯对比归母净利润可能高估盈利恢复程度。</w:t>
      </w:r>
    </w:p>
    <w:p>
      <w:pPr>
        <w:pStyle w:val="ListParagraph"/>
        <w:numPr>
          <w:ilvl w:val="0"/>
          <w:numId w:val="2"/>
        </w:numPr>
        <w:spacing w:after="80" w:line="280"/>
      </w:pPr>
      <w:r>
        <w:rPr>
          <w:sz w:val="22"/>
          <w:szCs w:val="22"/>
        </w:rPr>
        <w:t xml:space="preserve">股权激励行权可能带来股本扩张压力。2023年股票期权激励计划第三个行权期可行权股票期权数量为5,205.9492万份，约占目前总股本1.46%；若全部行权，公司总股本理论上将增加，可能对每股收益形成摊薄影响。</w:t>
      </w:r>
    </w:p>
    <w:p>
      <w:pPr>
        <w:pStyle w:val="ListParagraph"/>
        <w:numPr>
          <w:ilvl w:val="0"/>
          <w:numId w:val="2"/>
        </w:numPr>
        <w:spacing w:after="80" w:line="280"/>
      </w:pPr>
      <w:r>
        <w:rPr>
          <w:sz w:val="22"/>
          <w:szCs w:val="22"/>
        </w:rPr>
        <w:t xml:space="preserve">短线技术走势仍偏弱。截至2026年9月11日股价低于MA5、MA10和MA20，MACD为负，9月4日至9月10日主力资金累计净流出约3.54亿元；若22.00元附近支撑失效并进一步跌破21.70—21.90元区域，股价可能向52周低点约20.22元附近寻找支撑。</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歌尔股份的核心增长潜力来自精密零组件与新型智能硬件的协同：精密零组件具备相对较高毛利率，智能声学整机在2026年上半年出现较快恢复，AI眼镜、VR/MR、光学及MEMS等业务则有望提升产品附加值。公司向歌尔光学增资5亿元并将持股比例增至39.6676%，体现其对光学业务发展的支持，但相关业务未来的放量节奏和盈利贡献仍需后续经营数据验证。</w:t>
      </w:r>
    </w:p>
    <w:p>
      <w:pPr>
        <w:spacing w:after="160" w:line="300"/>
      </w:pPr>
      <w:r>
        <w:rPr>
          <w:sz w:val="22"/>
          <w:szCs w:val="22"/>
        </w:rPr>
        <w:t xml:space="preserve">短期业绩表现仍存在分化。2026年上半年收入和扣非利润保持增长，但经营现金流转负；2026年机构平均预测归母净利润为35.47亿元，低于2025年包含股权交易收益的39.40亿元，市场对2027年以后利润恢复增长已有预期。当前估值并非极低，后续估值消化依赖智能声学、智能硬件和精密零组件收入增长，以及毛利率、存货和现金流改善能否兑现。</w:t>
      </w:r>
    </w:p>
    <w:p>
      <w:pPr>
        <w:spacing w:after="160" w:line="300"/>
      </w:pPr>
      <w:r>
        <w:rPr>
          <w:sz w:val="22"/>
          <w:szCs w:val="22"/>
        </w:rPr>
        <w:t xml:space="preserve">从技术面看，22.00—22.30元是短线承接区域，21.70—21.90元为接近布林下轨的强支撑观察区，23.40—23.70元构成反弹压力。未来需要结合成交量、资金流向和基本面数据观察趋势是否修复；若放量收复压力区，说明短线承接改善，若放量跌破强支撑，则弱势延续风险上升。上述判断仅为基于现有数据的情景分析，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歌尔股份有限公司 2025 年年度报告全文 — https://static.cninfo.com.cn/finalpage/2026-04-24/1225160177.PDF?utm_source=openai</w:t>
      </w:r>
    </w:p>
    <w:p>
      <w:pPr>
        <w:spacing w:after="200"/>
      </w:pPr>
      <w:r>
        <w:rPr>
          <w:i/>
          <w:iCs/>
          <w:color w:val="595959"/>
          <w:sz w:val="18"/>
          <w:szCs w:val="18"/>
        </w:rPr>
        <w:t xml:space="preserve">https://disc.static.szse.cn/download/disc/disk03/finalpage/2026-04-24/02727275-cb4c-4c9d-acaa-93fc926fbb7e.PDF — https://disc.static.szse.cn/download/disc/disk03/finalpage/2026-04-24/02727275-cb4c-4c9d-acaa-93fc926fbb7e.PDF</w:t>
      </w:r>
    </w:p>
    <w:p>
      <w:pPr>
        <w:spacing w:after="200"/>
      </w:pPr>
      <w:r>
        <w:rPr>
          <w:i/>
          <w:iCs/>
          <w:color w:val="595959"/>
          <w:sz w:val="18"/>
          <w:szCs w:val="18"/>
        </w:rPr>
        <w:t xml:space="preserve">公司公告_歌尔股份：2025年年度报告新浪财经_新浪网 — https://vip.stock.finance.sina.com.cn/corp/view/vCB_AllBulletinDetail.php?id=12161669&amp;utm_source=openai</w:t>
      </w:r>
    </w:p>
    <w:p>
      <w:pPr>
        <w:spacing w:after="200"/>
      </w:pPr>
      <w:r>
        <w:rPr>
          <w:i/>
          <w:iCs/>
          <w:color w:val="595959"/>
          <w:sz w:val="18"/>
          <w:szCs w:val="18"/>
        </w:rPr>
        <w:t xml:space="preserve">公司简介_了解歌尔_歌尔股份 — https://goertek.com/about/intro.html</w:t>
      </w:r>
    </w:p>
    <w:p>
      <w:pPr>
        <w:spacing w:after="200"/>
      </w:pPr>
      <w:r>
        <w:rPr>
          <w:i/>
          <w:iCs/>
          <w:color w:val="595959"/>
          <w:sz w:val="18"/>
          <w:szCs w:val="18"/>
        </w:rPr>
        <w:t xml:space="preserve">https://static.cninfo.com.cn/finalpage/2023-10-13/1218033530.PDF — https://static.cninfo.com.cn/finalpage/2023-10-13/1218033530.PDF</w:t>
      </w:r>
    </w:p>
    <w:p>
      <w:pPr>
        <w:spacing w:after="200"/>
      </w:pPr>
      <w:r>
        <w:rPr>
          <w:i/>
          <w:iCs/>
          <w:color w:val="595959"/>
          <w:sz w:val="18"/>
          <w:szCs w:val="18"/>
        </w:rPr>
        <w:t xml:space="preserve">公司公告_立讯精密：2025年年度报告摘要新浪财经_新浪网 — https://vip.stock.finance.sina.com.cn/corp/view/vCB_AllBulletinDetail.php?id=12091098&amp;utm_source=openai</w:t>
      </w:r>
    </w:p>
    <w:p>
      <w:pPr>
        <w:spacing w:after="200"/>
      </w:pPr>
      <w:r>
        <w:rPr>
          <w:i/>
          <w:iCs/>
          <w:color w:val="595959"/>
          <w:sz w:val="18"/>
          <w:szCs w:val="18"/>
        </w:rPr>
        <w:t xml:space="preserve">公司介绍 - 华勤技术-智能产品_ODM_消费电子 — https://www.huaqin.com/index.php/about/company?utm_source=openai</w:t>
      </w:r>
    </w:p>
    <w:p>
      <w:pPr>
        <w:spacing w:after="200"/>
      </w:pPr>
      <w:r>
        <w:rPr>
          <w:i/>
          <w:iCs/>
          <w:color w:val="595959"/>
          <w:sz w:val="18"/>
          <w:szCs w:val="18"/>
        </w:rPr>
        <w:t xml:space="preserve">*ST闻泰(600745)_公司公告_闻泰科技：2025年年度报告新浪财经_新浪网 — https://money.finance.sina.com.cn/corp/view/vCB_AllBulletinDetail.php?id=12289135&amp;stockid=600745&amp;utm_source=openai</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歌尔股份有限公司2026年半年度报告全文 — https://static.cninfo.com.cn/finalpage/2026-08-21/1225484419.PDF?utm_source=openai</w:t>
      </w:r>
    </w:p>
    <w:p>
      <w:pPr>
        <w:spacing w:after="200"/>
      </w:pPr>
      <w:r>
        <w:rPr>
          <w:i/>
          <w:iCs/>
          <w:color w:val="595959"/>
          <w:sz w:val="18"/>
          <w:szCs w:val="18"/>
        </w:rPr>
        <w:t xml:space="preserve">歌尔股份有限公司2026年半年度报告全文 — https://disc.static.szse.cn/disc/disk03/finalpage/2026-08-21/fcbfdcf3-9752-431b-9bb2-f2987be3af88.PDF?utm_source=openai</w:t>
      </w:r>
    </w:p>
    <w:p>
      <w:pPr>
        <w:spacing w:after="200"/>
      </w:pPr>
      <w:r>
        <w:rPr>
          <w:i/>
          <w:iCs/>
          <w:color w:val="595959"/>
          <w:sz w:val="18"/>
          <w:szCs w:val="18"/>
        </w:rPr>
        <w:t xml:space="preserve">证券代码：002241  证券简称：歌尔股份 — https://static.cninfo.com.cn/finalpage/2026-05-08/1225285466.PDF?utm_source=openai</w:t>
      </w:r>
    </w:p>
    <w:p>
      <w:pPr>
        <w:spacing w:after="200"/>
      </w:pPr>
      <w:r>
        <w:rPr>
          <w:i/>
          <w:iCs/>
          <w:color w:val="595959"/>
          <w:sz w:val="18"/>
          <w:szCs w:val="18"/>
        </w:rPr>
        <w:t xml:space="preserve">歌尔股份(002241) 盈利预测_F10_同花顺金融服务网 — https://basic.10jqka.com.cn/48/002241/worth.html?utm_source=openai</w:t>
      </w:r>
    </w:p>
    <w:p>
      <w:pPr>
        <w:spacing w:after="200"/>
      </w:pPr>
      <w:r>
        <w:rPr>
          <w:i/>
          <w:iCs/>
          <w:color w:val="595959"/>
          <w:sz w:val="18"/>
          <w:szCs w:val="18"/>
        </w:rPr>
        <w:t xml:space="preserve">歌尔股份(002241) 盈利预测_F10_同花顺金融服务网 — https://basic.10jqka.com.cn/48/002241/worth.html</w:t>
      </w:r>
    </w:p>
    <w:p>
      <w:pPr>
        <w:spacing w:after="200"/>
      </w:pPr>
      <w:r>
        <w:rPr>
          <w:i/>
          <w:iCs/>
          <w:color w:val="595959"/>
          <w:sz w:val="18"/>
          <w:szCs w:val="18"/>
        </w:rPr>
        <w:t xml:space="preserve">盈利预测 — https://webf10.gw.com.cn/SZ/B16/SZ002241_B16.html?utm_source=openai</w:t>
      </w:r>
    </w:p>
    <w:p>
      <w:pPr>
        <w:spacing w:after="200"/>
      </w:pPr>
      <w:r>
        <w:rPr>
          <w:i/>
          <w:iCs/>
          <w:color w:val="595959"/>
          <w:sz w:val="18"/>
          <w:szCs w:val="18"/>
        </w:rPr>
        <w:t xml:space="preserve">歌尔股份(002241)股票分析师一致预期_市场情绪_英为财情Investing.com — https://cn.investing.com/equities/goertek-a-consensus-estimates?utm_source=openai</w:t>
      </w:r>
    </w:p>
    <w:p>
      <w:pPr>
        <w:spacing w:after="200"/>
      </w:pPr>
      <w:r>
        <w:rPr>
          <w:i/>
          <w:iCs/>
          <w:color w:val="595959"/>
          <w:sz w:val="18"/>
          <w:szCs w:val="18"/>
        </w:rPr>
        <w:t xml:space="preserve">歌尔股份 (002241)股票预测和分析师评级 - 富途牛牛 — https://www.futunn.com/stock/002241-SZ/forecast?utm_source=openai</w:t>
      </w:r>
    </w:p>
    <w:p>
      <w:pPr>
        <w:spacing w:after="200"/>
      </w:pPr>
      <w:r>
        <w:rPr>
          <w:i/>
          <w:iCs/>
          <w:color w:val="595959"/>
          <w:sz w:val="18"/>
          <w:szCs w:val="18"/>
        </w:rPr>
        <w:t xml:space="preserve">Goertek Inc (002241) 과거 가격 데이터 - Investing.com — https://kr.investing.com/equities/goertek-a-historical-data?utm_source=openai</w:t>
      </w:r>
    </w:p>
    <w:p>
      <w:pPr>
        <w:spacing w:after="200"/>
      </w:pPr>
      <w:r>
        <w:rPr>
          <w:i/>
          <w:iCs/>
          <w:color w:val="595959"/>
          <w:sz w:val="18"/>
          <w:szCs w:val="18"/>
        </w:rPr>
        <w:t xml:space="preserve">歌尔股份(002241) - 公司简介 - 股票行情中心 - 搜狐证券 — https://q.stock.sohu.com/cn/002241/gsjj.shtml?utm_source=openai</w:t>
      </w:r>
    </w:p>
    <w:p>
      <w:pPr>
        <w:spacing w:after="200"/>
      </w:pPr>
      <w:r>
        <w:rPr>
          <w:i/>
          <w:iCs/>
          <w:color w:val="595959"/>
          <w:sz w:val="18"/>
          <w:szCs w:val="18"/>
        </w:rPr>
        <w:t xml:space="preserve">歌尔股份(002241)_公司公告_歌尔股份：关于“家园7号”员工持股计划第三个锁定期届满的提示性公告新浪财经_新浪网 — https://money.finance.sina.com.cn/corp/view/vCB_AllBulletinDetail.php?id=12598843&amp;stockid=002241&amp;utm_source=openai</w:t>
      </w:r>
    </w:p>
    <w:p>
      <w:pPr>
        <w:spacing w:after="200"/>
      </w:pPr>
      <w:r>
        <w:rPr>
          <w:i/>
          <w:iCs/>
          <w:color w:val="595959"/>
          <w:sz w:val="18"/>
          <w:szCs w:val="18"/>
        </w:rPr>
        <w:t xml:space="preserve">歌尔股份(002241)_公司公告_歌尔股份：关于2023年股票期权激励计划首次授予部分第三个行权期采用自主行权模式的提示性公告新浪财经_新浪网 — https://money.finance.sina.com.cn/corp/view/vCB_AllBulletinDetail.php?id=12587565&amp;stockid=002241&amp;utm_source=openai</w:t>
      </w:r>
    </w:p>
    <w:p>
      <w:pPr>
        <w:spacing w:after="200"/>
      </w:pPr>
      <w:r>
        <w:rPr>
          <w:i/>
          <w:iCs/>
          <w:color w:val="595959"/>
          <w:sz w:val="18"/>
          <w:szCs w:val="18"/>
        </w:rPr>
        <w:t xml:space="preserve">歌尔股份(002241)_公司公告_歌尔股份：关于公司部分股票期权注销完成的公告新浪财经_新浪网 — https://money.finance.sina.com.cn/corp/view/vCB_AllBulletinDetail.php?id=12582074&amp;stockid=002241&amp;utm_source=openai</w:t>
      </w:r>
    </w:p>
    <w:p>
      <w:pPr>
        <w:spacing w:after="200"/>
      </w:pPr>
      <w:r>
        <w:rPr>
          <w:i/>
          <w:iCs/>
          <w:color w:val="595959"/>
          <w:sz w:val="18"/>
          <w:szCs w:val="18"/>
        </w:rPr>
        <w:t xml:space="preserve">中国证券报 - 歌尔股份有限公司关于调整2023年股票期权激励计划首次授予部分激励对象名单及授予数量并注销部分股票期权的公告 — https://epaper.cs.com.cn/zgzqb/html/2026-09/01/nw.D110000zgzqb_20260901_1-B039.htm?utm_source=openai</w:t>
      </w:r>
    </w:p>
    <w:p>
      <w:pPr>
        <w:spacing w:after="200"/>
      </w:pPr>
      <w:r>
        <w:rPr>
          <w:i/>
          <w:iCs/>
          <w:color w:val="595959"/>
          <w:sz w:val="18"/>
          <w:szCs w:val="18"/>
        </w:rPr>
        <w:t xml:space="preserve">歌尔股份(002241) 最新动态_F10_同花顺金融服务网 — https://basic.10jqka.com.cn/48/002241/?utm_source=openai</w:t>
      </w:r>
    </w:p>
    <w:p>
      <w:pPr>
        <w:spacing w:after="200"/>
      </w:pPr>
      <w:r>
        <w:rPr>
          <w:i/>
          <w:iCs/>
          <w:color w:val="595959"/>
          <w:sz w:val="18"/>
          <w:szCs w:val="18"/>
        </w:rPr>
        <w:t xml:space="preserve">证券代码：002241  证券简称：歌尔股份  公告编号：2026-033 — https://static.cninfo.com.cn/finalpage/2026-05-29/1225335609.PDF?utm_source=openai</w:t>
      </w:r>
    </w:p>
    <w:p>
      <w:pPr>
        <w:spacing w:after="200"/>
      </w:pPr>
      <w:r>
        <w:rPr>
          <w:i/>
          <w:iCs/>
          <w:color w:val="595959"/>
          <w:sz w:val="18"/>
          <w:szCs w:val="18"/>
        </w:rPr>
        <w:t xml:space="preserve">歌尔股份(002241)_公司公告_歌尔股份：关于“质量回报双提升”行动方案的进展公告新浪财经_新浪网 — https://money.finance.sina.com.cn/corp/view/vCB_AllBulletinDetail.php?id=12509629&amp;stockid=002241&amp;utm_source=openai</w:t>
      </w:r>
    </w:p>
    <w:p>
      <w:pPr>
        <w:spacing w:after="200"/>
      </w:pPr>
      <w:r>
        <w:rPr>
          <w:i/>
          <w:iCs/>
          <w:color w:val="595959"/>
          <w:sz w:val="18"/>
          <w:szCs w:val="18"/>
        </w:rPr>
        <w:t xml:space="preserve">歌尔股份(002241)_公司公告_歌尔股份：2026年半年度报告新浪财经_新浪网 — https://money.finance.sina.com.cn/corp/view/vCB_AllBulletinDetail.php?id=12509635&amp;stockid=002241&amp;utm_source=openai</w:t>
      </w:r>
    </w:p>
    <w:p>
      <w:pPr>
        <w:spacing w:after="200"/>
      </w:pPr>
      <w:r>
        <w:rPr>
          <w:i/>
          <w:iCs/>
          <w:color w:val="595959"/>
          <w:sz w:val="18"/>
          <w:szCs w:val="18"/>
        </w:rPr>
        <w:t xml:space="preserve">歌尔股份(002241)_公司公告_歌尔股份：关于向歌尔光学科技有限公司增资暨关联交易的公告新浪财经_新浪网 — https://vip.stock.finance.sina.com.cn/corp/view/vCB_AllBulletinDetail.php?CompanyCode=80115431&amp;gather=1&amp;id=12383531&amp;utm_source=openai</w:t>
      </w:r>
    </w:p>
    <w:p>
      <w:pPr>
        <w:spacing w:after="200"/>
      </w:pPr>
      <w:r>
        <w:rPr>
          <w:i/>
          <w:iCs/>
          <w:color w:val="595959"/>
          <w:sz w:val="18"/>
          <w:szCs w:val="18"/>
        </w:rPr>
        <w:t xml:space="preserve">歌尔股份(002241)_公司公告_歌尔股份：关于2026年度第一期超短期融资债券发行结果的公告新浪财经_新浪网 — https://vip.stock.finance.sina.com.cn/corp/view/vCB_AllBulletinDetail.php?id=12497906&amp;stockid=002241&amp;utm_source=openai</w:t>
      </w:r>
    </w:p>
    <w:p>
      <w:pPr>
        <w:spacing w:after="200"/>
      </w:pPr>
      <w:r>
        <w:rPr>
          <w:i/>
          <w:iCs/>
          <w:color w:val="595959"/>
          <w:sz w:val="18"/>
          <w:szCs w:val="18"/>
        </w:rPr>
        <w:t xml:space="preserve">https://stocks.sina.cn/sh/?code=sz002241&amp;timer=10&amp;vt=1&amp;utm_source=openai — https://stocks.sina.cn/sh/?code=sz002241&amp;timer=10&amp;vt=1&amp;utm_source=openai</w:t>
      </w:r>
    </w:p>
    <w:p>
      <w:pPr>
        <w:spacing w:after="200"/>
      </w:pPr>
      <w:r>
        <w:rPr>
          <w:i/>
          <w:iCs/>
          <w:color w:val="595959"/>
          <w:sz w:val="18"/>
          <w:szCs w:val="18"/>
        </w:rPr>
        <w:t xml:space="preserve">Datos Históricos Acciones Goertek A (002241) - Investing.com — https://es.investing.com/equities/goertek-a-historical-data?utm_source=openai</w:t>
      </w:r>
    </w:p>
    <w:p>
      <w:pPr>
        <w:spacing w:after="200"/>
      </w:pPr>
      <w:r>
        <w:rPr>
          <w:i/>
          <w:iCs/>
          <w:color w:val="595959"/>
          <w:sz w:val="18"/>
          <w:szCs w:val="18"/>
        </w:rPr>
        <w:t xml:space="preserve">歌尔股份(002241)股票行情走势技术分析_未来预测_买卖操作建议_英为财情Investing.com — https://cn.investing.com/equities/goertek-a-technical?utm_source=openai</w:t>
      </w:r>
    </w:p>
    <w:p>
      <w:pPr>
        <w:spacing w:after="200"/>
      </w:pPr>
      <w:r>
        <w:rPr>
          <w:i/>
          <w:iCs/>
          <w:color w:val="595959"/>
          <w:sz w:val="18"/>
          <w:szCs w:val="18"/>
        </w:rPr>
        <w:t xml:space="preserve">歌尔股份(002241)_资金流向_证券之星 — https://stock.quote.stockstar.com/capital_002241.shtml?utm_source=openai</w:t>
      </w:r>
    </w:p>
    <w:p>
      <w:pPr>
        <w:spacing w:after="200"/>
      </w:pPr>
      <w:r>
        <w:rPr>
          <w:i/>
          <w:iCs/>
          <w:color w:val="595959"/>
          <w:sz w:val="18"/>
          <w:szCs w:val="18"/>
        </w:rPr>
        <w:t xml:space="preserve">今日52.78亿元主力资金潜入通信业 — https://stcn.com/article/detail/4181777.html?utm_source=openai</w:t>
      </w:r>
    </w:p>
    <w:p>
      <w:pPr>
        <w:spacing w:after="200"/>
      </w:pPr>
      <w:r>
        <w:rPr>
          <w:i/>
          <w:iCs/>
          <w:color w:val="595959"/>
          <w:sz w:val="18"/>
          <w:szCs w:val="18"/>
        </w:rPr>
        <w:t xml:space="preserve">歌尔股份 (002241) - 历史交易数据 | 打板客网 — https://dabanke.com/hangqing-002241.html?utm_source=openai</w:t>
      </w:r>
    </w:p>
    <w:p>
      <w:pPr>
        <w:spacing w:after="200"/>
      </w:pPr>
      <w:r>
        <w:rPr>
          <w:i/>
          <w:iCs/>
          <w:color w:val="595959"/>
          <w:sz w:val="18"/>
          <w:szCs w:val="18"/>
        </w:rPr>
        <w:t xml:space="preserve">歌尔股份(002241)-公司资料 — https://basic.10jqka.com.cn/mobile/002241/companyn.html</w:t>
      </w:r>
    </w:p>
    <w:p>
      <w:pPr>
        <w:spacing w:after="200"/>
      </w:pPr>
      <w:r>
        <w:rPr>
          <w:i/>
          <w:iCs/>
          <w:color w:val="595959"/>
          <w:sz w:val="18"/>
          <w:szCs w:val="18"/>
        </w:rPr>
        <w:t xml:space="preserve">歌尔股份(002241) 最新动态_F10_同花顺金融服务网 — https://basic.10jqka.com.cn/48/002241/</w:t>
      </w:r>
    </w:p>
    <w:p>
      <w:pPr>
        <w:spacing w:after="200"/>
      </w:pPr>
      <w:r>
        <w:rPr>
          <w:i/>
          <w:iCs/>
          <w:color w:val="595959"/>
          <w:sz w:val="18"/>
          <w:szCs w:val="18"/>
        </w:rPr>
        <w:t xml:space="preserve">本报告由AI基于公开渠道信息自动检索、整理并生成，信息截至 截至2026年9月11日收盘；部分技术指标、资金流向和股东数据来自不同数据商或自行估算，存在更新时间和计算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2026-09-13T12:15:06.478Z</dcterms:created>
  <dcterms:modified xsi:type="dcterms:W3CDTF">2026-09-13T12:15:06.478Z</dcterms:modified>
</cp:coreProperties>
</file>

<file path=docProps/custom.xml><?xml version="1.0" encoding="utf-8"?>
<Properties xmlns="http://schemas.openxmlformats.org/officeDocument/2006/custom-properties" xmlns:vt="http://schemas.openxmlformats.org/officeDocument/2006/docPropsVTypes"/>
</file>