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步步高商业连锁股份有限公司 (002251)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行业：区域连锁零售</w:t>
      </w:r>
    </w:p>
    <w:p>
      <w:pPr>
        <w:jc w:val="center"/>
      </w:pPr>
      <w:r>
        <w:rPr>
          <w:color w:val="595959"/>
          <w:sz w:val="22"/>
          <w:szCs w:val="22"/>
        </w:rPr>
        <w:t xml:space="preserve">报告日期：2026年10月7日</w:t>
      </w:r>
    </w:p>
    <w:p>
      <w:pPr>
        <w:jc w:val="center"/>
      </w:pPr>
      <w:r>
        <w:rPr>
          <w:color w:val="595959"/>
          <w:sz w:val="20"/>
          <w:szCs w:val="20"/>
        </w:rPr>
        <w:t xml:space="preserve">行情截至2026-09-30收盘</w:t>
      </w:r>
    </w:p>
    <w:p>
      <w:pPr>
        <w:spacing w:before="800"/>
        <w:jc w:val="center"/>
      </w:pPr>
      <w:r>
        <w:rPr>
          <w:i/>
          <w:iCs/>
          <w:color w:val="595959"/>
          <w:sz w:val="18"/>
          <w:szCs w:val="18"/>
        </w:rPr>
        <w:t xml:space="preserve">本报告基于公开信息由AI自动整理生成，仅供参考，不构成投资建议</w:t>
      </w:r>
    </w:p>
    <w:p>
      <w:r>
        <w:br w:type="page"/>
      </w:r>
    </w:p>
    <w:p>
      <w:pPr>
        <w:spacing w:after="160" w:line="300"/>
      </w:pPr>
      <w:r>
        <w:rPr>
          <w:b/>
          <w:bCs/>
          <w:color w:val="1F4E79"/>
          <w:sz w:val="22"/>
          <w:szCs w:val="22"/>
        </w:rPr>
        <w:t xml:space="preserve">核心结论：经营修复已有迹象，但盈利兑现与高估值仍不匹配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3200"/>
        <w:gridCol w:w="6700"/>
      </w:tblGrid>
      <w:tr>
        <w:trPr>
          <w:tblHeader/>
        </w:trPr>
        <w:tc>
          <w:tcPr>
            <w:tcW w:type="dxa" w:w="3200"/>
            <w:shd w:fill="1F4E79" w:val="clear"/>
            <w:tcMar>
              <w:top w:type="dxa" w:w="80"/>
              <w:left w:type="dxa" w:w="100"/>
              <w:bottom w:type="dxa" w:w="80"/>
              <w:right w:type="dxa" w:w="100"/>
            </w:tcMar>
            <w:vAlign w:val="center"/>
          </w:tcPr>
          <w:p>
            <w:pPr>
              <w:jc w:val="center"/>
            </w:pPr>
            <w:r>
              <w:rPr>
                <w:b/>
                <w:bCs/>
                <w:color w:val="FFFFFF"/>
                <w:sz w:val="20"/>
                <w:szCs w:val="20"/>
              </w:rPr>
              <w:t xml:space="preserve">关键数据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收盘价（当日涨跌幅）</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3.45元（+1.77%）</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约92.76亿元</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167.48倍</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1.09倍</w:t>
            </w:r>
          </w:p>
        </w:tc>
      </w:tr>
      <w:tr>
        <w:tc>
          <w:tcPr>
            <w:tcW w:type="dxa" w:w="32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3.28～6.40元</w:t>
            </w:r>
          </w:p>
        </w:tc>
      </w:tr>
      <w:tr>
        <w:tc>
          <w:tcPr>
            <w:tcW w:type="dxa" w:w="3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成交额/换手率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1.98亿元／2.61%</w:t>
            </w:r>
          </w:p>
        </w:tc>
      </w:tr>
    </w:tbl>
    <w:p>
      <w:pPr>
        <w:spacing w:before="200"/>
      </w:pPr>
    </w:p>
    <w:p>
      <w:pPr>
        <w:spacing w:after="200"/>
      </w:pPr>
      <w:r>
        <w:rPr>
          <w:i/>
          <w:iCs/>
          <w:color w:val="595959"/>
          <w:sz w:val="18"/>
          <w:szCs w:val="18"/>
        </w:rPr>
        <w:t xml:space="preserve">行情数据截至：2026-09-30收盘</w:t>
      </w:r>
    </w:p>
    <w:p>
      <w:pPr>
        <w:pStyle w:val="Heading1"/>
        <w:pBdr>
          <w:bottom w:val="single" w:color="1F4E79" w:sz="6" w:space="4"/>
        </w:pBdr>
        <w:spacing w:after="160" w:before="360"/>
      </w:pPr>
      <w:r>
        <w:rPr>
          <w:b/>
          <w:bCs/>
          <w:color w:val="1F4E79"/>
          <w:sz w:val="30"/>
          <w:szCs w:val="30"/>
        </w:rPr>
        <w:t xml:space="preserve">一、投资要点</w:t>
      </w:r>
    </w:p>
    <w:p>
      <w:pPr>
        <w:pStyle w:val="ListParagraph"/>
        <w:numPr>
          <w:ilvl w:val="0"/>
          <w:numId w:val="2"/>
        </w:numPr>
        <w:spacing w:after="80" w:line="280"/>
      </w:pPr>
      <w:r>
        <w:rPr>
          <w:b/>
          <w:bCs/>
          <w:sz w:val="22"/>
          <w:szCs w:val="22"/>
        </w:rPr>
        <w:t xml:space="preserve">扣非改善明显，归母利润仍受重整收益扰动</w:t>
      </w:r>
      <w:r>
        <w:rPr>
          <w:sz w:val="22"/>
          <w:szCs w:val="22"/>
        </w:rPr>
        <w:t xml:space="preserve">：2026年中报扣非归母净利润同比增长474.74%，归母净利润同比下降28.62%；债务重整收益由上年同期1.74亿元降至0.38亿元。</w:t>
      </w:r>
    </w:p>
    <w:p>
      <w:pPr>
        <w:pStyle w:val="ListParagraph"/>
        <w:numPr>
          <w:ilvl w:val="0"/>
          <w:numId w:val="2"/>
        </w:numPr>
        <w:spacing w:after="80" w:line="280"/>
      </w:pPr>
      <w:r>
        <w:rPr>
          <w:b/>
          <w:bCs/>
          <w:sz w:val="22"/>
          <w:szCs w:val="22"/>
        </w:rPr>
        <w:t xml:space="preserve">超市是增长核心，修复能否转化为持续盈利仍待验证</w:t>
      </w:r>
      <w:r>
        <w:rPr>
          <w:sz w:val="22"/>
          <w:szCs w:val="22"/>
        </w:rPr>
        <w:t xml:space="preserve">：2025年超市收入增长50.38%、毛利率提升7.77个百分点；同期百货收入下降13.13%，扣非归母净利润仍亏损。</w:t>
      </w:r>
    </w:p>
    <w:p>
      <w:pPr>
        <w:pStyle w:val="ListParagraph"/>
        <w:numPr>
          <w:ilvl w:val="0"/>
          <w:numId w:val="2"/>
        </w:numPr>
        <w:spacing w:after="80" w:line="280"/>
      </w:pPr>
      <w:r>
        <w:rPr>
          <w:b/>
          <w:bCs/>
          <w:sz w:val="22"/>
          <w:szCs w:val="22"/>
        </w:rPr>
        <w:t xml:space="preserve">现价对应高PE，明显依赖后续利润恢复</w:t>
      </w:r>
      <w:r>
        <w:rPr>
          <w:sz w:val="22"/>
          <w:szCs w:val="22"/>
        </w:rPr>
        <w:t xml:space="preserve">：9月30日收盘3.45元，PE-TTM 167.48倍、PB 1.09倍；PE处近5.2年97%分位，机构预测2026年归母净利润增长95.0%。</w:t>
      </w:r>
    </w:p>
    <w:p>
      <w:pPr>
        <w:pStyle w:val="Heading2"/>
        <w:spacing w:after="120" w:before="240"/>
      </w:pPr>
      <w:r>
        <w:rPr>
          <w:b/>
          <w:bCs/>
          <w:color w:val="2E74B5"/>
          <w:sz w:val="24"/>
          <w:szCs w:val="24"/>
        </w:rPr>
        <w:t xml:space="preserve">市场预期与证据</w:t>
      </w:r>
    </w:p>
    <w:p>
      <w:pPr>
        <w:pStyle w:val="ListParagraph"/>
        <w:numPr>
          <w:ilvl w:val="0"/>
          <w:numId w:val="2"/>
        </w:numPr>
        <w:spacing w:after="80" w:line="280"/>
      </w:pPr>
      <w:r>
        <w:rPr>
          <w:b/>
          <w:bCs/>
          <w:sz w:val="22"/>
          <w:szCs w:val="22"/>
        </w:rPr>
        <w:t xml:space="preserve">市场在定价</w:t>
      </w:r>
      <w:r>
        <w:rPr>
          <w:sz w:val="22"/>
          <w:szCs w:val="22"/>
        </w:rPr>
        <w:t xml:space="preserve">：机构预测归母净利润2026—2028年分别增长95.0%、45.0%、29.8%；现价PE处近5.2年97%分位、PS为2.1倍，市场定价侧重盈利恢复。市场隐含增速仅为低利润基数下的算术结果，不作预期比较。</w:t>
      </w:r>
    </w:p>
    <w:p>
      <w:pPr>
        <w:pStyle w:val="ListParagraph"/>
        <w:numPr>
          <w:ilvl w:val="0"/>
          <w:numId w:val="2"/>
        </w:numPr>
        <w:spacing w:after="80" w:line="280"/>
      </w:pPr>
      <w:r>
        <w:rPr>
          <w:b/>
          <w:bCs/>
          <w:sz w:val="22"/>
          <w:szCs w:val="22"/>
        </w:rPr>
        <w:t xml:space="preserve">证据显示</w:t>
      </w:r>
      <w:r>
        <w:rPr>
          <w:sz w:val="22"/>
          <w:szCs w:val="22"/>
        </w:rPr>
        <w:t xml:space="preserve">：超市毛利改善与中报扣非增长支持修复方向，但中报收入仅增长9.79%、归母净利润下降28.62%，且单季归母净利润同比下降67.18%。现有证据尚未证明利润预测可持续兑现。</w:t>
      </w:r>
    </w:p>
    <w:p>
      <w:pPr>
        <w:spacing w:after="160" w:line="300"/>
      </w:pPr>
      <w:r>
        <w:rPr>
          <w:b/>
          <w:bCs/>
          <w:color w:val="1F4E79"/>
          <w:sz w:val="22"/>
          <w:szCs w:val="22"/>
        </w:rPr>
        <w:t xml:space="preserve">证据倾向：证据不足；置信度：低（部分财务字段仍缺官方核验或披露日期、部分论据存在期间或口径冲突，已屏蔽相关判断）</w:t>
      </w:r>
    </w:p>
    <w:p>
      <w:pPr>
        <w:spacing w:after="160" w:line="300"/>
      </w:pPr>
      <w:r>
        <w:rPr>
          <w:sz w:val="22"/>
          <w:szCs w:val="22"/>
        </w:rPr>
        <w:t xml:space="preserve">部分论据期间或口径未一致，相关比较已撤回。</w:t>
      </w:r>
    </w:p>
    <w:p>
      <w:pPr>
        <w:pStyle w:val="Heading1"/>
        <w:pBdr>
          <w:bottom w:val="single" w:color="1F4E79" w:sz="6" w:space="4"/>
        </w:pBdr>
        <w:spacing w:after="160" w:before="360"/>
      </w:pPr>
      <w:r>
        <w:rPr>
          <w:b/>
          <w:bCs/>
          <w:color w:val="1F4E79"/>
          <w:sz w:val="30"/>
          <w:szCs w:val="30"/>
        </w:rPr>
        <w:t xml:space="preserve">二、生意与竞争力</w:t>
      </w:r>
    </w:p>
    <w:p>
      <w:pPr>
        <w:pStyle w:val="Heading2"/>
        <w:spacing w:after="120" w:before="240"/>
      </w:pPr>
      <w:r>
        <w:rPr>
          <w:b/>
          <w:bCs/>
          <w:color w:val="2E74B5"/>
          <w:sz w:val="24"/>
          <w:szCs w:val="24"/>
        </w:rPr>
        <w:t xml:space="preserve">2.1 业务结构</w:t>
      </w:r>
    </w:p>
    <w:p>
      <w:pPr>
        <w:spacing w:after="160" w:line="300"/>
      </w:pPr>
      <w:r>
        <w:rPr>
          <w:sz w:val="22"/>
          <w:szCs w:val="22"/>
        </w:rPr>
        <w:t xml:space="preserve">通过湖南等地线下超市、百货门店向消费者销售商品，并经营物流、广告等业务，收入受商品结构、促销和终端售价影响。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000"/>
        <w:gridCol w:w="1400"/>
        <w:gridCol w:w="1300"/>
        <w:gridCol w:w="1400"/>
        <w:gridCol w:w="3800"/>
      </w:tblGrid>
      <w:tr>
        <w:trPr>
          <w:tblHeader/>
        </w:trPr>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业务板块</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收入占比</w:t>
            </w:r>
          </w:p>
        </w:tc>
        <w:tc>
          <w:tcPr>
            <w:tcW w:type="dxa" w:w="13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收入增速</w:t>
            </w:r>
          </w:p>
        </w:tc>
        <w:tc>
          <w:tcPr>
            <w:tcW w:type="dxa" w:w="3800"/>
            <w:shd w:fill="1F4E79" w:val="clear"/>
            <w:tcMar>
              <w:top w:type="dxa" w:w="80"/>
              <w:left w:type="dxa" w:w="100"/>
              <w:bottom w:type="dxa" w:w="80"/>
              <w:right w:type="dxa" w:w="100"/>
            </w:tcMar>
            <w:vAlign w:val="center"/>
          </w:tcPr>
          <w:p>
            <w:pPr>
              <w:jc w:val="center"/>
            </w:pPr>
            <w:r>
              <w:rPr>
                <w:b/>
                <w:bCs/>
                <w:color w:val="FFFFFF"/>
                <w:sz w:val="20"/>
                <w:szCs w:val="20"/>
              </w:rPr>
              <w:t xml:space="preserve">要点</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超市</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65.69%（2025年）</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21.63%（2025年）</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50.38%（2025年同比）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主要收入和增长来源，毛利率同比提升7.77个百分点</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其他业务</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26.62%（2025年）</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-9.43%（2025年同比）</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年报未进一步拆分，不直接等同于物业或租赁收入</w:t>
            </w:r>
          </w:p>
        </w:tc>
      </w:tr>
      <w:tr>
        <w:tc>
          <w:tcPr>
            <w:tcW w:type="dxa" w:w="2000"/>
            <w:tcMar>
              <w:top w:type="dxa" w:w="80"/>
              <w:left w:type="dxa" w:w="100"/>
              <w:bottom w:type="dxa" w:w="80"/>
              <w:right w:type="dxa" w:w="100"/>
            </w:tcMar>
            <w:vAlign w:val="center"/>
          </w:tcPr>
          <w:p>
            <w:pPr>
              <w:jc w:val="left"/>
            </w:pPr>
            <w:r>
              <w:rPr>
                <w:b w:val="false"/>
                <w:bCs w:val="false"/>
                <w:color w:val="000000"/>
                <w:sz w:val="20"/>
                <w:szCs w:val="20"/>
              </w:rPr>
              <w:t xml:space="preserve">百货</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5.55%（2025年）</w:t>
            </w:r>
          </w:p>
        </w:tc>
        <w:tc>
          <w:tcPr>
            <w:tcW w:type="dxa" w:w="1300"/>
            <w:tcMar>
              <w:top w:type="dxa" w:w="80"/>
              <w:left w:type="dxa" w:w="100"/>
              <w:bottom w:type="dxa" w:w="80"/>
              <w:right w:type="dxa" w:w="100"/>
            </w:tcMar>
            <w:vAlign w:val="center"/>
          </w:tcPr>
          <w:p>
            <w:pPr>
              <w:jc w:val="center"/>
            </w:pPr>
            <w:r>
              <w:rPr>
                <w:b w:val="false"/>
                <w:bCs w:val="false"/>
                <w:color w:val="000000"/>
                <w:sz w:val="20"/>
                <w:szCs w:val="20"/>
              </w:rPr>
              <w:t xml:space="preserve">60.09%（2025年）</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-13.13%（2025年同比）</w:t>
            </w:r>
          </w:p>
        </w:tc>
        <w:tc>
          <w:tcPr>
            <w:tcW w:type="dxa" w:w="3800"/>
            <w:tcMar>
              <w:top w:type="dxa" w:w="80"/>
              <w:left w:type="dxa" w:w="100"/>
              <w:bottom w:type="dxa" w:w="80"/>
              <w:right w:type="dxa" w:w="100"/>
            </w:tcMar>
            <w:vAlign w:val="center"/>
          </w:tcPr>
          <w:p>
            <w:pPr>
              <w:jc w:val="center"/>
            </w:pPr>
            <w:r>
              <w:rPr>
                <w:b w:val="false"/>
                <w:bCs w:val="false"/>
                <w:color w:val="000000"/>
                <w:sz w:val="20"/>
                <w:szCs w:val="20"/>
              </w:rPr>
              <w:t xml:space="preserve">毛利率高于超市，但收入规模较小且同比下降</w:t>
            </w:r>
          </w:p>
        </w:tc>
      </w:tr>
      <w:tr>
        <w:tc>
          <w:tcPr>
            <w:tcW w:type="dxa" w:w="2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物流及广告</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2.14%（2025年）</w:t>
            </w:r>
          </w:p>
        </w:tc>
        <w:tc>
          <w:tcPr>
            <w:tcW w:type="dxa" w:w="1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5.37%（2025年同比）</w:t>
            </w:r>
          </w:p>
        </w:tc>
        <w:tc>
          <w:tcPr>
            <w:tcW w:type="dxa" w:w="3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收入占比较低</w:t>
            </w:r>
          </w:p>
        </w:tc>
      </w:tr>
    </w:tbl>
    <w:p>
      <w:pPr>
        <w:spacing w:before="200"/>
      </w:pPr>
    </w:p>
    <w:p>
      <w:pPr>
        <w:pStyle w:val="Heading2"/>
        <w:spacing w:after="120" w:before="240"/>
      </w:pPr>
      <w:r>
        <w:rPr>
          <w:b/>
          <w:bCs/>
          <w:color w:val="2E74B5"/>
          <w:sz w:val="24"/>
          <w:szCs w:val="24"/>
        </w:rPr>
        <w:t xml:space="preserve">2.2 竞争优势</w:t>
      </w:r>
    </w:p>
    <w:p>
      <w:pPr>
        <w:spacing w:after="160" w:line="300"/>
      </w:pPr>
      <w:r>
        <w:rPr>
          <w:b/>
          <w:bCs/>
          <w:color w:val="1F4E79"/>
          <w:sz w:val="22"/>
          <w:szCs w:val="22"/>
        </w:rPr>
        <w:t xml:space="preserve">竞争优势强度：弱</w:t>
      </w:r>
    </w:p>
    <w:p>
      <w:pPr>
        <w:pStyle w:val="ListParagraph"/>
        <w:numPr>
          <w:ilvl w:val="0"/>
          <w:numId w:val="2"/>
        </w:numPr>
        <w:spacing w:after="80" w:line="280"/>
      </w:pPr>
      <w:r>
        <w:rPr>
          <w:sz w:val="22"/>
          <w:szCs w:val="22"/>
        </w:rPr>
        <w:t xml:space="preserve">区域门店网络：深耕湖南约30年，2025年湖南收入占营业收入73.36%</w:t>
      </w:r>
    </w:p>
    <w:p>
      <w:pPr>
        <w:pStyle w:val="ListParagraph"/>
        <w:numPr>
          <w:ilvl w:val="0"/>
          <w:numId w:val="2"/>
        </w:numPr>
        <w:spacing w:after="80" w:line="280"/>
      </w:pPr>
      <w:r>
        <w:rPr>
          <w:sz w:val="22"/>
          <w:szCs w:val="22"/>
        </w:rPr>
        <w:t xml:space="preserve">本地化渠道基础：门店覆盖省内几乎所有地级市，区域排名未获独立统计验证</w:t>
      </w:r>
    </w:p>
    <w:p>
      <w:pPr>
        <w:spacing w:after="160" w:line="300"/>
      </w:pPr>
      <w:r>
        <w:rPr>
          <w:sz w:val="22"/>
          <w:szCs w:val="22"/>
        </w:rPr>
        <w:t xml:space="preserve">主要威胁：区域零售竞争、促销与商品成本挤压毛利；2025年扣非归母净利润仍亏损，调改成效尚未证明为持久壁垒。</w:t>
      </w:r>
    </w:p>
    <w:p>
      <w:pPr>
        <w:pStyle w:val="Heading2"/>
        <w:spacing w:after="120" w:before="240"/>
      </w:pPr>
      <w:r>
        <w:rPr>
          <w:b/>
          <w:bCs/>
          <w:color w:val="2E74B5"/>
          <w:sz w:val="24"/>
          <w:szCs w:val="24"/>
        </w:rPr>
        <w:t xml:space="preserve">2.3 产业链位置与盈利趋势</w:t>
      </w:r>
    </w:p>
    <w:p>
      <w:pPr>
        <w:pStyle w:val="ListParagraph"/>
        <w:numPr>
          <w:ilvl w:val="0"/>
          <w:numId w:val="2"/>
        </w:numPr>
        <w:spacing w:after="80" w:line="280"/>
      </w:pPr>
      <w:r>
        <w:rPr>
          <w:sz w:val="22"/>
          <w:szCs w:val="22"/>
        </w:rPr>
        <w:t xml:space="preserve">采购超市及百货销售商品；2025年前五大供应商采购占比21.56%，最大单家占8.24%。</w:t>
      </w:r>
    </w:p>
    <w:p>
      <w:pPr>
        <w:pStyle w:val="ListParagraph"/>
        <w:numPr>
          <w:ilvl w:val="0"/>
          <w:numId w:val="2"/>
        </w:numPr>
        <w:spacing w:after="80" w:line="280"/>
      </w:pPr>
      <w:r>
        <w:rPr>
          <w:sz w:val="22"/>
          <w:szCs w:val="22"/>
        </w:rPr>
        <w:t xml:space="preserve">供应商包括胖东来、贵州茅台、双汇等；公司未披露合同定价机制，商品成本定价权缺乏证据。</w:t>
      </w:r>
    </w:p>
    <w:p>
      <w:pPr>
        <w:pStyle w:val="ListParagraph"/>
        <w:numPr>
          <w:ilvl w:val="0"/>
          <w:numId w:val="2"/>
        </w:numPr>
        <w:spacing w:after="80" w:line="280"/>
      </w:pPr>
      <w:r>
        <w:rPr>
          <w:sz w:val="22"/>
          <w:szCs w:val="22"/>
        </w:rPr>
        <w:t xml:space="preserve">主要面向分散的终端消费者；消费者可在实体零售商与线上平台间转换，促销和价格竞争限制成本转嫁。</w:t>
      </w:r>
    </w:p>
    <w:p>
      <w:pPr>
        <w:pStyle w:val="ListParagraph"/>
        <w:numPr>
          <w:ilvl w:val="0"/>
          <w:numId w:val="2"/>
        </w:numPr>
        <w:spacing w:after="80" w:line="280"/>
      </w:pPr>
      <w:r>
        <w:rPr>
          <w:sz w:val="22"/>
          <w:szCs w:val="22"/>
        </w:rPr>
        <w:t xml:space="preserve">前五大客户占销售额1.54%（2025年年报）；该年度披露未作独立交叉验证，以最新年报为准，且不代表消费者客群集中度。</w:t>
      </w:r>
    </w:p>
    <w:p>
      <w:pPr>
        <w:pStyle w:val="ListParagraph"/>
        <w:numPr>
          <w:ilvl w:val="0"/>
          <w:numId w:val="2"/>
        </w:numPr>
        <w:spacing w:after="80" w:line="280"/>
      </w:pPr>
      <w:r>
        <w:rPr>
          <w:sz w:val="22"/>
          <w:szCs w:val="22"/>
        </w:rPr>
        <w:t xml:space="preserve">2025年末应收账款占年收入约0.79%，应付账款6.65亿元；周转率表列99.08次、正文98.08次，按表约3.7天。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48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800"/>
            <w:shd w:fill="1F4E79" w:val="clear"/>
            <w:tcMar>
              <w:top w:type="dxa" w:w="80"/>
              <w:left w:type="dxa" w:w="100"/>
              <w:bottom w:type="dxa" w:w="80"/>
              <w:right w:type="dxa" w:w="100"/>
            </w:tcMar>
            <w:vAlign w:val="center"/>
          </w:tcPr>
          <w:p>
            <w:pPr>
              <w:jc w:val="center"/>
            </w:pPr>
            <w:r>
              <w:rPr>
                <w:b/>
                <w:bCs/>
                <w:color w:val="FFFFFF"/>
                <w:sz w:val="20"/>
                <w:szCs w:val="20"/>
              </w:rPr>
              <w:t xml:space="preserve">变动原因</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23.75%</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-29.19%</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退出部分省外市场、闭店及缺货，另有商誉减值影响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43.22%</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-61.17%</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收入收缩及业务结构变化，毛利率上升不代表竞争力增强</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36.81%</w:t>
            </w:r>
          </w:p>
        </w:tc>
        <w:tc>
          <w:tcPr>
            <w:tcW w:type="dxa" w:w="1800"/>
            <w:tcMar>
              <w:top w:type="dxa" w:w="80"/>
              <w:left w:type="dxa" w:w="100"/>
              <w:bottom w:type="dxa" w:w="80"/>
              <w:right w:type="dxa" w:w="100"/>
            </w:tcMar>
            <w:vAlign w:val="center"/>
          </w:tcPr>
          <w:p>
            <w:pPr>
              <w:jc w:val="center"/>
            </w:pPr>
            <w:r>
              <w:rPr>
                <w:b w:val="false"/>
                <w:bCs w:val="false"/>
                <w:color w:val="000000"/>
                <w:sz w:val="20"/>
                <w:szCs w:val="20"/>
              </w:rPr>
              <w:t xml:space="preserve">35.31%</w:t>
            </w:r>
          </w:p>
        </w:tc>
        <w:tc>
          <w:tcPr>
            <w:tcW w:type="dxa" w:w="4800"/>
            <w:tcMar>
              <w:top w:type="dxa" w:w="80"/>
              <w:left w:type="dxa" w:w="100"/>
              <w:bottom w:type="dxa" w:w="80"/>
              <w:right w:type="dxa" w:w="100"/>
            </w:tcMar>
            <w:vAlign w:val="center"/>
          </w:tcPr>
          <w:p>
            <w:pPr>
              <w:jc w:val="center"/>
            </w:pPr>
            <w:r>
              <w:rPr>
                <w:b w:val="false"/>
                <w:bCs w:val="false"/>
                <w:color w:val="000000"/>
                <w:sz w:val="20"/>
                <w:szCs w:val="20"/>
              </w:rPr>
              <w:t xml:space="preserve">净利率受约28.79亿元重整收益显著抬高</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34.08%</w:t>
            </w:r>
          </w:p>
        </w:tc>
        <w:tc>
          <w:tcPr>
            <w:tcW w:type="dxa" w:w="1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2.68%</w:t>
            </w:r>
          </w:p>
        </w:tc>
        <w:tc>
          <w:tcPr>
            <w:tcW w:type="dxa" w:w="4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超市分部毛利修复，合并毛利率因成本增速较快而回落</w:t>
            </w:r>
          </w:p>
        </w:tc>
      </w:tr>
    </w:tbl>
    <w:p>
      <w:pPr>
        <w:spacing w:before="200"/>
      </w:pPr>
    </w:p>
    <w:p>
      <w:pPr>
        <w:spacing w:after="160" w:line="300"/>
      </w:pPr>
      <w:r>
        <w:rPr>
          <w:sz w:val="22"/>
          <w:szCs w:val="22"/>
        </w:rPr>
        <w:t xml:space="preserve">步步高处于以商品采购、门店运营为核心的中游零售环节，超市增长和毛利修复尚未转化为稳定扣非盈利；改善取决于优势门店产出、商品结构与运营费用控制。</w:t>
      </w:r>
    </w:p>
    <w:p>
      <w:pPr>
        <w:pStyle w:val="Heading2"/>
        <w:spacing w:after="120" w:before="240"/>
      </w:pPr>
      <w:r>
        <w:rPr>
          <w:b/>
          <w:bCs/>
          <w:color w:val="2E74B5"/>
          <w:sz w:val="24"/>
          <w:szCs w:val="24"/>
        </w:rPr>
        <w:t xml:space="preserve">2.4 行业与同行对比</w:t>
      </w:r>
    </w:p>
    <w:p>
      <w:pPr>
        <w:spacing w:after="160" w:line="300"/>
      </w:pPr>
      <w:r>
        <w:rPr>
          <w:sz w:val="22"/>
          <w:szCs w:val="22"/>
        </w:rPr>
        <w:t xml:space="preserve">区域连锁零售处于门店调改与经营效率竞争阶段。步步高2025年超市收入和分部毛利率回升，但扣非仍亏损，关键在于修复能否覆盖门店运营及财务费用。</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300"/>
        <w:gridCol w:w="2600"/>
        <w:gridCol w:w="29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3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可比数据</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与本公司差异</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家家悦（603708）</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区域型连锁超市，经营生鲜及食品日用品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2025年收入179.57亿元；主营毛利率19.70%；PE(TTM) 28.14倍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规模约为步步高数倍，区域超市业务部分可比；估值数据截至2026年9月18日</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永辉超市（601933）</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全国性超市，处于门店调改与优化阶段</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2025年收入535.08亿元；连续亏损；PE(TTM) 亏损，不适用</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规模远大于步步高，转型阶段不同；2025年毛利率未列</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红旗连锁（002697）</w:t>
            </w:r>
          </w:p>
        </w:tc>
        <w:tc>
          <w:tcPr>
            <w:tcW w:type="dxa" w:w="2300"/>
            <w:tcMar>
              <w:top w:type="dxa" w:w="80"/>
              <w:left w:type="dxa" w:w="100"/>
              <w:bottom w:type="dxa" w:w="80"/>
              <w:right w:type="dxa" w:w="100"/>
            </w:tcMar>
            <w:vAlign w:val="center"/>
          </w:tcPr>
          <w:p>
            <w:pPr>
              <w:jc w:val="center"/>
            </w:pPr>
            <w:r>
              <w:rPr>
                <w:b w:val="false"/>
                <w:bCs w:val="false"/>
                <w:color w:val="000000"/>
                <w:sz w:val="20"/>
                <w:szCs w:val="20"/>
              </w:rPr>
              <w:t xml:space="preserve">区域便利超市零售</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2025年收入95.56亿元；PE(TTM) 13.75倍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区域属性相似，但便利店业态和单店模式不同；估值为2026年9月30日行情口径</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中百集团（000759）</w:t>
            </w:r>
          </w:p>
        </w:tc>
        <w:tc>
          <w:tcPr>
            <w:tcW w:type="dxa" w:w="23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区域性超市及零售运营商</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2025年收入约82.83亿元；PE(TTM) 亏损，不适用</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同属区域零售，但业务结构并不完全相同；2025年毛利率未列</w:t>
            </w:r>
          </w:p>
        </w:tc>
      </w:tr>
    </w:tbl>
    <w:p>
      <w:pPr>
        <w:spacing w:before="200"/>
      </w:pPr>
    </w:p>
    <w:p>
      <w:pPr>
        <w:spacing w:after="160" w:line="300"/>
      </w:pPr>
      <w:r>
        <w:rPr>
          <w:sz w:val="22"/>
          <w:szCs w:val="22"/>
        </w:rPr>
        <w:t xml:space="preserve">步步高2025年收入规模低于所列同业，业务集中湖南，超市收入增速较快且分部毛利率回升；但扣非仍亏损，尚无证据证明其具备全国规模采购优势或可持续盈利壁垒。</w:t>
      </w:r>
    </w:p>
    <w:p>
      <w:pPr>
        <w:pStyle w:val="Heading1"/>
        <w:pBdr>
          <w:bottom w:val="single" w:color="1F4E79" w:sz="6" w:space="4"/>
        </w:pBdr>
        <w:spacing w:after="160" w:before="360"/>
      </w:pPr>
      <w:r>
        <w:rPr>
          <w:b/>
          <w:bCs/>
          <w:color w:val="1F4E79"/>
          <w:sz w:val="30"/>
          <w:szCs w:val="30"/>
        </w:rPr>
        <w:t xml:space="preserve">三、财务质量</w:t>
      </w:r>
    </w:p>
    <w:p>
      <w:pPr>
        <w:pStyle w:val="Heading2"/>
        <w:spacing w:after="120" w:before="240"/>
      </w:pPr>
      <w:r>
        <w:rPr>
          <w:b/>
          <w:bCs/>
          <w:color w:val="2E74B5"/>
          <w:sz w:val="24"/>
          <w:szCs w:val="24"/>
        </w:rPr>
        <w:t xml:space="preserve">3.1 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1600"/>
        <w:gridCol w:w="1100"/>
        <w:gridCol w:w="1600"/>
        <w:gridCol w:w="1100"/>
        <w:gridCol w:w="1400"/>
        <w:gridCol w:w="16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1400"/>
            <w:shd w:fill="1F4E79" w:val="clear"/>
            <w:tcMar>
              <w:top w:type="dxa" w:w="80"/>
              <w:left w:type="dxa" w:w="100"/>
              <w:bottom w:type="dxa" w:w="80"/>
              <w:right w:type="dxa" w:w="100"/>
            </w:tcMar>
            <w:vAlign w:val="center"/>
          </w:tcPr>
          <w:p>
            <w:pPr>
              <w:jc w:val="center"/>
            </w:pPr>
            <w:r>
              <w:rPr>
                <w:b/>
                <w:bCs/>
                <w:color w:val="FFFFFF"/>
                <w:sz w:val="20"/>
                <w:szCs w:val="20"/>
              </w:rPr>
              <w:t xml:space="preserve">扣非同比</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2026年中报</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23.39亿元人民币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+9.79%</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1.43亿元人民币</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-28.62%</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+474.74%</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35.13%</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42.17亿元人民币</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+22.65%</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1.13亿元人民币</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-90.69%</w:t>
            </w:r>
          </w:p>
        </w:tc>
        <w:tc>
          <w:tcPr>
            <w:tcW w:type="dxa" w:w="1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+83.34%</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34.08%</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34.38亿元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+10.87%</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12.12亿元</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+164.16%</w:t>
            </w:r>
          </w:p>
        </w:tc>
        <w:tc>
          <w:tcPr>
            <w:tcW w:type="dxa" w:w="1400"/>
            <w:tcMar>
              <w:top w:type="dxa" w:w="80"/>
              <w:left w:type="dxa" w:w="100"/>
              <w:bottom w:type="dxa" w:w="80"/>
              <w:right w:type="dxa" w:w="100"/>
            </w:tcMar>
            <w:vAlign w:val="center"/>
          </w:tcPr>
          <w:p>
            <w:pPr>
              <w:jc w:val="center"/>
            </w:pPr>
            <w:r>
              <w:rPr>
                <w:b w:val="false"/>
                <w:bCs w:val="false"/>
                <w:color w:val="000000"/>
                <w:sz w:val="20"/>
                <w:szCs w:val="20"/>
              </w:rPr>
              <w:t xml:space="preserve">+40.07%</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36.81%</w:t>
            </w:r>
          </w:p>
        </w:tc>
      </w:tr>
    </w:tbl>
    <w:p>
      <w:pPr>
        <w:spacing w:before="200"/>
      </w:pPr>
    </w:p>
    <w:p>
      <w:pPr>
        <w:spacing w:after="200"/>
      </w:pPr>
      <w:r>
        <w:rPr>
          <w:i/>
          <w:iCs/>
          <w:color w:val="595959"/>
          <w:sz w:val="18"/>
          <w:szCs w:val="18"/>
        </w:rPr>
        <w:t xml:space="preserve">营业收入与归母净利润按同期间官方报表及明确币种列示；调整后盈利与法定利润分别比较。</w:t>
      </w:r>
    </w:p>
    <w:p>
      <w:pPr>
        <w:spacing w:after="160" w:line="300"/>
      </w:pPr>
      <w:r>
        <w:rPr>
          <w:sz w:val="22"/>
          <w:szCs w:val="22"/>
        </w:rPr>
        <w:t xml:space="preserve">2026年中报归母净利下降，主要因债务重整收益由上年同期1.74亿元降至0.38亿元；扣非明显改善，但单季归母仍同比下降67.18%，盈利修复仍待验证。</w:t>
      </w:r>
    </w:p>
    <w:p>
      <w:pPr>
        <w:pStyle w:val="Heading2"/>
        <w:spacing w:after="120" w:before="240"/>
      </w:pPr>
      <w:r>
        <w:rPr>
          <w:b/>
          <w:bCs/>
          <w:color w:val="2E74B5"/>
          <w:sz w:val="24"/>
          <w:szCs w:val="24"/>
        </w:rPr>
        <w:t xml:space="preserve">3.2 财务健康检查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1100"/>
        <w:gridCol w:w="44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1100"/>
            <w:shd w:fill="1F4E79" w:val="clear"/>
            <w:tcMar>
              <w:top w:type="dxa" w:w="80"/>
              <w:left w:type="dxa" w:w="100"/>
              <w:bottom w:type="dxa" w:w="80"/>
              <w:right w:type="dxa" w:w="100"/>
            </w:tcMar>
            <w:vAlign w:val="center"/>
          </w:tcPr>
          <w:p>
            <w:pPr>
              <w:jc w:val="center"/>
            </w:pPr>
            <w:r>
              <w:rPr>
                <w:b/>
                <w:bCs/>
                <w:color w:val="FFFFFF"/>
                <w:sz w:val="20"/>
                <w:szCs w:val="20"/>
              </w:rPr>
              <w:t xml:space="preserve">判断</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加权ROE</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1.70%（2026年中报）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资本回报率偏低，盈利能力修复尚未充分体现。</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资产负债率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59.16%（2026年中报）</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一般</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负债水平仍高，较年初下降0.64个百分点。</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经营现金流净额/净利润</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3.52（2026年中报）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良好</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经营现金流对净利润覆盖较强。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流动比率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0.53（2026年中报）</w:t>
            </w:r>
          </w:p>
        </w:tc>
        <w:tc>
          <w:tcPr>
            <w:tcW w:type="dxa" w:w="11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低于1，且2027年6月有留债偿付安排。</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利息保障倍数</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2.3倍（2026年中报）</w:t>
            </w:r>
          </w:p>
        </w:tc>
        <w:tc>
          <w:tcPr>
            <w:tcW w:type="dxa" w:w="1100"/>
            <w:tcMar>
              <w:top w:type="dxa" w:w="80"/>
              <w:left w:type="dxa" w:w="100"/>
              <w:bottom w:type="dxa" w:w="80"/>
              <w:right w:type="dxa" w:w="100"/>
            </w:tcMar>
            <w:vAlign w:val="center"/>
          </w:tcPr>
          <w:p>
            <w:pPr>
              <w:jc w:val="center"/>
            </w:pPr>
            <w:r>
              <w:rPr>
                <w:b w:val="false"/>
                <w:bCs w:val="false"/>
                <w:color w:val="000000"/>
                <w:sz w:val="20"/>
                <w:szCs w:val="20"/>
              </w:rPr>
              <w:t xml:space="preserve">关注</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利息覆盖空间有限。</w:t>
            </w:r>
          </w:p>
        </w:tc>
      </w:tr>
    </w:tbl>
    <w:p>
      <w:pPr>
        <w:spacing w:before="200"/>
      </w:pPr>
    </w:p>
    <w:p>
      <w:pPr>
        <w:pStyle w:val="Heading1"/>
        <w:pBdr>
          <w:bottom w:val="single" w:color="1F4E79" w:sz="6" w:space="4"/>
        </w:pBdr>
        <w:spacing w:after="160" w:before="360"/>
      </w:pPr>
      <w:r>
        <w:rPr>
          <w:b/>
          <w:bCs/>
          <w:color w:val="1F4E79"/>
          <w:sz w:val="30"/>
          <w:szCs w:val="30"/>
        </w:rPr>
        <w:t xml:space="preserve">四、估值与市场预期</w:t>
      </w:r>
    </w:p>
    <w:p>
      <w:pPr>
        <w:pStyle w:val="Heading2"/>
        <w:spacing w:after="120" w:before="240"/>
      </w:pPr>
      <w:r>
        <w:rPr>
          <w:b/>
          <w:bCs/>
          <w:color w:val="2E74B5"/>
          <w:sz w:val="24"/>
          <w:szCs w:val="24"/>
        </w:rPr>
        <w:t xml:space="preserve">4.1 估值水平</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2000"/>
        <w:gridCol w:w="2900"/>
        <w:gridCol w:w="28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900"/>
            <w:shd w:fill="1F4E79" w:val="clear"/>
            <w:tcMar>
              <w:top w:type="dxa" w:w="80"/>
              <w:left w:type="dxa" w:w="100"/>
              <w:bottom w:type="dxa" w:w="80"/>
              <w:right w:type="dxa" w:w="100"/>
            </w:tcMar>
            <w:vAlign w:val="center"/>
          </w:tcPr>
          <w:p>
            <w:pPr>
              <w:jc w:val="center"/>
            </w:pPr>
            <w:r>
              <w:rPr>
                <w:b/>
                <w:bCs/>
                <w:color w:val="FFFFFF"/>
                <w:sz w:val="20"/>
                <w:szCs w:val="20"/>
              </w:rPr>
              <w:t xml:space="preserve">自身历史</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同行对比</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PE(TTM)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167.48倍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近5.2年97%分位（中位数44.62倍）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中位数20.95倍（家家悦28.14、红旗连锁13.75）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PB(MRQ)</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1.09倍</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近5.2年53%分位（中位数1.06倍）</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中位数5.01倍（家家悦2.35、永辉超市12.31、红旗连锁1.31、中百集团7.68）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PS(TTM)</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2.1倍</w:t>
            </w:r>
          </w:p>
        </w:tc>
        <w:tc>
          <w:tcPr>
            <w:tcW w:type="dxa" w:w="2900"/>
            <w:tcMar>
              <w:top w:type="dxa" w:w="80"/>
              <w:left w:type="dxa" w:w="100"/>
              <w:bottom w:type="dxa" w:w="80"/>
              <w:right w:type="dxa" w:w="100"/>
            </w:tcMar>
            <w:vAlign w:val="center"/>
          </w:tcPr>
          <w:p>
            <w:pPr>
              <w:jc w:val="center"/>
            </w:pPr>
            <w:r>
              <w:rPr>
                <w:b w:val="false"/>
                <w:bCs w:val="false"/>
                <w:color w:val="000000"/>
                <w:sz w:val="20"/>
                <w:szCs w:val="20"/>
              </w:rPr>
              <w:t xml:space="preserve">近5.2年61%分位（中位数0.95倍）</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中位数0.56倍（家家悦0.32、永辉超市0.56、红旗连锁0.68、中百集团0.56）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股息率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w:t>
            </w:r>
          </w:p>
        </w:tc>
        <w:tc>
          <w:tcPr>
            <w:tcW w:type="dxa" w:w="2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r>
    </w:tbl>
    <w:p>
      <w:pPr>
        <w:spacing w:before="200"/>
      </w:pPr>
    </w:p>
    <w:p>
      <w:pPr>
        <w:spacing w:after="200"/>
      </w:pPr>
      <w:r>
        <w:rPr>
          <w:i/>
          <w:iCs/>
          <w:color w:val="595959"/>
          <w:sz w:val="18"/>
          <w:szCs w:val="18"/>
        </w:rPr>
        <w:t xml:space="preserve">估值倍数由程序按2026-09-30收盘数据计算（滚动十二个月口径）；同行倍数按2026-09-30收盘数据同口径计算</w:t>
      </w:r>
    </w:p>
    <w:p>
      <w:pPr>
        <w:spacing w:after="160" w:line="300"/>
      </w:pPr>
      <w:r>
        <w:rPr>
          <w:sz w:val="22"/>
          <w:szCs w:val="22"/>
        </w:rPr>
        <w:t xml:space="preserve">市场隐含预期：以当前167.48倍市盈率计，若投资者要求年化8%的回报、10年后按15倍市盈率估值，每股收益需年均增长约37.5%（不计分红，偏保守）。当前利润基数偏低、市盈率失真，这一增速只是算术结果，不宜直接当作市场预期。</w:t>
      </w:r>
    </w:p>
    <w:p>
      <w:pPr>
        <w:spacing w:after="160" w:line="300"/>
      </w:pPr>
      <w:r>
        <w:rPr>
          <w:sz w:val="22"/>
          <w:szCs w:val="22"/>
        </w:rPr>
        <w:t xml:space="preserve">现价在给定回报及退出PE假设下隐含10年EPS年均增长37.5%，与机构短期净利润预测的期限及指标不同，不能直接比较高低。</w:t>
      </w:r>
    </w:p>
    <w:p>
      <w:pPr>
        <w:pStyle w:val="Heading2"/>
        <w:spacing w:after="120" w:before="240"/>
      </w:pPr>
      <w:r>
        <w:rPr>
          <w:b/>
          <w:bCs/>
          <w:color w:val="2E74B5"/>
          <w:sz w:val="24"/>
          <w:szCs w:val="24"/>
        </w:rPr>
        <w:t xml:space="preserve">4.2 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54.68亿元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2.20亿元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+95.0%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0.08元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65.88亿元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3.19亿元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+45.0%</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0.12元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74.26亿元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4.14亿元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+29.8%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0.15元</w:t>
            </w:r>
          </w:p>
        </w:tc>
      </w:tr>
    </w:tbl>
    <w:p>
      <w:pPr>
        <w:spacing w:before="200"/>
      </w:pPr>
    </w:p>
    <w:p>
      <w:pPr>
        <w:spacing w:after="200"/>
      </w:pPr>
      <w:r>
        <w:rPr>
          <w:i/>
          <w:iCs/>
          <w:color w:val="595959"/>
          <w:sz w:val="18"/>
          <w:szCs w:val="18"/>
        </w:rPr>
        <w:t xml:space="preserve">东方财富近六个月研报汇总，截至2026-10-07。可见机构研报明细，评级人数另计：2026E净利润1家、EPS1家；2027E净利润1家、EPS1家；2028E净利润1家、EPS1家</w:t>
      </w:r>
    </w:p>
    <w:p>
      <w:pPr>
        <w:pStyle w:val="Heading2"/>
        <w:spacing w:after="120" w:before="240"/>
      </w:pPr>
      <w:r>
        <w:rPr>
          <w:b/>
          <w:bCs/>
          <w:color w:val="2E74B5"/>
          <w:sz w:val="24"/>
          <w:szCs w:val="24"/>
        </w:rPr>
        <w:t xml:space="preserve">4.3 机构观点</w:t>
      </w:r>
    </w:p>
    <w:p>
      <w:pPr>
        <w:spacing w:after="160" w:line="300"/>
      </w:pPr>
      <w:r>
        <w:rPr>
          <w:sz w:val="22"/>
          <w:szCs w:val="22"/>
        </w:rPr>
        <w:t xml:space="preserve">暂无可引用的机构目标价</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9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9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国盛证券有限责任公司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2026-08-29</w:t>
            </w:r>
          </w:p>
        </w:tc>
        <w:tc>
          <w:tcPr>
            <w:tcW w:type="dxa" w:w="3900"/>
            <w:tcMar>
              <w:top w:type="dxa" w:w="80"/>
              <w:left w:type="dxa" w:w="100"/>
              <w:bottom w:type="dxa" w:w="80"/>
              <w:right w:type="dxa" w:w="100"/>
            </w:tcMar>
            <w:vAlign w:val="center"/>
          </w:tcPr>
          <w:p>
            <w:pPr>
              <w:jc w:val="center"/>
            </w:pPr>
            <w:r>
              <w:rPr>
                <w:b w:val="false"/>
                <w:bCs w:val="false"/>
                <w:color w:val="000000"/>
                <w:sz w:val="20"/>
                <w:szCs w:val="20"/>
              </w:rPr>
              <w:t xml:space="preserve">预测2026E归母净利润2.16亿元，EPS 0.08元。</w:t>
            </w:r>
          </w:p>
        </w:tc>
      </w:tr>
    </w:tbl>
    <w:p>
      <w:pPr>
        <w:spacing w:before="200"/>
      </w:pPr>
    </w:p>
    <w:p>
      <w:pPr>
        <w:pStyle w:val="Heading1"/>
        <w:pBdr>
          <w:bottom w:val="single" w:color="1F4E79" w:sz="6" w:space="4"/>
        </w:pBdr>
        <w:spacing w:after="160" w:before="360"/>
      </w:pPr>
      <w:r>
        <w:rPr>
          <w:b/>
          <w:bCs/>
          <w:color w:val="1F4E79"/>
          <w:sz w:val="30"/>
          <w:szCs w:val="30"/>
        </w:rPr>
        <w:t xml:space="preserve">五、催化剂与近期事件</w:t>
      </w:r>
    </w:p>
    <w:p>
      <w:pPr>
        <w:pStyle w:val="Heading2"/>
        <w:spacing w:after="120" w:before="240"/>
      </w:pPr>
      <w:r>
        <w:rPr>
          <w:b/>
          <w:bCs/>
          <w:color w:val="2E74B5"/>
          <w:sz w:val="24"/>
          <w:szCs w:val="24"/>
        </w:rPr>
        <w:t xml:space="preserve">5.1 未来关键节点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时间</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事件</w:t>
            </w:r>
          </w:p>
        </w:tc>
        <w:tc>
          <w:tcPr>
            <w:tcW w:type="dxa" w:w="4700"/>
            <w:shd w:fill="1F4E79" w:val="clear"/>
            <w:tcMar>
              <w:top w:type="dxa" w:w="80"/>
              <w:left w:type="dxa" w:w="100"/>
              <w:bottom w:type="dxa" w:w="80"/>
              <w:right w:type="dxa" w:w="100"/>
            </w:tcMar>
            <w:vAlign w:val="center"/>
          </w:tcPr>
          <w:p>
            <w:pPr>
              <w:jc w:val="center"/>
            </w:pPr>
            <w:r>
              <w:rPr>
                <w:b/>
                <w:bCs/>
                <w:color w:val="FFFFFF"/>
                <w:sz w:val="20"/>
                <w:szCs w:val="20"/>
              </w:rPr>
              <w:t xml:space="preserve">看点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2026-10-28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预约披露2026年三季报</w:t>
            </w:r>
          </w:p>
        </w:tc>
        <w:tc>
          <w:tcPr>
            <w:tcW w:type="dxa" w:w="4700"/>
            <w:tcMar>
              <w:top w:type="dxa" w:w="80"/>
              <w:left w:type="dxa" w:w="100"/>
              <w:bottom w:type="dxa" w:w="80"/>
              <w:right w:type="dxa" w:w="100"/>
            </w:tcMar>
            <w:vAlign w:val="center"/>
          </w:tcPr>
          <w:p>
            <w:pPr>
              <w:jc w:val="center"/>
            </w:pPr>
            <w:r>
              <w:rPr>
                <w:b w:val="false"/>
                <w:bCs w:val="false"/>
                <w:color w:val="000000"/>
                <w:sz w:val="20"/>
                <w:szCs w:val="20"/>
              </w:rPr>
              <w:t xml:space="preserve">关注收入、扣非利润及经营现金流趋势，以及非经常性损益影响；与上半年经营表现相比明显改善为超预期。</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2026年底前</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衡阳店预计完成品牌调改</w:t>
            </w:r>
          </w:p>
        </w:tc>
        <w:tc>
          <w:tcPr>
            <w:tcW w:type="dxa" w:w="4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核对调改是否按期完成及后续经营表现；公司未披露量化业绩目标。</w:t>
            </w:r>
          </w:p>
        </w:tc>
      </w:tr>
    </w:tbl>
    <w:p>
      <w:pPr>
        <w:spacing w:before="200"/>
      </w:pPr>
    </w:p>
    <w:p>
      <w:pPr>
        <w:pStyle w:val="Heading2"/>
        <w:spacing w:after="120" w:before="240"/>
      </w:pPr>
      <w:r>
        <w:rPr>
          <w:b/>
          <w:bCs/>
          <w:color w:val="2E74B5"/>
          <w:sz w:val="24"/>
          <w:szCs w:val="24"/>
        </w:rPr>
        <w:t xml:space="preserve">5.2 近期重要事件</w:t>
      </w:r>
    </w:p>
    <w:p>
      <w:pPr>
        <w:pStyle w:val="ListParagraph"/>
        <w:numPr>
          <w:ilvl w:val="0"/>
          <w:numId w:val="2"/>
        </w:numPr>
        <w:spacing w:after="80" w:line="280"/>
      </w:pPr>
      <w:r>
        <w:rPr>
          <w:b/>
          <w:bCs/>
          <w:sz w:val="22"/>
          <w:szCs w:val="22"/>
        </w:rPr>
        <w:t xml:space="preserve">2026-08-27 半年报利润受非经常性损益影响（中性）</w:t>
      </w:r>
      <w:r>
        <w:rPr>
          <w:sz w:val="22"/>
          <w:szCs w:val="22"/>
        </w:rPr>
        <w:t xml:space="preserve">：扣非归母净利润同比增长474.74%，归母净利润同比下降28.62%；非经常性损益约7,617万元，其中债务重组收益约3,795万元，利润表现需区分经常性与一次性因素。</w:t>
      </w:r>
    </w:p>
    <w:p>
      <w:pPr>
        <w:pStyle w:val="ListParagraph"/>
        <w:numPr>
          <w:ilvl w:val="0"/>
          <w:numId w:val="2"/>
        </w:numPr>
        <w:spacing w:after="80" w:line="280"/>
      </w:pPr>
      <w:r>
        <w:rPr>
          <w:b/>
          <w:bCs/>
          <w:sz w:val="22"/>
          <w:szCs w:val="22"/>
        </w:rPr>
        <w:t xml:space="preserve">2026-09-23 怀化新天地物业改按公允价值计量（中性）</w:t>
      </w:r>
      <w:r>
        <w:rPr>
          <w:sz w:val="22"/>
          <w:szCs w:val="22"/>
        </w:rPr>
        <w:t xml:space="preserve">：公司将怀化新天地L4-L5层长期出租物业转为投资性房地产，评估增值818.24万元，规模有限；后续公允价值波动可能影响当期损益。</w:t>
      </w:r>
    </w:p>
    <w:p>
      <w:pPr>
        <w:pStyle w:val="ListParagraph"/>
        <w:numPr>
          <w:ilvl w:val="0"/>
          <w:numId w:val="2"/>
        </w:numPr>
        <w:spacing w:after="80" w:line="280"/>
      </w:pPr>
      <w:r>
        <w:rPr>
          <w:b/>
          <w:bCs/>
          <w:sz w:val="22"/>
          <w:szCs w:val="22"/>
        </w:rPr>
        <w:t xml:space="preserve">2026-08-03 7,000万股限售股上市流通（利空）</w:t>
      </w:r>
      <w:r>
        <w:rPr>
          <w:sz w:val="22"/>
          <w:szCs w:val="22"/>
        </w:rPr>
        <w:t xml:space="preserve">：7,000万股限售股上市流通，占总股本2.60%；该批股份已于8月3日流通，属于已发生的流通股供给增加。</w:t>
      </w:r>
    </w:p>
    <w:p>
      <w:pPr>
        <w:pStyle w:val="ListParagraph"/>
        <w:numPr>
          <w:ilvl w:val="0"/>
          <w:numId w:val="2"/>
        </w:numPr>
        <w:spacing w:after="80" w:line="280"/>
      </w:pPr>
      <w:r>
        <w:rPr>
          <w:b/>
          <w:bCs/>
          <w:sz w:val="22"/>
          <w:szCs w:val="22"/>
        </w:rPr>
        <w:t xml:space="preserve">2026-07-24 控股股东相关重整仍待协商（中性）</w:t>
      </w:r>
      <w:r>
        <w:rPr>
          <w:sz w:val="22"/>
          <w:szCs w:val="22"/>
        </w:rPr>
        <w:t xml:space="preserve">：公司称步步高投资集团等七家公司重整与上市公司自身重整不同，双方资产、业务及财务独立；该事项不等同于上市公司重整或必然导致其股权结构变化。</w:t>
      </w:r>
    </w:p>
    <w:p>
      <w:pPr>
        <w:pStyle w:val="Heading1"/>
        <w:pBdr>
          <w:bottom w:val="single" w:color="1F4E79" w:sz="6" w:space="4"/>
        </w:pBdr>
        <w:spacing w:after="160" w:before="360"/>
      </w:pPr>
      <w:r>
        <w:rPr>
          <w:b/>
          <w:bCs/>
          <w:color w:val="1F4E79"/>
          <w:sz w:val="30"/>
          <w:szCs w:val="30"/>
        </w:rPr>
        <w:t xml:space="preserve">六、多空分歧与风险</w:t>
      </w:r>
    </w:p>
    <w:p>
      <w:pPr>
        <w:pStyle w:val="Heading2"/>
        <w:spacing w:after="120" w:before="240"/>
      </w:pPr>
      <w:r>
        <w:rPr>
          <w:b/>
          <w:bCs/>
          <w:color w:val="2E74B5"/>
          <w:sz w:val="24"/>
          <w:szCs w:val="24"/>
        </w:rPr>
        <w:t xml:space="preserve">6.1 看多理由</w:t>
      </w:r>
    </w:p>
    <w:p>
      <w:pPr>
        <w:pStyle w:val="ListParagraph"/>
        <w:numPr>
          <w:ilvl w:val="0"/>
          <w:numId w:val="2"/>
        </w:numPr>
        <w:spacing w:after="80" w:line="280"/>
      </w:pPr>
      <w:r>
        <w:rPr>
          <w:sz w:val="22"/>
          <w:szCs w:val="22"/>
        </w:rPr>
        <w:t xml:space="preserve">2025年营收增长22.65%，2026年中报仍增长9.79%，门店经营修复尚未中断。</w:t>
      </w:r>
    </w:p>
    <w:p>
      <w:pPr>
        <w:pStyle w:val="ListParagraph"/>
        <w:numPr>
          <w:ilvl w:val="0"/>
          <w:numId w:val="2"/>
        </w:numPr>
        <w:spacing w:after="80" w:line="280"/>
      </w:pPr>
      <w:r>
        <w:rPr>
          <w:sz w:val="22"/>
          <w:szCs w:val="22"/>
        </w:rPr>
        <w:t xml:space="preserve">中报经营现金流净额为净利润的3.52倍，现金流对当期利润覆盖较强。</w:t>
      </w:r>
    </w:p>
    <w:p>
      <w:pPr>
        <w:pStyle w:val="Heading2"/>
        <w:spacing w:after="120" w:before="240"/>
      </w:pPr>
      <w:r>
        <w:rPr>
          <w:b/>
          <w:bCs/>
          <w:color w:val="2E74B5"/>
          <w:sz w:val="24"/>
          <w:szCs w:val="24"/>
        </w:rPr>
        <w:t xml:space="preserve">6.2 看空理由</w:t>
      </w:r>
    </w:p>
    <w:p>
      <w:pPr>
        <w:pStyle w:val="ListParagraph"/>
        <w:numPr>
          <w:ilvl w:val="0"/>
          <w:numId w:val="2"/>
        </w:numPr>
        <w:spacing w:after="80" w:line="280"/>
      </w:pPr>
      <w:r>
        <w:rPr>
          <w:sz w:val="22"/>
          <w:szCs w:val="22"/>
        </w:rPr>
        <w:t xml:space="preserve">中报加权ROE仅1.70%，资本回报偏低，修复尚未转化为有力回报。</w:t>
      </w:r>
    </w:p>
    <w:p>
      <w:pPr>
        <w:pStyle w:val="ListParagraph"/>
        <w:numPr>
          <w:ilvl w:val="0"/>
          <w:numId w:val="2"/>
        </w:numPr>
        <w:spacing w:after="80" w:line="280"/>
      </w:pPr>
      <w:r>
        <w:rPr>
          <w:sz w:val="22"/>
          <w:szCs w:val="22"/>
        </w:rPr>
        <w:t xml:space="preserve">2026年归母净利润预测增长95.0%，但中报归母净利润仍同比下降28.62%，预测兑现存在落差。</w:t>
      </w:r>
    </w:p>
    <w:p>
      <w:pPr>
        <w:pStyle w:val="Heading2"/>
        <w:spacing w:after="120" w:before="240"/>
      </w:pPr>
      <w:r>
        <w:rPr>
          <w:b/>
          <w:bCs/>
          <w:color w:val="2E74B5"/>
          <w:sz w:val="24"/>
          <w:szCs w:val="24"/>
        </w:rPr>
        <w:t xml:space="preserve">6.3 其他风险</w:t>
      </w:r>
    </w:p>
    <w:p>
      <w:pPr>
        <w:pStyle w:val="ListParagraph"/>
        <w:numPr>
          <w:ilvl w:val="0"/>
          <w:numId w:val="2"/>
        </w:numPr>
        <w:spacing w:after="80" w:line="280"/>
      </w:pPr>
      <w:r>
        <w:rPr>
          <w:sz w:val="22"/>
          <w:szCs w:val="22"/>
        </w:rPr>
        <w:t xml:space="preserve">流动比率仅0.53且2027年6月有留债偿付安排→偿债压力可能挤压经营现金或增加融资成本。</w:t>
      </w:r>
    </w:p>
    <w:p>
      <w:pPr>
        <w:pStyle w:val="ListParagraph"/>
        <w:numPr>
          <w:ilvl w:val="0"/>
          <w:numId w:val="2"/>
        </w:numPr>
        <w:spacing w:after="80" w:line="280"/>
      </w:pPr>
      <w:r>
        <w:rPr>
          <w:sz w:val="22"/>
          <w:szCs w:val="22"/>
        </w:rPr>
        <w:t xml:space="preserve">7,000万股限售股已上市流通，占总股本2.60%→若后续形成减持供给，可能压制估值表现。</w:t>
      </w:r>
    </w:p>
    <w:p>
      <w:pPr>
        <w:pStyle w:val="ListParagraph"/>
        <w:numPr>
          <w:ilvl w:val="0"/>
          <w:numId w:val="2"/>
        </w:numPr>
        <w:spacing w:after="80" w:line="280"/>
      </w:pPr>
      <w:r>
        <w:rPr>
          <w:sz w:val="22"/>
          <w:szCs w:val="22"/>
        </w:rPr>
        <w:t xml:space="preserve">物业公允价值计量可能带来损益波动→非经营性收益变化会降低利润可比性。</w:t>
      </w:r>
    </w:p>
    <w:p>
      <w:pPr>
        <w:pStyle w:val="Heading1"/>
        <w:pBdr>
          <w:bottom w:val="single" w:color="1F4E79" w:sz="6" w:space="4"/>
        </w:pBdr>
        <w:spacing w:after="160" w:before="360"/>
      </w:pPr>
      <w:r>
        <w:rPr>
          <w:b/>
          <w:bCs/>
          <w:color w:val="1F4E79"/>
          <w:sz w:val="30"/>
          <w:szCs w:val="30"/>
        </w:rPr>
        <w:t xml:space="preserve">七、跟踪清单</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100"/>
        <w:gridCol w:w="2200"/>
        <w:gridCol w:w="2800"/>
        <w:gridCol w:w="2800"/>
      </w:tblGrid>
      <w:tr>
        <w:trPr>
          <w:tblHeader/>
        </w:trPr>
        <w:tc>
          <w:tcPr>
            <w:tcW w:type="dxa" w:w="2100"/>
            <w:shd w:fill="1F4E79" w:val="clear"/>
            <w:tcMar>
              <w:top w:type="dxa" w:w="80"/>
              <w:left w:type="dxa" w:w="100"/>
              <w:bottom w:type="dxa" w:w="80"/>
              <w:right w:type="dxa" w:w="100"/>
            </w:tcMar>
            <w:vAlign w:val="center"/>
          </w:tcPr>
          <w:p>
            <w:pPr>
              <w:jc w:val="center"/>
            </w:pPr>
            <w:r>
              <w:rPr>
                <w:b/>
                <w:bCs/>
                <w:color w:val="FFFFFF"/>
                <w:sz w:val="20"/>
                <w:szCs w:val="20"/>
              </w:rPr>
              <w:t xml:space="preserve">跟踪指标</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当前</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验证看多</w:t>
            </w:r>
          </w:p>
        </w:tc>
        <w:tc>
          <w:tcPr>
            <w:tcW w:type="dxa" w:w="2800"/>
            <w:shd w:fill="1F4E79" w:val="clear"/>
            <w:tcMar>
              <w:top w:type="dxa" w:w="80"/>
              <w:left w:type="dxa" w:w="100"/>
              <w:bottom w:type="dxa" w:w="80"/>
              <w:right w:type="dxa" w:w="100"/>
            </w:tcMar>
            <w:vAlign w:val="center"/>
          </w:tcPr>
          <w:p>
            <w:pPr>
              <w:jc w:val="center"/>
            </w:pPr>
            <w:r>
              <w:rPr>
                <w:b/>
                <w:bCs/>
                <w:color w:val="FFFFFF"/>
                <w:sz w:val="20"/>
                <w:szCs w:val="20"/>
              </w:rPr>
              <w:t xml:space="preserve">验证看空</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扣非归母净利润</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2026年中报同比+474.74%</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三季报扣非继续增长，且经营利润贡献扩大</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扣非增速明显回落或转负</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收入增速</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2026年中报同比+9.79%</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三季报收入增速高于中报</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收入增速进一步放缓或转负</w:t>
            </w:r>
          </w:p>
        </w:tc>
      </w:tr>
      <w:tr>
        <w:tc>
          <w:tcPr>
            <w:tcW w:type="dxa" w:w="2100"/>
            <w:tcMar>
              <w:top w:type="dxa" w:w="80"/>
              <w:left w:type="dxa" w:w="100"/>
              <w:bottom w:type="dxa" w:w="80"/>
              <w:right w:type="dxa" w:w="100"/>
            </w:tcMar>
            <w:vAlign w:val="center"/>
          </w:tcPr>
          <w:p>
            <w:pPr>
              <w:jc w:val="left"/>
            </w:pPr>
            <w:r>
              <w:rPr>
                <w:b w:val="false"/>
                <w:bCs w:val="false"/>
                <w:color w:val="000000"/>
                <w:sz w:val="20"/>
                <w:szCs w:val="20"/>
              </w:rPr>
              <w:t xml:space="preserve">经营现金与偿债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现金流/净利润3.52；流动比率0.53</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经营现金流保持覆盖利润，流动比率回升</w:t>
            </w:r>
          </w:p>
        </w:tc>
        <w:tc>
          <w:tcPr>
            <w:tcW w:type="dxa" w:w="2800"/>
            <w:tcMar>
              <w:top w:type="dxa" w:w="80"/>
              <w:left w:type="dxa" w:w="100"/>
              <w:bottom w:type="dxa" w:w="80"/>
              <w:right w:type="dxa" w:w="100"/>
            </w:tcMar>
            <w:vAlign w:val="center"/>
          </w:tcPr>
          <w:p>
            <w:pPr>
              <w:jc w:val="center"/>
            </w:pPr>
            <w:r>
              <w:rPr>
                <w:b w:val="false"/>
                <w:bCs w:val="false"/>
                <w:color w:val="000000"/>
                <w:sz w:val="20"/>
                <w:szCs w:val="20"/>
              </w:rPr>
              <w:t xml:space="preserve">经营现金流转弱或短期偿债指标继续恶化</w:t>
            </w:r>
          </w:p>
        </w:tc>
      </w:tr>
      <w:tr>
        <w:tc>
          <w:tcPr>
            <w:tcW w:type="dxa" w:w="21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门店调改与自有品牌</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衡阳店计划年底前完成；年内新增约100个SKU</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按期完成调改，新增SKU接近计划且销售改善</w:t>
            </w:r>
          </w:p>
        </w:tc>
        <w:tc>
          <w:tcPr>
            <w:tcW w:type="dxa" w:w="28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调改延期，或SKU明显低于计划且销售无改善</w:t>
            </w:r>
          </w:p>
        </w:tc>
      </w:tr>
    </w:tbl>
    <w:p>
      <w:pPr>
        <w:spacing w:before="200"/>
      </w:pPr>
    </w:p>
    <w:p>
      <w:pPr>
        <w:pStyle w:val="Heading1"/>
        <w:pBdr>
          <w:bottom w:val="single" w:color="1F4E79" w:sz="6" w:space="4"/>
        </w:pBdr>
        <w:spacing w:after="160" w:before="360"/>
      </w:pPr>
      <w:r>
        <w:rPr>
          <w:b/>
          <w:bCs/>
          <w:color w:val="1F4E79"/>
          <w:sz w:val="30"/>
          <w:szCs w:val="30"/>
        </w:rPr>
        <w:t xml:space="preserve">八、股价与短线展望（未来一周，情景推演，仅供参考）</w:t>
      </w:r>
    </w:p>
    <w:p>
      <w:pPr>
        <w:spacing w:after="160"/>
      </w:pPr>
      <w:r>
        <w:rPr>
          <w:b/>
          <w:bCs/>
          <w:color w:val="9C5700"/>
          <w:sz w:val="20"/>
          <w:szCs w:val="20"/>
        </w:rPr>
        <w:t xml:space="preserve">⚠️风险提示：情景权重为基于当前技术与资金面的主观启发式判断，并非统计概率。</w:t>
      </w:r>
    </w:p>
    <w:p>
      <w:pPr>
        <w:pStyle w:val="Heading2"/>
        <w:spacing w:after="120" w:before="240"/>
      </w:pPr>
      <w:r>
        <w:rPr>
          <w:b/>
          <w:bCs/>
          <w:color w:val="2E74B5"/>
          <w:sz w:val="24"/>
          <w:szCs w:val="24"/>
        </w:rPr>
        <w:t xml:space="preserve">8.1 技术面概况</w:t>
      </w:r>
    </w:p>
    <w:p>
      <w:pPr>
        <w:spacing w:after="160" w:line="300"/>
      </w:pPr>
      <w:r>
        <w:rPr>
          <w:sz w:val="22"/>
          <w:szCs w:val="22"/>
        </w:rPr>
        <w:t xml:space="preserve">股价处于近20日区间下部，低于MA10、MA20及MA60；MACD仍为负值但柱体收窄。3.33元附近能否守住、以及能否收复3.63元，是短线强弱观察重点。</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400"/>
        <w:gridCol w:w="3000"/>
        <w:gridCol w:w="45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4500"/>
            <w:shd w:fill="1F4E79" w:val="clear"/>
            <w:tcMar>
              <w:top w:type="dxa" w:w="80"/>
              <w:left w:type="dxa" w:w="100"/>
              <w:bottom w:type="dxa" w:w="80"/>
              <w:right w:type="dxa" w:w="100"/>
            </w:tcMar>
            <w:vAlign w:val="center"/>
          </w:tcPr>
          <w:p>
            <w:pPr>
              <w:jc w:val="center"/>
            </w:pPr>
            <w:r>
              <w:rPr>
                <w:b/>
                <w:bCs/>
                <w:color w:val="FFFFFF"/>
                <w:sz w:val="20"/>
                <w:szCs w:val="20"/>
              </w:rPr>
              <w:t xml:space="preserve">解读</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近5/20日涨跌幅</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-3.09%/-10.85%</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短期走势偏弱，近20日回撤更明显。</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MA5/10/20/60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 3.42 / MA10 3.47 / MA20 3.63 / MA60 3.63</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股价低于中期均线，3.63元附近有压力。</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MACD(DIF/DEA/柱)</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DIF -0.084 / DEA -0.058 / 柱 -0.053</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仍处负值区，柱体较前日收窄。</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RSI6/RSI14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RSI6 42.7 / RSI14 42.6</w:t>
            </w:r>
          </w:p>
        </w:tc>
        <w:tc>
          <w:tcPr>
            <w:tcW w:type="dxa" w:w="4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动能偏弱，尚未进入明显超卖区。</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布林上轨/中轨/下轨</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上轨 4.06 / 中轨 3.63 / 下轨 3.21</w:t>
            </w:r>
          </w:p>
        </w:tc>
        <w:tc>
          <w:tcPr>
            <w:tcW w:type="dxa" w:w="4500"/>
            <w:tcMar>
              <w:top w:type="dxa" w:w="80"/>
              <w:left w:type="dxa" w:w="100"/>
              <w:bottom w:type="dxa" w:w="80"/>
              <w:right w:type="dxa" w:w="100"/>
            </w:tcMar>
            <w:vAlign w:val="center"/>
          </w:tcPr>
          <w:p>
            <w:pPr>
              <w:jc w:val="center"/>
            </w:pPr>
            <w:r>
              <w:rPr>
                <w:b w:val="false"/>
                <w:bCs w:val="false"/>
                <w:color w:val="000000"/>
                <w:sz w:val="20"/>
                <w:szCs w:val="20"/>
              </w:rPr>
              <w:t xml:space="preserve">中轨与均线压力重合，下轨提供参考支撑。</w:t>
            </w:r>
          </w:p>
        </w:tc>
      </w:tr>
    </w:tbl>
    <w:p>
      <w:pPr>
        <w:spacing w:before="200"/>
      </w:pPr>
    </w:p>
    <w:p>
      <w:pPr>
        <w:pStyle w:val="Heading2"/>
        <w:spacing w:after="120" w:before="240"/>
      </w:pPr>
      <w:r>
        <w:rPr>
          <w:b/>
          <w:bCs/>
          <w:color w:val="2E74B5"/>
          <w:sz w:val="24"/>
          <w:szCs w:val="24"/>
        </w:rPr>
        <w:t xml:space="preserve">8.2 关键价位</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5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3.47~3.63元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对应MA10及MA20/60；有效突破后可看向布林上轨4.06元。</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3.33~3.42元</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对应近20日低点及MA5附近；失守后关注3.21~3.28元。</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3.21~3.28元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对应布林下轨与52周低点；若下破，意味着支撑失效并打开进一步下探空间。</w:t>
            </w:r>
          </w:p>
        </w:tc>
      </w:tr>
    </w:tbl>
    <w:p>
      <w:pPr>
        <w:spacing w:before="200"/>
      </w:pPr>
    </w:p>
    <w:p>
      <w:pPr>
        <w:pStyle w:val="Heading2"/>
        <w:spacing w:after="120" w:before="240"/>
      </w:pPr>
      <w:r>
        <w:rPr>
          <w:b/>
          <w:bCs/>
          <w:color w:val="2E74B5"/>
          <w:sz w:val="24"/>
          <w:szCs w:val="24"/>
        </w:rPr>
        <w:t xml:space="preserve">8.3 按历史波动率测算的一周区间</w:t>
      </w:r>
    </w:p>
    <w:p>
      <w:pPr>
        <w:spacing w:after="160" w:line="300"/>
      </w:pPr>
      <w:r>
        <w:rPr>
          <w:sz w:val="22"/>
          <w:szCs w:val="22"/>
        </w:rPr>
        <w:t xml:space="preserve">以2026-09-30价格3.45元为基准，用近300个交易日的收益分布（按当前指数加权日波动率约2.6%缩放，保留这只股票自身的大涨大跌频率）推算未来5个交易日的收盘价范围：</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2200"/>
        <w:gridCol w:w="3700"/>
        <w:gridCol w:w="40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覆盖概率</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价格区间</w:t>
            </w:r>
          </w:p>
        </w:tc>
        <w:tc>
          <w:tcPr>
            <w:tcW w:type="dxa" w:w="4000"/>
            <w:shd w:fill="1F4E79" w:val="clear"/>
            <w:tcMar>
              <w:top w:type="dxa" w:w="80"/>
              <w:left w:type="dxa" w:w="100"/>
              <w:bottom w:type="dxa" w:w="80"/>
              <w:right w:type="dxa" w:w="100"/>
            </w:tcMar>
            <w:vAlign w:val="center"/>
          </w:tcPr>
          <w:p>
            <w:pPr>
              <w:jc w:val="center"/>
            </w:pPr>
            <w:r>
              <w:rPr>
                <w:b/>
                <w:bCs/>
                <w:color w:val="FFFFFF"/>
                <w:sz w:val="20"/>
                <w:szCs w:val="20"/>
              </w:rPr>
              <w:t xml:space="preserve">相对基准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约68%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3.23～3.59元</w:t>
            </w:r>
          </w:p>
        </w:tc>
        <w:tc>
          <w:tcPr>
            <w:tcW w:type="dxa" w:w="4000"/>
            <w:tcMar>
              <w:top w:type="dxa" w:w="80"/>
              <w:left w:type="dxa" w:w="100"/>
              <w:bottom w:type="dxa" w:w="80"/>
              <w:right w:type="dxa" w:w="100"/>
            </w:tcMar>
            <w:vAlign w:val="center"/>
          </w:tcPr>
          <w:p>
            <w:pPr>
              <w:jc w:val="center"/>
            </w:pPr>
            <w:r>
              <w:rPr>
                <w:b w:val="false"/>
                <w:bCs w:val="false"/>
                <w:color w:val="000000"/>
                <w:sz w:val="20"/>
                <w:szCs w:val="20"/>
              </w:rPr>
              <w:t xml:space="preserve">-6.4%～+4.1%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约95%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3.08～4.06元</w:t>
            </w:r>
          </w:p>
        </w:tc>
        <w:tc>
          <w:tcPr>
            <w:tcW w:type="dxa" w:w="4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-10.7%～+17.7%</w:t>
            </w:r>
          </w:p>
        </w:tc>
      </w:tr>
    </w:tbl>
    <w:p>
      <w:pPr>
        <w:spacing w:before="200"/>
      </w:pPr>
    </w:p>
    <w:p>
      <w:pPr>
        <w:spacing w:after="200"/>
      </w:pPr>
      <w:r>
        <w:rPr>
          <w:i/>
          <w:iCs/>
          <w:color w:val="595959"/>
          <w:sz w:val="18"/>
          <w:szCs w:val="18"/>
        </w:rPr>
        <w:t xml:space="preserve">该区间只反映这只股票近期的波动幅度，不含涨跌方向判断；遇到重大公告或大盘急跌，实际走势仍可能超出区间。</w:t>
      </w:r>
    </w:p>
    <w:p>
      <w:pPr>
        <w:pStyle w:val="Heading2"/>
        <w:spacing w:after="120" w:before="240"/>
      </w:pPr>
      <w:r>
        <w:rPr>
          <w:b/>
          <w:bCs/>
          <w:color w:val="2E74B5"/>
          <w:sz w:val="24"/>
          <w:szCs w:val="24"/>
        </w:rPr>
        <w:t xml:space="preserve">8.4 未来一周情景（主观权重，非统计概率）</w:t>
      </w:r>
    </w:p>
    <w:p>
      <w:pPr>
        <w:pStyle w:val="ListParagraph"/>
        <w:numPr>
          <w:ilvl w:val="0"/>
          <w:numId w:val="2"/>
        </w:numPr>
        <w:spacing w:after="80" w:line="280"/>
      </w:pPr>
      <w:r>
        <w:rPr>
          <w:b/>
          <w:bCs/>
          <w:sz w:val="22"/>
          <w:szCs w:val="22"/>
        </w:rPr>
        <w:t xml:space="preserve">震荡整理（相对权重中等，约三成）</w:t>
      </w:r>
      <w:r>
        <w:rPr>
          <w:sz w:val="22"/>
          <w:szCs w:val="22"/>
        </w:rPr>
        <w:t xml:space="preserve">：3.33~3.63元；3.33元附近支撑有效，且未能放量站上3.63元。按历史波动率测算，一周后收盘落在该区间的概率约55%。</w:t>
      </w:r>
    </w:p>
    <w:p>
      <w:pPr>
        <w:pStyle w:val="ListParagraph"/>
        <w:numPr>
          <w:ilvl w:val="0"/>
          <w:numId w:val="2"/>
        </w:numPr>
        <w:spacing w:after="80" w:line="280"/>
      </w:pPr>
      <w:r>
        <w:rPr>
          <w:b/>
          <w:bCs/>
          <w:sz w:val="22"/>
          <w:szCs w:val="22"/>
        </w:rPr>
        <w:t xml:space="preserve">偏弱下行（相对权重较高，约四成）</w:t>
      </w:r>
      <w:r>
        <w:rPr>
          <w:sz w:val="22"/>
          <w:szCs w:val="22"/>
        </w:rPr>
        <w:t xml:space="preserve">：3.21~3.42元；若收盘有效跌破3.33元，且成交额放大，关注布林下轨及52周低点区域。按历史波动率测算，一周后收盘落在该区间的概率约40%。</w:t>
      </w:r>
    </w:p>
    <w:p>
      <w:pPr>
        <w:pStyle w:val="ListParagraph"/>
        <w:numPr>
          <w:ilvl w:val="0"/>
          <w:numId w:val="2"/>
        </w:numPr>
        <w:spacing w:after="80" w:line="280"/>
      </w:pPr>
      <w:r>
        <w:rPr>
          <w:b/>
          <w:bCs/>
          <w:sz w:val="22"/>
          <w:szCs w:val="22"/>
        </w:rPr>
        <w:t xml:space="preserve">反弹走强（相对权重偏低，约两成）</w:t>
      </w:r>
      <w:r>
        <w:rPr>
          <w:sz w:val="22"/>
          <w:szCs w:val="22"/>
        </w:rPr>
        <w:t xml:space="preserve">：3.63~4.06元；若放量收复3.63元压力区，反弹空间可向布林上轨延伸。按历史波动率测算，一周后收盘落在该区间的概率约10%。</w:t>
      </w:r>
    </w:p>
    <w:p>
      <w:pPr>
        <w:spacing w:after="200"/>
      </w:pPr>
      <w:r>
        <w:rPr>
          <w:i/>
          <w:iCs/>
          <w:color w:val="595959"/>
          <w:sz w:val="18"/>
          <w:szCs w:val="18"/>
        </w:rPr>
        <w:t xml:space="preserve">括号内是主观权重；句末的概率由上面的波动率区间反推，只反映波动幅度、不含方向判断。</w:t>
      </w:r>
    </w:p>
    <w:p>
      <w:pPr>
        <w:pStyle w:val="Heading2"/>
        <w:spacing w:after="120" w:before="240"/>
      </w:pPr>
      <w:r>
        <w:rPr>
          <w:b/>
          <w:bCs/>
          <w:color w:val="2E74B5"/>
          <w:sz w:val="24"/>
          <w:szCs w:val="24"/>
        </w:rPr>
        <w:t xml:space="preserve">8.5 资金与流动性</w:t>
      </w:r>
    </w:p>
    <w:p>
      <w:pPr>
        <w:spacing w:after="160" w:line="300"/>
      </w:pPr>
      <w:r>
        <w:rPr>
          <w:sz w:val="22"/>
          <w:szCs w:val="22"/>
        </w:rPr>
        <w:t xml:space="preserve">近10个交易日（2026-09-16至2026-09-30）日成交额约1.73亿~3.60亿元、换手率约2.31%~4.63%。截至2026-06-30，前十大流通股东合计持有流通股29.06%，以公司关联方、个人及金融类账户等为主，名单中未见公募基金、社保或QFII；该数据有披露滞后，股东结构可能已变化。当前成交有一定活跃度，但个股流动性仍会随成交变化，低于近期常态时交易滑点可能扩大。</w:t>
      </w:r>
    </w:p>
    <w:p>
      <w:pPr>
        <w:spacing w:after="160" w:line="300"/>
      </w:pPr>
      <w:r>
        <w:rPr>
          <w:sz w:val="22"/>
          <w:szCs w:val="22"/>
        </w:rPr>
        <w:t xml:space="preserve">若单日成交额连续放大至3.60亿元以上，可视为高于近10日常态的量能确认信号。</w:t>
      </w:r>
    </w:p>
    <w:p>
      <w:pPr>
        <w:spacing w:after="200"/>
      </w:pPr>
      <w:r>
        <w:rPr>
          <w:i/>
          <w:iCs/>
          <w:color w:val="595959"/>
          <w:sz w:val="18"/>
          <w:szCs w:val="18"/>
        </w:rPr>
        <w:t xml:space="preserve">以上情景推演基于2026-09-30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步步高商业连锁股份有限公司 2025 年年度报告全文 — https://disc.static.szse.cn/disc/disk03/finalpage/2026-04-23/5741f3bd-1f06-4cee-8046-62aa19746939.PDF</w:t>
      </w:r>
    </w:p>
    <w:p>
      <w:pPr>
        <w:spacing w:after="200"/>
      </w:pPr>
      <w:r>
        <w:rPr>
          <w:i/>
          <w:iCs/>
          <w:color w:val="595959"/>
          <w:sz w:val="18"/>
          <w:szCs w:val="18"/>
        </w:rPr>
        <w:t xml:space="preserve">步步高(002251)_公司公告_步步高：2025年年度报告新浪财经_新浪网 — https://money.finance.sina.com.cn/corp/view/vCB_AllBulletinDetail.php?id=12154504&amp;stockid=002251</w:t>
      </w:r>
    </w:p>
    <w:p>
      <w:pPr>
        <w:spacing w:after="200"/>
      </w:pPr>
      <w:r>
        <w:rPr>
          <w:i/>
          <w:iCs/>
          <w:color w:val="595959"/>
          <w:sz w:val="18"/>
          <w:szCs w:val="18"/>
        </w:rPr>
        <w:t xml:space="preserve">步步高商业连锁股份有限公司 2022 年年度报告全文 — https://disc.static.szse.cn/disc/disk03/finalpage/2023-06-13/95539fa0-07f2-4646-91da-d1cab6d2da6d.PDF</w:t>
      </w:r>
    </w:p>
    <w:p>
      <w:pPr>
        <w:spacing w:after="200"/>
      </w:pPr>
      <w:r>
        <w:rPr>
          <w:i/>
          <w:iCs/>
          <w:color w:val="595959"/>
          <w:sz w:val="18"/>
          <w:szCs w:val="18"/>
        </w:rPr>
        <w:t xml:space="preserve">家家悦(603708)_公司公告_家家悦：2025年年度报告新浪财经_新浪网 — https://money.finance.sina.com.cn/corp/view/vCB_AllBulletinDetail.php?id=12112517&amp;stockid=603708</w:t>
      </w:r>
    </w:p>
    <w:p>
      <w:pPr>
        <w:spacing w:after="200"/>
      </w:pPr>
      <w:r>
        <w:rPr>
          <w:i/>
          <w:iCs/>
          <w:color w:val="595959"/>
          <w:sz w:val="18"/>
          <w:szCs w:val="18"/>
        </w:rPr>
        <w:t xml:space="preserve">2026年半年度报告 — https://static.cninfo.com.cn/finalpage/2026-08-27/1225509943.PDF</w:t>
      </w:r>
    </w:p>
    <w:p>
      <w:pPr>
        <w:spacing w:after="200"/>
      </w:pPr>
      <w:r>
        <w:rPr>
          <w:i/>
          <w:iCs/>
          <w:color w:val="595959"/>
          <w:sz w:val="18"/>
          <w:szCs w:val="18"/>
        </w:rPr>
        <w:t xml:space="preserve">2025年年度报告 — https://static.cninfo.com.cn/finalpage/2026-04-23/1225156955.PDF</w:t>
      </w:r>
    </w:p>
    <w:p>
      <w:pPr>
        <w:spacing w:after="200"/>
      </w:pPr>
      <w:r>
        <w:rPr>
          <w:i/>
          <w:iCs/>
          <w:color w:val="595959"/>
          <w:sz w:val="18"/>
          <w:szCs w:val="18"/>
        </w:rPr>
        <w:t xml:space="preserve">2024年年度报告 — https://static.cninfo.com.cn/finalpage/2025-03-28/1222929721.PDF</w:t>
      </w:r>
    </w:p>
    <w:p>
      <w:pPr>
        <w:spacing w:after="200"/>
      </w:pPr>
      <w:r>
        <w:rPr>
          <w:i/>
          <w:iCs/>
          <w:color w:val="595959"/>
          <w:sz w:val="18"/>
          <w:szCs w:val="18"/>
        </w:rPr>
        <w:t xml:space="preserve">2023年年度报告 — https://static.cninfo.com.cn/finalpage/2024-04-30/1219924931.PDF</w:t>
      </w:r>
    </w:p>
    <w:p>
      <w:pPr>
        <w:spacing w:after="200"/>
      </w:pPr>
      <w:r>
        <w:rPr>
          <w:i/>
          <w:iCs/>
          <w:color w:val="595959"/>
          <w:sz w:val="18"/>
          <w:szCs w:val="18"/>
        </w:rPr>
        <w:t xml:space="preserve">腾讯财经行情（2026-09-30） — https://gu.qq.com/sz002251</w:t>
      </w:r>
    </w:p>
    <w:p>
      <w:pPr>
        <w:spacing w:after="200"/>
      </w:pPr>
      <w:r>
        <w:rPr>
          <w:i/>
          <w:iCs/>
          <w:color w:val="595959"/>
          <w:sz w:val="18"/>
          <w:szCs w:val="18"/>
        </w:rPr>
        <w:t xml:space="preserve">东方财富F10 合并资产负债表（2026中报） — https://emweb.securities.eastmoney.com/pc_hsf10/pages/index.html?type=web&amp;code=SZ002251#/cwfx</w:t>
      </w:r>
    </w:p>
    <w:p>
      <w:pPr>
        <w:spacing w:after="200"/>
      </w:pPr>
      <w:r>
        <w:rPr>
          <w:i/>
          <w:iCs/>
          <w:color w:val="595959"/>
          <w:sz w:val="18"/>
          <w:szCs w:val="18"/>
        </w:rPr>
        <w:t xml:space="preserve">东方财富 F10 盈利预测 — https://emweb.securities.eastmoney.com/pc_hsf10/pages/index.html?type=web&amp;code=SZ002251#/ylyc</w:t>
      </w:r>
    </w:p>
    <w:p>
      <w:pPr>
        <w:spacing w:after="200"/>
      </w:pPr>
      <w:r>
        <w:rPr>
          <w:i/>
          <w:iCs/>
          <w:color w:val="595959"/>
          <w:sz w:val="18"/>
          <w:szCs w:val="18"/>
        </w:rPr>
        <w:t xml:space="preserve">步步高:2026年半年度报告 — https://pdf.dfcfw.com/pdf/H2_AN202608260006751502_1.pdf</w:t>
      </w:r>
    </w:p>
    <w:p>
      <w:pPr>
        <w:spacing w:after="200"/>
      </w:pPr>
      <w:r>
        <w:rPr>
          <w:i/>
          <w:iCs/>
          <w:color w:val="595959"/>
          <w:sz w:val="18"/>
          <w:szCs w:val="18"/>
        </w:rPr>
        <w:t xml:space="preserve">步步高(002251)_公司公告_步步高：关于部分在建工程转为投资性房地产及采用公允价值模式计量的公告新浪财经_新浪网 — https://vip.stock.finance.sina.com.cn/corp/view/vCB_AllBulletinDetail.php?id=12615611&amp;stockid=002251</w:t>
      </w:r>
    </w:p>
    <w:p>
      <w:pPr>
        <w:spacing w:after="200"/>
      </w:pPr>
      <w:r>
        <w:rPr>
          <w:i/>
          <w:iCs/>
          <w:color w:val="595959"/>
          <w:sz w:val="18"/>
          <w:szCs w:val="18"/>
        </w:rPr>
        <w:t xml:space="preserve">步步高(002251)_公司公告_步步高：关于部分限售股份上市流通的提示性公告新浪财经_新浪网 — https://money.finance.sina.com.cn/corp/view/vCB_AllBulletinDetail.php?id=12467733&amp;stockid=002251</w:t>
      </w:r>
    </w:p>
    <w:p>
      <w:pPr>
        <w:spacing w:after="200"/>
      </w:pPr>
      <w:r>
        <w:rPr>
          <w:i/>
          <w:iCs/>
          <w:color w:val="595959"/>
          <w:sz w:val="18"/>
          <w:szCs w:val="18"/>
        </w:rPr>
        <w:t xml:space="preserve">晓经济-步步高 — https://www.xiaojingji.com/stock/one/notice?code=002251&amp;pageNo=1&amp;type=5</w:t>
      </w:r>
    </w:p>
    <w:p>
      <w:pPr>
        <w:spacing w:after="200"/>
      </w:pPr>
      <w:r>
        <w:rPr>
          <w:i/>
          <w:iCs/>
          <w:color w:val="595959"/>
          <w:sz w:val="18"/>
          <w:szCs w:val="18"/>
        </w:rPr>
        <w:t xml:space="preserve">步步高(002251) 公司大事_F10_同花顺金融服务网 — https://basic.10jqka.com.cn/002251/event.html</w:t>
      </w:r>
    </w:p>
    <w:p>
      <w:pPr>
        <w:spacing w:after="200"/>
      </w:pPr>
      <w:r>
        <w:rPr>
          <w:i/>
          <w:iCs/>
          <w:color w:val="595959"/>
          <w:sz w:val="18"/>
          <w:szCs w:val="18"/>
        </w:rPr>
        <w:t xml:space="preserve">步步高(002251) 最新动态_F10_同花顺金融服务网 — https://basic.10jqka.com.cn/002251/</w:t>
      </w:r>
    </w:p>
    <w:p>
      <w:pPr>
        <w:spacing w:after="200"/>
      </w:pPr>
      <w:r>
        <w:rPr>
          <w:i/>
          <w:iCs/>
          <w:color w:val="595959"/>
          <w:sz w:val="18"/>
          <w:szCs w:val="18"/>
        </w:rPr>
        <w:t xml:space="preserve">步步高(002251)公司公告_新浪财经_新浪网 — https://money.finance.sina.com.cn/corp/go.php/vCB_AllBulletin/stockid/002251.phtml</w:t>
      </w:r>
    </w:p>
    <w:p>
      <w:pPr>
        <w:spacing w:after="200"/>
      </w:pPr>
      <w:r>
        <w:rPr>
          <w:i/>
          <w:iCs/>
          <w:color w:val="595959"/>
          <w:sz w:val="18"/>
          <w:szCs w:val="18"/>
        </w:rPr>
        <w:t xml:space="preserve">东方财富 个股资金流向 — https://data.eastmoney.com/zjlx/002251.html</w:t>
      </w:r>
    </w:p>
    <w:p>
      <w:pPr>
        <w:spacing w:after="200"/>
      </w:pPr>
      <w:r>
        <w:rPr>
          <w:i/>
          <w:iCs/>
          <w:color w:val="595959"/>
          <w:sz w:val="18"/>
          <w:szCs w:val="18"/>
        </w:rPr>
        <w:t xml:space="preserve">东方财富 股东研究 — https://emweb.securities.eastmoney.com/pc_hsf10/pages/index.html?type=web&amp;code=SZ002251#/gdyj</w:t>
      </w:r>
    </w:p>
    <w:p>
      <w:pPr>
        <w:spacing w:after="200"/>
      </w:pPr>
      <w:r>
        <w:rPr>
          <w:i/>
          <w:iCs/>
          <w:color w:val="595959"/>
          <w:sz w:val="18"/>
          <w:szCs w:val="18"/>
        </w:rPr>
        <w:t xml:space="preserve">本报告由AI基于公开渠道信息自动检索、整理并生成，信息截至 2026-09-30收盘，可能存在时效性差异，具体数据请以公司正式公告及权威数据终端为准。本报告仅为信息整理与研究参考，不构成任何投资建议，投资者应独立判断并自行承担投资风险。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2026-10-07T07:41:58.288Z</dcterms:created>
  <dcterms:modified xsi:type="dcterms:W3CDTF">2026-10-07T07:41:58.288Z</dcterms:modified>
</cp:coreProperties>
</file>

<file path=docProps/custom.xml><?xml version="1.0" encoding="utf-8"?>
<Properties xmlns="http://schemas.openxmlformats.org/officeDocument/2006/custom-properties" xmlns:vt="http://schemas.openxmlformats.org/officeDocument/2006/docPropsVTypes"/>
</file>