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浙富控股集团股份有限公司 (002266)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行业：危废资源化与清洁能源装备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截至2026年9月11日收盘；RSI、MACD等部分公开技术指标数据截至2026年9月9日，股东结构数据截至2026年6月30日，主力资金数据主要截至2026年9月3日。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最具决策意义的变化是盈利能力在2026年上半年显著修复：公司实现营业收入134.40亿元，同比增长26.28%；归母净利润13.56亿元，同比增长139.45%；扣非归母净利润12.52亿元，同比增长194.89%，半年归母净利润已超过2025年全年11.18亿元。同期经营活动现金流净额为12.11亿元，较上年同期净流出明显改善，危废资源化相关业务收入约127.39亿元、毛利率约15.59%，是业绩增长的主要来源。</w:t>
      </w:r>
    </w:p>
    <w:p>
      <w:pPr>
        <w:spacing w:after="160" w:line="300"/>
      </w:pPr>
      <w:r>
        <w:rPr>
          <w:sz w:val="22"/>
          <w:szCs w:val="22"/>
        </w:rPr>
        <w:t xml:space="preserve">公司收入结构高度集中于危废资源化与再生金属业务，2025年该业务收入219.13亿元，占营业收入94.40%，但毛利率仅10.62%，盈利仍受金属价格、原料品位、危废处置价格、库存和下游客户议价影响。清洁能源装备业务收入占比仅5.32%，但2025年毛利率为36.29%，具备较高毛利潜力，对整体利润结构的改善仍取决于订单规模和确认节奏。</w:t>
      </w:r>
    </w:p>
    <w:p>
      <w:pPr>
        <w:spacing w:after="160" w:line="300"/>
      </w:pPr>
      <w:r>
        <w:rPr>
          <w:sz w:val="22"/>
          <w:szCs w:val="22"/>
        </w:rPr>
        <w:t xml:space="preserve">2026年上半年整体毛利率约16.73%，同比提升5.01个百分点，显示资源化产品价格和毛利率修复对利润弹性较大。机构平均预测2026年归母净利润约22.13亿元，较2025年增长约98%，但该预测并非公司正式指引，且不同机构对危废资源化产品价格、毛利率恢复程度及清洁能源装备订单确认节奏存在差异。</w:t>
      </w:r>
    </w:p>
    <w:p>
      <w:pPr>
        <w:spacing w:after="160" w:line="300"/>
      </w:pPr>
      <w:r>
        <w:rPr>
          <w:sz w:val="22"/>
          <w:szCs w:val="22"/>
        </w:rPr>
        <w:t xml:space="preserve">截至2026年9月11日，公司股价收于4.79元，低于MA5、MA10和MA20，处于布林中轨下方、下轨上方，短线技术形态有所转弱；截至9月3日的主力资金数据显示阶段性净流出。当前估值数据因统计口径不同而存在差异，动态市盈率约9.21倍、部分数据源显示市盈率约13.11倍，需结合盈利兑现情况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002266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浙富控股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注册地址/主要办公地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浙江省杭州市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最新完整年度资料口径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2025年年度报告，披露时间为2026年4月29日，经营数据主要截至2025年12月31日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危废资源化与再生金属、清洁能源装备，另有少量石油采掘及其他业务</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危废无害化处理与再生金属资源化：覆盖危废收集、运输、贮存、无害化处理、金属富集、深加工及再生金属产品销售，主要处理工业危废、冶金固废、电子固废、含金属烟尘、废液及其他一般固废等，可回收铜、金、银、钯、铂、锡、镍、铅、锌、锑等金属。2025年收入219.13亿元，占营业收入94.40%，毛利率10.62%。</w:t>
      </w:r>
    </w:p>
    <w:p>
      <w:pPr>
        <w:pStyle w:val="ListParagraph"/>
        <w:numPr>
          <w:ilvl w:val="0"/>
          <w:numId w:val="2"/>
        </w:numPr>
        <w:spacing w:after="80" w:line="280"/>
      </w:pPr>
      <w:r>
        <w:rPr>
          <w:sz w:val="22"/>
          <w:szCs w:val="22"/>
        </w:rPr>
        <w:t xml:space="preserve">清洁能源装备：包括水轮发电机组、抽水蓄能机组、水电工程机电总承包，以及控制棒驱动机构、核电维修保障工具、三废处理及转运设备、核辅助系统设备、核主泵和先进堆型关键部件等核电设备。2025年收入12.34亿元，占营业收入5.32%，毛利率36.29%。</w:t>
      </w:r>
    </w:p>
    <w:p>
      <w:pPr>
        <w:pStyle w:val="ListParagraph"/>
        <w:numPr>
          <w:ilvl w:val="0"/>
          <w:numId w:val="2"/>
        </w:numPr>
        <w:spacing w:after="80" w:line="280"/>
      </w:pPr>
      <w:r>
        <w:rPr>
          <w:sz w:val="22"/>
          <w:szCs w:val="22"/>
        </w:rPr>
        <w:t xml:space="preserve">其他业务：保留少量石油采掘及其他业务。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浙富控股位于危废资源化产业链中游偏后端，形成“前端危废处理+后端多金属深度资源化”的一体化模式；同时在水电、核电装备产业链中从事具有技术、认证和项目经验壁垒的装备制造。2025年危废资源化业务占收入绝大部分，清洁能源装备毛利率较高但收入占比较低。</w:t>
      </w:r>
    </w:p>
    <w:p>
      <w:pPr>
        <w:pStyle w:val="ListParagraph"/>
        <w:numPr>
          <w:ilvl w:val="0"/>
          <w:numId w:val="2"/>
        </w:numPr>
        <w:spacing w:after="80" w:line="280"/>
      </w:pPr>
      <w:r>
        <w:rPr>
          <w:sz w:val="22"/>
          <w:szCs w:val="22"/>
        </w:rPr>
        <w:t xml:space="preserve">危废资源化业务的实际投入主要是工业危废和含金属固废，来源包括有色金属冶炼、电子制造、化工、电镀及表面处理、钢铁冶金、新能源电池等工业企业；原料成本受危废收集价格、金属含量、品位、杂质结构、运输半径及处置竞争影响。</w:t>
      </w:r>
    </w:p>
    <w:p>
      <w:pPr>
        <w:pStyle w:val="ListParagraph"/>
        <w:numPr>
          <w:ilvl w:val="0"/>
          <w:numId w:val="2"/>
        </w:numPr>
        <w:spacing w:after="80" w:line="280"/>
      </w:pPr>
      <w:r>
        <w:rPr>
          <w:sz w:val="22"/>
          <w:szCs w:val="22"/>
        </w:rPr>
        <w:t xml:space="preserve">危废资源化成本还包括燃料、电力、氧气及辅助材料、运输收集、人工、折旧、环保设施运行、后端冶炼精炼及危废二次处置成本。公司通过火法、湿法及联合工艺和物料配伍提升复杂危废兼容处理能力，但对铜、金、银、锡、锌等金属销售价格的定价能力有限，部分属于金属价格接受者。</w:t>
      </w:r>
    </w:p>
    <w:p>
      <w:pPr>
        <w:pStyle w:val="ListParagraph"/>
        <w:numPr>
          <w:ilvl w:val="0"/>
          <w:numId w:val="2"/>
        </w:numPr>
        <w:spacing w:after="80" w:line="280"/>
      </w:pPr>
      <w:r>
        <w:rPr>
          <w:sz w:val="22"/>
          <w:szCs w:val="22"/>
        </w:rPr>
        <w:t xml:space="preserve">2025年前五大供应商采购金额44.12亿元，占年度采购总额21.44%；第一大供应商占8.72%，第二大供应商占6.22%。供应商名称未披露，且公开资料无法完全拆分其属于原料、能源、设备或贸易供应商，因此原料供应集中度及具体议价关系存在不确定性。</w:t>
      </w:r>
    </w:p>
    <w:p>
      <w:pPr>
        <w:pStyle w:val="ListParagraph"/>
        <w:numPr>
          <w:ilvl w:val="0"/>
          <w:numId w:val="2"/>
        </w:numPr>
        <w:spacing w:after="80" w:line="280"/>
      </w:pPr>
      <w:r>
        <w:rPr>
          <w:sz w:val="22"/>
          <w:szCs w:val="22"/>
        </w:rPr>
        <w:t xml:space="preserve">清洁能源装备上游包括特种钢材及厚板、铸锻件、铜材、绝缘材料、电磁材料、轴承、密封件、阀门、电气控制部件、核级材料及专用零部件，同时涉及大型加工、焊接、热处理和试验服务。公司具备大型加工、装配和试验条件，但部分核级材料、专业零部件和大型铸锻件仍可能依赖外部供应体系。</w:t>
      </w:r>
    </w:p>
    <w:p>
      <w:pPr>
        <w:pStyle w:val="ListParagraph"/>
        <w:numPr>
          <w:ilvl w:val="0"/>
          <w:numId w:val="2"/>
        </w:numPr>
        <w:spacing w:after="80" w:line="280"/>
      </w:pPr>
      <w:r>
        <w:rPr>
          <w:sz w:val="22"/>
          <w:szCs w:val="22"/>
        </w:rPr>
        <w:t xml:space="preserve">危废资源化业务下游包括铜、金、银、锡、锌等再生金属采购商，有色金属冶炼及深加工企业，电子、材料、电气及新能源产业链客户，以及采购玻璃态水淬渣等副产品的建材企业。金属产品具有一定标准化特征，价格通常受市场基准价格影响，下游客户议价能力相对较强。</w:t>
      </w:r>
    </w:p>
    <w:p>
      <w:pPr>
        <w:pStyle w:val="ListParagraph"/>
        <w:numPr>
          <w:ilvl w:val="0"/>
          <w:numId w:val="2"/>
        </w:numPr>
        <w:spacing w:after="80" w:line="280"/>
      </w:pPr>
      <w:r>
        <w:rPr>
          <w:sz w:val="22"/>
          <w:szCs w:val="22"/>
        </w:rPr>
        <w:t xml:space="preserve">2025年前五大客户销售额137.61亿元，占年度销售总额59.29%；第一大客户占23.58%，第二大客户占13.88%，第三大客户占11.73%。该数据为2025年度口径，年报仅以“客户1—客户5”列示，无法核验具体客户所属行业及实际回款质量，具体以最新年报为准。</w:t>
      </w:r>
    </w:p>
    <w:p>
      <w:pPr>
        <w:pStyle w:val="ListParagraph"/>
        <w:numPr>
          <w:ilvl w:val="0"/>
          <w:numId w:val="2"/>
        </w:numPr>
        <w:spacing w:after="80" w:line="280"/>
      </w:pPr>
      <w:r>
        <w:rPr>
          <w:sz w:val="22"/>
          <w:szCs w:val="22"/>
        </w:rPr>
        <w:t xml:space="preserve">危废资源化业务通过前端处置与后端多金属深加工结合，提高产品品类、品位和销售价值；但公司仍受到金属价格基准和重点客户采购议价的影响，不能完全摆脱金属价格周期。</w:t>
      </w:r>
    </w:p>
    <w:p>
      <w:pPr>
        <w:pStyle w:val="ListParagraph"/>
        <w:numPr>
          <w:ilvl w:val="0"/>
          <w:numId w:val="2"/>
        </w:numPr>
        <w:spacing w:after="80" w:line="280"/>
      </w:pPr>
      <w:r>
        <w:rPr>
          <w:sz w:val="22"/>
          <w:szCs w:val="22"/>
        </w:rPr>
        <w:t xml:space="preserve">清洁能源装备下游包括国家电网及地方电力投资主体、五大发电集团、抽水蓄能电站业主、核电运营商、核电工程公司、核电设计院、国内外水电工程总承包商及电站项目公司。该业务采用项目制、招投标制和长期订单制，央企、国企业主及大型工程公司的采购议价能力较强，但核电、水电设备具有认证、设计和交付壁垒。</w:t>
      </w:r>
    </w:p>
    <w:p>
      <w:pPr>
        <w:pStyle w:val="ListParagraph"/>
        <w:numPr>
          <w:ilvl w:val="0"/>
          <w:numId w:val="2"/>
        </w:numPr>
        <w:spacing w:after="80" w:line="280"/>
      </w:pPr>
      <w:r>
        <w:rPr>
          <w:sz w:val="22"/>
          <w:szCs w:val="22"/>
        </w:rPr>
        <w:t xml:space="preserve">公司称华都公司是“华龙一号”控制棒驱动机构的唯一供应商，该表述主要针对该细分产品，不能扩大解释为公司在整个核电设备行业具有唯一供应地位。</w:t>
      </w:r>
    </w:p>
    <w:p>
      <w:pPr>
        <w:pStyle w:val="ListParagraph"/>
        <w:numPr>
          <w:ilvl w:val="0"/>
          <w:numId w:val="2"/>
        </w:numPr>
        <w:spacing w:after="80" w:line="280"/>
      </w:pPr>
      <w:r>
        <w:rPr>
          <w:sz w:val="22"/>
          <w:szCs w:val="22"/>
        </w:rPr>
        <w:t xml:space="preserve">2025年营业收入232.14亿元、归母净利润11.18亿元；年末存货账面价值106.66亿元，其中与资源化产品销售及危废处置相关的存货为103.52亿元。2025年经营活动产生的现金流量净额约3129万元，明显低于2024年的15.40亿元，显示金属库存、营运资金及应收和结算周期对现金流形成压力。资料未获得2025年末应收账款及应收账款周转天数的完整、可核验数值，无法进一步量化回款周期。</w:t>
      </w:r>
    </w:p>
    <w:p>
      <w:pPr>
        <w:pStyle w:val="ListParagraph"/>
        <w:numPr>
          <w:ilvl w:val="0"/>
          <w:numId w:val="2"/>
        </w:numPr>
        <w:spacing w:after="80" w:line="280"/>
      </w:pPr>
      <w:r>
        <w:rPr>
          <w:sz w:val="22"/>
          <w:szCs w:val="22"/>
        </w:rPr>
        <w:t xml:space="preserve">2025年前五大客户占销售额59.29%，前五大供应商占采购额21.44%，客户集中度明显高于供应商集中度。客户和供应商均仅以编号列示，相关集中度数据来源于2025年年度报告，具体客户、供应商及其行业属性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约13.01%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危废资源化仍为主体业务，金属价格、危废处置价格及资源化产品结构共同影响利润；清洁能源装备收入占比相对较低。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约12.04%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约4.65%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危废资源化收入继续增长，但行业竞争加剧、危废处置价格和资源化原料条件承压；清洁能源装备毛利率约40.12%，收入规模仍不足以显著改变整体利润结构。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危废资源化收入增长10.74%，毛利率回升至10.62%；深度资源化、后端多金属回收、套期保值及海外原料渠道改善盈利，但清洁能源装备毛利率降至36.29%，对综合毛利率提升有限。</w:t>
            </w:r>
          </w:p>
        </w:tc>
      </w:tr>
    </w:tbl>
    <w:p>
      <w:pPr>
        <w:spacing w:before="200"/>
      </w:pPr>
    </w:p>
    <w:p>
      <w:pPr>
        <w:spacing w:after="160" w:line="300"/>
      </w:pPr>
      <w:r>
        <w:rPr>
          <w:sz w:val="22"/>
          <w:szCs w:val="22"/>
        </w:rPr>
        <w:t xml:space="preserve">公司在危废资源化产业链中属于中游偏后端的“危废处理+再生金属深加工”一体化企业，整体仍是中低综合毛利率、金属价格敏感型业务；清洁能源装备处于技术和认证壁垒较高的制造环节。未来利润改善主要依赖金属回收率和品位提升、后端精炼及深加工占比提高、燃料和运输成本控制、金属价格及库存风险管理，以及清洁能源装备业务规模扩张，而非单纯扩大危废处置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2026年上半年（报告期：2026年1月1日—2026年6月30日）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134.40亿元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同比增长26.28%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归属于上市公司股东的净利润13.56亿元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同比增长139.45%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同比增长122.40%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2026年第二季度（根据半年报与一季报推算）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约72.57亿元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归属于上市公司股东的净利润约7.53亿元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同比增长11.01%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归属于上市公司股东的净利润11.18亿元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截至2026年9月12日，最新已披露财报为2026年半年度报告，董事会于2026年8月27日批准对外披露。2026年上半年扣除非经常性损益后的归母净利润为12.52亿元，同比增长194.89%；基本每股收益为0.26元/股，上年同期为0.11元/股；加权平均净资产收益率为10.71%；营业利润为16.12亿元，上年同期为6.77亿元；净利润为13.91亿元，上年同期为6.07亿元。经营活动产生的现金流量净额具体金额未披露，纪要称经营现金流明显改善。</w:t>
      </w:r>
    </w:p>
    <w:p>
      <w:pPr>
        <w:spacing w:after="160" w:line="300"/>
      </w:pPr>
      <w:r>
        <w:rPr>
          <w:sz w:val="22"/>
          <w:szCs w:val="22"/>
        </w:rPr>
        <w:t xml:space="preserve">2026年上半年公司业绩明显加速，利润增长主要来自危废资源化业务收入增长及资源化产品毛利率修复。危废资源化相关业务收入约127.39亿元，同比增长27.40%，毛利率约15.59%，同比提升6.04个百分点；清洁能源设备业务收入6.54亿元，同比增长6.32%，毛利率约33.31%，同比下降11.36个百分点；公司整体毛利率约16.73%，同比提升5.01个百分点。危废资源化业务约占上半年营业收入的94.8%。2026年上半年归母净利润已超过2025年全年水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为同花顺F10截至2026年9月10日汇总的6个月以内机构预测，不是公司正式指引。2026年共有7家机构、2027年共有7家机构、2028年共有6家机构参与汇总。主要机构对2026年营业收入的预测区间为264.70亿—303.82亿元，对归母净利润的预测区间为21.43亿—24.05亿元，差异主要来自对危废资源化产品价格、毛利率恢复程度及清洁能源设备订单确认节奏的不同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机构平均预测276.82亿元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机构平均预测约22.13亿元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较2025年归母净利润11.18亿元同比增长约98%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机构平均预测约0.42元/股</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机构平均预测297.62亿元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机构平均预测约24.01亿元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同比增长约8.5%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机构平均预测约0.46元/股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机构平均预测316.65亿元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机构平均预测约25.71亿元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同比增长约7.1%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机构平均预测约0.49元/股</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目标价7.97元；预测2026—2028年归母净利润分别为21.43亿元、23.93亿元、26.59亿元，EPS分别为0.41元、0.46元、0.51元。采用2026年目标市盈率估值。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2026年8月18日或8月21日前后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合理估值区间5.97—6.04元；预测2026—2028年归母净利润分别为23.72亿元、25.71亿元、27.10亿元。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未见明确目标价披露；预测2026—2028年归母净利润分别为21.46亿元、22.65亿元、24.30亿元。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2026年7月24日或6月29日更新口径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公开汇总信息中未见明确目标价；预测2026—2028年归母净利润约为21.4亿元、23.1亿元、24.7亿元。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整体偏积极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截至研究纪要披露口径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近六个月约有5家主要机构发布相关研究观点，其中3家给出“买入”、1家给出“推荐”、1家给出“增持”。机构目标价均值约7.97元，但可能主要受到华泰证券单篇报告影响，不能简单视为多机构一致目标价。</w:t>
            </w:r>
          </w:p>
        </w:tc>
      </w:tr>
    </w:tbl>
    <w:p>
      <w:pPr>
        <w:spacing w:before="200"/>
      </w:pPr>
    </w:p>
    <w:p>
      <w:pPr>
        <w:spacing w:after="160" w:line="300"/>
      </w:pPr>
      <w:r>
        <w:rPr>
          <w:sz w:val="22"/>
          <w:szCs w:val="22"/>
        </w:rPr>
        <w:t xml:space="preserve">估值数据截至2026年9月11日收盘。收盘价约4.79元/股，部分历史行情源显示为4.78元；总市值约250亿元；静态市盈率约21.77倍；PE-TTM约13.1倍；扣非市盈率约14.58倍；市净率约1.87—1.91倍；动态市盈率约9.21倍，具体取决于行情平台对下一年度盈利预测的口径。中财网显示2026年6月30日每股收益约0.37元、PE约13.11倍、PB约1.87倍。按4.79元股价和机构平均EPS计算，2026—2028年前瞻PE分别约11.4倍、10.4倍和9.8倍；按华泰证券目标价7.97元及2026年EPS 0.41元计算，对应目标PE约19.4倍。机构目标价存在明显平台和样本口径差异，公开信息中的参考区间约为6.0—8.0元，其他平台还显示目标价均值约6.71元、区间约6.66—6.76元，以及中位数约6.86元，不能将7.97元视为无争议的一致目标价。当前静态PE与TTM、动态PE差异较大，主要由于2025年盈利基数较低及2026年利润快速增长。后续需关注危废资源化产品及有色金属价格、危废原料供给、清洁能源装备订单确认，以及资产负债率、存货和商誉减值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2026年半年度报告披露，归母净利润同比增长139.45%</w:t>
      </w:r>
    </w:p>
    <w:p>
      <w:pPr>
        <w:spacing w:after="160" w:line="300"/>
      </w:pPr>
      <w:r>
        <w:rPr>
          <w:sz w:val="22"/>
          <w:szCs w:val="22"/>
        </w:rPr>
        <w:t xml:space="preserve">2026年8月29日，浙富控股披露2026年半年度报告及摘要。报告期内，公司实现营业收入134.40亿元，同比增长26.28%；归属于上市公司股东的净利润13.56亿元，同比增长139.45%；扣除非经常性损益后的净利润12.52亿元，同比增长194.89%；经营活动产生的现金流量净额12.11亿元，上年同期为净流出2.32亿元；基本每股收益0.26元，同比增长136.36%。业绩增长主要来自危废处置及再生资源综合利用业务。</w:t>
      </w:r>
    </w:p>
    <w:p>
      <w:pPr>
        <w:pStyle w:val="Heading2"/>
        <w:spacing w:after="120" w:before="240"/>
      </w:pPr>
      <w:r>
        <w:rPr>
          <w:b/>
          <w:bCs/>
          <w:color w:val="2E74B5"/>
          <w:sz w:val="24"/>
          <w:szCs w:val="24"/>
        </w:rPr>
        <w:t xml:space="preserve">4.2 半年度业绩预告兑现，实际业绩位于预告区间中部</w:t>
      </w:r>
    </w:p>
    <w:p>
      <w:pPr>
        <w:spacing w:after="160" w:line="300"/>
      </w:pPr>
      <w:r>
        <w:rPr>
          <w:sz w:val="22"/>
          <w:szCs w:val="22"/>
        </w:rPr>
        <w:t xml:space="preserve">公司于2026年7月6日披露半年度业绩预告，预计2026年上半年归属于上市公司股东的净利润为12.50亿元至14.50亿元，同比增长120.78%至156.11%；扣除非经常性损益后的净利润为11.50亿元至13.50亿元，同比增长170.84%至217.94%；基本每股收益为0.24元至0.28元。2026年8月29日披露的半年度报告显示，归母净利润13.56亿元、扣非净利润12.52亿元，均落在此前预告区间内。</w:t>
      </w:r>
    </w:p>
    <w:p>
      <w:pPr>
        <w:pStyle w:val="Heading2"/>
        <w:spacing w:after="120" w:before="240"/>
      </w:pPr>
      <w:r>
        <w:rPr>
          <w:b/>
          <w:bCs/>
          <w:color w:val="2E74B5"/>
          <w:sz w:val="24"/>
          <w:szCs w:val="24"/>
        </w:rPr>
        <w:t xml:space="preserve">4.3 子公司担保公告密集披露，主要用于日常经营融资</w:t>
      </w:r>
    </w:p>
    <w:p>
      <w:pPr>
        <w:spacing w:after="160" w:line="300"/>
      </w:pPr>
      <w:r>
        <w:rPr>
          <w:sz w:val="22"/>
          <w:szCs w:val="22"/>
        </w:rPr>
        <w:t xml:space="preserve">2026年8月12日至8月28日期间，公司及下属子公司连续披露多项担保及担保额度调剂事项，涉及江西自立、申联环保集团、申能环保、兰溪自立及浙富核电等主体。2026年8月26日，浙江申联环保集团有限公司与中国农业银行股份有限公司抚州荆公支行签署《最高额保证合同》，为江西自立环保科技有限公司申请的最高余额4.05亿元债权提供连带责任保证，保证期间为债务履行期限届满之日起三年。</w:t>
      </w:r>
    </w:p>
    <w:p>
      <w:pPr>
        <w:pStyle w:val="Heading2"/>
        <w:spacing w:after="120" w:before="240"/>
      </w:pPr>
      <w:r>
        <w:rPr>
          <w:b/>
          <w:bCs/>
          <w:color w:val="2E74B5"/>
          <w:sz w:val="24"/>
          <w:szCs w:val="24"/>
        </w:rPr>
        <w:t xml:space="preserve">4.4 担保规模较大，暂未披露逾期担保情形</w:t>
      </w:r>
    </w:p>
    <w:p>
      <w:pPr>
        <w:spacing w:after="160" w:line="300"/>
      </w:pPr>
      <w:r>
        <w:rPr>
          <w:sz w:val="22"/>
          <w:szCs w:val="22"/>
        </w:rPr>
        <w:t xml:space="preserve">2026年8月26日相关公告披露，公司累计对合并报表范围内子公司已审批的担保额度为53.00亿元，担保余额为12.106455亿元，占最近一期经审计净资产的10.06%；子公司对合并报表范围内子公司的担保余额为55.740908亿元。2026年半年度报告显示，截至2026年6月30日，公司已审批的对子公司担保额度为53.00亿元，期末对子公司担保余额为13.470052亿元。公司披露不存在逾期担保、涉及诉讼的对外担保或因担保被判决败诉而承担损失的情形；8月新增担保后实际余额可能发生变化。</w:t>
      </w:r>
    </w:p>
    <w:p>
      <w:pPr>
        <w:pStyle w:val="Heading2"/>
        <w:spacing w:after="120" w:before="240"/>
      </w:pPr>
      <w:r>
        <w:rPr>
          <w:b/>
          <w:bCs/>
          <w:color w:val="2E74B5"/>
          <w:sz w:val="24"/>
          <w:szCs w:val="24"/>
        </w:rPr>
        <w:t xml:space="preserve">4.5 叶标及其一致行动人持续减持，合计持股比例降至13.00%</w:t>
      </w:r>
    </w:p>
    <w:p>
      <w:pPr>
        <w:spacing w:after="160" w:line="300"/>
      </w:pPr>
      <w:r>
        <w:rPr>
          <w:sz w:val="22"/>
          <w:szCs w:val="22"/>
        </w:rPr>
        <w:t xml:space="preserve">2026年8月8日，公司披露持股5%以上股东及其一致行动人权益变动公告。2026年7月23日至8月6日期间，叶标及其一致行动人胡金莲、浙江申联投资管理有限公司通过集中竞价方式累计减持公司股份，股份变动比例为1.0000%，减持后合计持股比例由14.0000%下降至13.0000%。相关股东累计减持约5219.27万股。公告披露的减持前持股情况为：叶标持股约5.4448亿股，占总股本10.4322%；浙江申联投资管理有限公司持股约1.8621亿股，占3.5678%；胡金莲未直接持有股份。</w:t>
      </w:r>
    </w:p>
    <w:p>
      <w:pPr>
        <w:pStyle w:val="Heading2"/>
        <w:spacing w:after="120" w:before="240"/>
      </w:pPr>
      <w:r>
        <w:rPr>
          <w:b/>
          <w:bCs/>
          <w:color w:val="2E74B5"/>
          <w:sz w:val="24"/>
          <w:szCs w:val="24"/>
        </w:rPr>
        <w:t xml:space="preserve">4.6 公司完善重大事项内部报告制度</w:t>
      </w:r>
    </w:p>
    <w:p>
      <w:pPr>
        <w:spacing w:after="160" w:line="300"/>
      </w:pPr>
      <w:r>
        <w:rPr>
          <w:sz w:val="22"/>
          <w:szCs w:val="22"/>
        </w:rPr>
        <w:t xml:space="preserve">2026年8月29日，公司披露《重大事项报告制度（2026年8月）》，明确重大交易、对外投资、担保、关联交易、重大诉讼、股东及实际控制人持股变化、董事及高级管理人员变动及重大政策变化等事项的内部报告范围和程序。该制度要求相关信息报告义务人在知悉重大信息当日，以电话、邮件等方式向董事长报告并知会董事会秘书。该事项属于内部治理制度完善，不是监管处罚或行政监管措施。</w:t>
      </w:r>
    </w:p>
    <w:p>
      <w:pPr>
        <w:pStyle w:val="Heading2"/>
        <w:spacing w:after="120" w:before="240"/>
      </w:pPr>
      <w:r>
        <w:rPr>
          <w:b/>
          <w:bCs/>
          <w:color w:val="2E74B5"/>
          <w:sz w:val="24"/>
          <w:szCs w:val="24"/>
        </w:rPr>
        <w:t xml:space="preserve">4.7 近期暂未发现新增回购、重大并购或监管处罚公告</w:t>
      </w:r>
    </w:p>
    <w:p>
      <w:pPr>
        <w:spacing w:after="160" w:line="300"/>
      </w:pPr>
      <w:r>
        <w:rPr>
          <w:sz w:val="22"/>
          <w:szCs w:val="22"/>
        </w:rPr>
        <w:t xml:space="preserve">截至2026年9月12日，研究纪要未检索到公司2026年8月至9月新披露的股份回购方案、回购进展公告、回购注销公告、重大资产购买、股权收购、重大资产重组或对外并购公告；亦暂未检索到中国证监会、深交所针对公司发布的新增立案调查、纪律处分、监管函或行政处罚公告。上述结论基于本次公开公告列表及多来源检索，不代表公司未来不会披露新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4.79元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下跌0.11元，跌幅-2.24%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4.84元/4.85元/4.71元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约64.43万手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约3.063亿元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3.84~5.87元；当前价格位于区间中部偏上位置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约250.0亿元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9.21倍；中财网另显示市盈率13.11倍，存在统计口径或更新时间差异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约4.85元/4.87元/4.88元，基于2026年8月17日至9月11日收盘价序列计算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9月11日收盘价4.79元低于三条短期均线，显示最近一个交易日短线转弱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67.466；数据截至2026年9月9日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处于偏强区域并接近超买边缘，但该数值并非9月11日收盘后的最新值；连续回落后实际数值可能已有变化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约0.020；数据截至2026年9月9日，页面判定为买入信号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9月9日时短线动能偏强；9月10日、11日连续回落后，柱体可能收窄，但缺少9月11日收盘后的直接披露数据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随机指标与StochRSI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StochRSI为100；数据截至2026年9月9日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显示短线动能较强，同时存在冲高后回撤风险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中轨约4.88元，上轨约5.04元，下轨约4.72元；基于最近20个交易日未复权收盘价自行测算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收盘价4.79元位于中轨下方、下轨上方，处于通道下半区；9月11日最低价4.71元已触及或略低于自行测算的下轨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2026年9月1日至9月11日成交额约2.37~4.00亿元，换手率约0.99%~1.72%；2026年8月28日至9月10日十个交易日平均成交额约3.34亿元、平均换手率约1.42%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9月11日成交额3.06亿元、换手率1.33%，略低于短期均值；当日下跌并非明显极端放量杀跌，但也未出现明显承接放量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数据主要截至2026年9月3日；近10个交易日呈低度控盘、筹码较分散状态，2026年8月21日至9月3日页面披露数据合计净流出约5095.55万元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截至9月3日主力资金偏净流出、控盘度偏低；该数据不能直接等同于9月11日实时资金状态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截至2026年6月30日，前十大股东累计持股约25.24亿股，占总股本约48.36%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筹码并非高度分散；控股股东、实际控制人及一致行动相关股东占比较高，但股东数据距9月11日已有两个多月，可能已发生变化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截至2026年6月30日，共有582家主力机构持仓，合计约20.46亿股，占流通A股约42.25%；其中基金机构576家、一般法人3家、阳光私募3家</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公募基金等机构持仓数据较为充分，香港中央结算有限公司、私募基金和指数基金亦出现在股东名单中；但存在报告期时滞</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质押股份</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截至2026年9月11日，质押股份约9.37亿股，质押比例约17.95%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属于潜在流动性与股东减持压力背景信息，不等同于短期必然抛压</w:t>
            </w:r>
          </w:p>
        </w:tc>
      </w:tr>
    </w:tbl>
    <w:p>
      <w:pPr>
        <w:spacing w:before="200"/>
      </w:pPr>
    </w:p>
    <w:p>
      <w:pPr>
        <w:spacing w:after="160" w:line="300"/>
      </w:pPr>
      <w:r>
        <w:rPr>
          <w:sz w:val="22"/>
          <w:szCs w:val="22"/>
        </w:rPr>
        <w:t xml:space="preserve">截至2026年9月11日，浙富控股收盘价为4.79元，低于MA5、MA10和MA20，且位于布林中轨4.88元下方、下轨约4.72元上方，短线技术形态较前期有所转弱。9月9日公开指标仍显示RSI处于偏强区域、MACD为买入信号，但相关数据截至9月9日，不能替代9月11日收盘后的最新指标。成交额和换手率略低于近期均值，当日未出现极端放量杀跌；截至9月3日的主力资金数据则显示低度控盘、阶段性净流出。短期需重点观察4.75~4.82元支撑区、4.70~4.72元强支撑区，以及4.95~5.01元压力区的突破或失守情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风险提示：以下内容仅为基于2026年9月11日收盘数据及历史价格、技术指标的主观情景推演，不构成投资建议，也不代表确定性涨跌预测。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4.95~5.01元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依据包括9月9日收盘价4.97元、8月27日最高价5.01元及短期枢轴阻力位。若放量突破该区间，短线可能重新测试5.10元附近；52周高点5.87元距离较远，不宜作为一周内直接目标</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4.75~4.82元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依据包括9月7日低点4.74元、9月8日收盘价4.82元、9月11日最低价4.71元及近期成交密集区。若持续跌破4.75元，短线结构可能进一步转弱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4.70~4.72元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接近9月11日最低价4.71元及自行测算的布林下轨约4.72元。若放量有效跌破4.70元，下一阶段可能向4.60~4.65元区间寻找支撑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成交量和资金流向的主观启发式权重，不是统计概率）：价格区间为4.75~4.95元。触发条件包括守住4.75~4.82元支撑区，成交额维持约2.5~3.5亿元且未出现连续放量杀跌，同时市场和环保板块没有明显负面冲击。若成立，价格可能围绕4.80~4.90元反复波动，4.95元附近构成上沿压力</w:t>
      </w:r>
    </w:p>
    <w:p>
      <w:pPr>
        <w:pStyle w:val="ListParagraph"/>
        <w:numPr>
          <w:ilvl w:val="0"/>
          <w:numId w:val="2"/>
        </w:numPr>
        <w:spacing w:after="80" w:line="280"/>
      </w:pPr>
      <w:r>
        <w:rPr>
          <w:sz w:val="22"/>
          <w:szCs w:val="22"/>
        </w:rPr>
        <w:t xml:space="preserve">偏弱下行（权重中等；为主观启发式判断，不是统计概率）：价格区间为4.60~4.75元。触发条件包括收盘价跌破4.70~4.72元强支撑区，且单日成交额明显放大至4亿元以上但价格不能收回4.75元；若同时出现主力资金连续净流出或环境治理板块同步走弱，布林下轨失守后可能向4.60~4.65元区间寻找支撑</w:t>
      </w:r>
    </w:p>
    <w:p>
      <w:pPr>
        <w:pStyle w:val="ListParagraph"/>
        <w:numPr>
          <w:ilvl w:val="0"/>
          <w:numId w:val="2"/>
        </w:numPr>
        <w:spacing w:after="80" w:line="280"/>
      </w:pPr>
      <w:r>
        <w:rPr>
          <w:sz w:val="22"/>
          <w:szCs w:val="22"/>
        </w:rPr>
        <w:t xml:space="preserve">反弹走强（权重偏低至中等；为主观启发式判断，不是统计概率）：价格区间为4.95~5.10元。触发条件包括重新站上4.88元附近MA20区域并进一步突破4.95~5.01元压力区，成交额连续放大至4亿元以上且上涨日成交量高于近期均值，同时主力资金由净流出转为连续净流入，环保或核电相关主题出现板块性催化。若缺少成交量配合，突破有效性需谨慎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1日至9月11日，成交额约2.37~4.00亿元、换手率约0.99%~1.72%；2026年8月28日至9月10日十个交易日平均成交额约3.34亿元、平均换手率约1.42%。截至2026年6月30日，前十大股东累计持股约占总股本48.36%，其中控股股东、实际控制人及一致行动相关股东占比较高；同一日期共有582家主力机构持仓，合计约占流通A股42.25%，包括576家基金机构、3家一般法人和3家阳光私募，香港中央结算有限公司、私募基金和指数基金亦出现在股东名单中。上述股东结构数据存在两个多月时滞，不能完全代表2026年9月11日的实时筹码结构。结合截至9月3日主力资金低度控盘、阶段性净流出情况，当前具备一定市场流动性，但短线买卖盘尚未形成明显单边集中；成交额放大时仍需结合价格位置判断是资金承接还是风险释放。另截至9月11日质押股份约9.37亿股、质押比例约17.95%，属于流动性与股东压力背景信息，不等同于短期必然抛压。</w:t>
      </w:r>
    </w:p>
    <w:p>
      <w:pPr>
        <w:spacing w:after="160" w:line="300"/>
      </w:pPr>
      <w:r>
        <w:rPr>
          <w:sz w:val="22"/>
          <w:szCs w:val="22"/>
        </w:rPr>
        <w:t xml:space="preserve">若单日成交额持续放大至4亿元以上，且股价收盘站稳4.95~5.01元，可视为短线资金承接增强的观察信号；若成交额放大至4亿元以上但股价跌破4.70元，则更接近放量派发或风险释放信号。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观察思路，非操作指令：关注4.75~4.82元第一支撑区能否保持，以及4.70~4.72元强支撑区是否出现放量失守。</w:t>
      </w:r>
    </w:p>
    <w:p>
      <w:pPr>
        <w:pStyle w:val="ListParagraph"/>
        <w:numPr>
          <w:ilvl w:val="0"/>
          <w:numId w:val="2"/>
        </w:numPr>
        <w:spacing w:after="80" w:line="280"/>
      </w:pPr>
      <w:r>
        <w:rPr>
          <w:sz w:val="22"/>
          <w:szCs w:val="22"/>
        </w:rPr>
        <w:t xml:space="preserve">观察思路，非操作指令：关注4.95~5.01元压力区能否在成交额连续达到4亿元以上的情况下被有效突破。</w:t>
      </w:r>
    </w:p>
    <w:p>
      <w:pPr>
        <w:pStyle w:val="ListParagraph"/>
        <w:numPr>
          <w:ilvl w:val="0"/>
          <w:numId w:val="2"/>
        </w:numPr>
        <w:spacing w:after="80" w:line="280"/>
      </w:pPr>
      <w:r>
        <w:rPr>
          <w:sz w:val="22"/>
          <w:szCs w:val="22"/>
        </w:rPr>
        <w:t xml:space="preserve">观察思路，非操作指令：将成交额、价格收盘位置与主力资金方向结合观察，区分放量承接与放量下跌。</w:t>
      </w:r>
    </w:p>
    <w:p>
      <w:pPr>
        <w:pStyle w:val="ListParagraph"/>
        <w:numPr>
          <w:ilvl w:val="0"/>
          <w:numId w:val="2"/>
        </w:numPr>
        <w:spacing w:after="80" w:line="280"/>
      </w:pPr>
      <w:r>
        <w:rPr>
          <w:sz w:val="22"/>
          <w:szCs w:val="22"/>
        </w:rPr>
        <w:t xml:space="preserve">观察思路，非操作指令：注意股东集中度和机构持仓数据截至2026年6月30日、主力资金数据主要截至2026年9月3日，均不能完全替代9月11日的实时资金与筹码信息。</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危废行业由危废收集、无害化处置、金属资源化、废催化剂回收、动力电池回收、废酸废盐处置等多个细分领域构成。行业竞争同时体现为区域、资质、技术、环保合规、安全生产、金属价格管理和现金流管理能力的竞争。浙富控股的差异化定位是“前端危废处置+后端多金属深度资源化”，但公开资料缺少统一口径的行业横向毛利率和产能统计，不宜据此认定其为全行业绝对龙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全国性综合环保集团包括光大环境、中节能等，优势在于资金、政府及央企资源、项目覆盖和综合环保服务能力。</w:t>
      </w:r>
    </w:p>
    <w:p>
      <w:pPr>
        <w:pStyle w:val="ListParagraph"/>
        <w:numPr>
          <w:ilvl w:val="0"/>
          <w:numId w:val="2"/>
        </w:numPr>
        <w:spacing w:after="80" w:line="280"/>
      </w:pPr>
      <w:r>
        <w:rPr>
          <w:sz w:val="22"/>
          <w:szCs w:val="22"/>
        </w:rPr>
        <w:t xml:space="preserve">综合危废和资源化企业包括高能环境、东江环保、浙富控股、丛麟科技等，在危废处置、工业固废资源化及金属回收领域存在不同程度重叠。</w:t>
      </w:r>
    </w:p>
    <w:p>
      <w:pPr>
        <w:pStyle w:val="ListParagraph"/>
        <w:numPr>
          <w:ilvl w:val="0"/>
          <w:numId w:val="2"/>
        </w:numPr>
        <w:spacing w:after="80" w:line="280"/>
      </w:pPr>
      <w:r>
        <w:rPr>
          <w:sz w:val="22"/>
          <w:szCs w:val="22"/>
        </w:rPr>
        <w:t xml:space="preserve">细分技术型企业包括惠城环保、格林美、飞南资源等，分别偏向废催化剂资源化、动力电池及稀有金属回收、有色金属固废资源化等领域。</w:t>
      </w:r>
    </w:p>
    <w:p>
      <w:pPr>
        <w:pStyle w:val="ListParagraph"/>
        <w:numPr>
          <w:ilvl w:val="0"/>
          <w:numId w:val="2"/>
        </w:numPr>
        <w:spacing w:after="80" w:line="280"/>
      </w:pPr>
      <w:r>
        <w:rPr>
          <w:sz w:val="22"/>
          <w:szCs w:val="22"/>
        </w:rPr>
        <w:t xml:space="preserve">大型水轮发电机组和抽水蓄能设备行业集中度较高，东方电气、哈尔滨电气等大型电力装备企业参与较多，国际市场还包括安德里茨、福伊特等企业。浙富水电具备民营机制、中大型水轮机组经验、抽水蓄能项目经验及4500MW年生产能力，但在超大型水电、国家级重大工程和大型央企客户资源方面仍有规模和品牌差距。</w:t>
      </w:r>
    </w:p>
    <w:p>
      <w:pPr>
        <w:pStyle w:val="ListParagraph"/>
        <w:numPr>
          <w:ilvl w:val="0"/>
          <w:numId w:val="2"/>
        </w:numPr>
        <w:spacing w:after="80" w:line="280"/>
      </w:pPr>
      <w:r>
        <w:rPr>
          <w:sz w:val="22"/>
          <w:szCs w:val="22"/>
        </w:rPr>
        <w:t xml:space="preserve">核电设备行业具有高认证、高安全性、高质量追溯和长验证周期特点。东方电气、上海电气、哈尔滨电气等覆盖大型核电整机及核岛主设备，浙富控股则聚焦控制棒驱动机构、堆内构件、核主泵及先进堆型关键部件等细分领域，业务规模小于大型综合核电设备集团。</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高能环境（603588）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全国性环境治理和固危废资源化企业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与浙富控股重叠于固危废处理和金属资源化；其业务覆盖环境修复、生活垃圾处理及固废资源化，更加综合。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东江环保（002672）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工业及市政废物资源化利用、无害化处理和稀贵金属回收企业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与浙富控股重叠于工业危废、金属资源化和稀贵金属回收；东江环保在华南具有历史积累，浙富控股更强调多区域布局和后端多金属深加工。</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丛麟科技（688370）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危险废物资源化利用和无害化处置企业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与浙富控股重叠于工业危废金属资源化；丛麟科技更偏长三角及区域市场，浙富控股覆盖区域更广、处理产能和后端金属品种更多。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惠城环保（300779）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废催化剂资源化和石化行业固废资源化企业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与浙富控股均从工业固废中回收有价金属，但惠城环保更集中于废催化剂和石化固废，浙富控股更偏多类别危废、多金属回收和综合危废处置。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东方电气（600875）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大型综合电力装备制造商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与浙富控股重叠于大型水电机组、抽水蓄能及部分核电设备；其规模、央企背景和重大项目资源更强。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哈尔滨电气（01133.HK）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大型综合电力装备制造商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与浙富控股重叠于大型水电、抽水蓄能及部分核电设备；其规模、央企背景和大型项目经验更强。</w:t>
            </w:r>
          </w:p>
        </w:tc>
      </w:tr>
    </w:tbl>
    <w:p>
      <w:pPr>
        <w:spacing w:before="200"/>
      </w:pPr>
    </w:p>
    <w:p>
      <w:pPr>
        <w:spacing w:after="160" w:line="300"/>
      </w:pPr>
      <w:r>
        <w:rPr>
          <w:sz w:val="22"/>
          <w:szCs w:val="22"/>
        </w:rPr>
        <w:t xml:space="preserve">浙富控股与高能环境、东江环保、丛麟科技、惠城环保的主要比较维度是危废资质、区域覆盖、复杂危废兼容处理能力、金属回收率、产品品位及后端深加工能力；与东方电气、哈尔滨电气的比较主要集中在水电、抽水蓄能及部分核电设备。公司优势在于危废处理与多金属深度资源化一体化，以及水电、核电细分装备能力；主要约束是危废资源化业务毛利率较低且受金属价格、原料品位、库存和现金流影响，清洁能源装备业务虽毛利率较高但收入占比较低。</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危废资源化业务收入占比极高，2025年占营业收入94.40%，而该业务毛利率仅10.62%；若铜、金、银、锡、锌等金属价格回落，或危废处置价格、原料品位和产品结构恶化，公司利润可能出现较大波动。</w:t>
      </w:r>
    </w:p>
    <w:p>
      <w:pPr>
        <w:pStyle w:val="ListParagraph"/>
        <w:numPr>
          <w:ilvl w:val="0"/>
          <w:numId w:val="2"/>
        </w:numPr>
        <w:spacing w:after="80" w:line="280"/>
      </w:pPr>
      <w:r>
        <w:rPr>
          <w:sz w:val="22"/>
          <w:szCs w:val="22"/>
        </w:rPr>
        <w:t xml:space="preserve">公司营运资金和库存占用较重。2025年末存货账面价值106.66亿元，其中与资源化产品销售及危废处置相关的存货为103.52亿元；2025年经营活动现金流净额仅约3129万元，明显低于2024年15.40亿元。若金属库存、结算周期或应收回款再次恶化，可能对现金流和融资安排形成压力。</w:t>
      </w:r>
    </w:p>
    <w:p>
      <w:pPr>
        <w:pStyle w:val="ListParagraph"/>
        <w:numPr>
          <w:ilvl w:val="0"/>
          <w:numId w:val="2"/>
        </w:numPr>
        <w:spacing w:after="80" w:line="280"/>
      </w:pPr>
      <w:r>
        <w:rPr>
          <w:sz w:val="22"/>
          <w:szCs w:val="22"/>
        </w:rPr>
        <w:t xml:space="preserve">客户集中度较高。2025年前五大客户销售额137.61亿元，占年度销售总额59.29%，第一大客户占23.58%；客户具体身份和行业属性未在现有资料中核验，若重点客户采购节奏、议价条件或回款情况变化，可能影响收入确认、毛利率及现金流。</w:t>
      </w:r>
    </w:p>
    <w:p>
      <w:pPr>
        <w:pStyle w:val="ListParagraph"/>
        <w:numPr>
          <w:ilvl w:val="0"/>
          <w:numId w:val="2"/>
        </w:numPr>
        <w:spacing w:after="80" w:line="280"/>
      </w:pPr>
      <w:r>
        <w:rPr>
          <w:sz w:val="22"/>
          <w:szCs w:val="22"/>
        </w:rPr>
        <w:t xml:space="preserve">公司及子公司担保规模较大。截至2026年6月30日，公司已审批的对子公司担保额度为53.00亿元，期末对子公司担保余额为13.47亿元；另披露子公司对合并报表范围内子公司的担保余额为55.74亿元。虽然目前披露不存在逾期担保及因担保承担损失的情形，但相关子公司经营或融资状况变化可能增加或有风险。</w:t>
      </w:r>
    </w:p>
    <w:p>
      <w:pPr>
        <w:pStyle w:val="ListParagraph"/>
        <w:numPr>
          <w:ilvl w:val="0"/>
          <w:numId w:val="2"/>
        </w:numPr>
        <w:spacing w:after="80" w:line="280"/>
      </w:pPr>
      <w:r>
        <w:rPr>
          <w:sz w:val="22"/>
          <w:szCs w:val="22"/>
        </w:rPr>
        <w:t xml:space="preserve">股东减持可能对市场供求和投资者预期造成影响。叶标及其一致行动人于2026年7月23日至8月6日期间累计减持公司股份约5219.27万股，合计持股比例由14.00%降至13.00%；截至2026年9月11日相关股东后续持股变化仍需持续关注。</w:t>
      </w:r>
    </w:p>
    <w:p>
      <w:pPr>
        <w:pStyle w:val="ListParagraph"/>
        <w:numPr>
          <w:ilvl w:val="0"/>
          <w:numId w:val="2"/>
        </w:numPr>
        <w:spacing w:after="80" w:line="280"/>
      </w:pPr>
      <w:r>
        <w:rPr>
          <w:sz w:val="22"/>
          <w:szCs w:val="22"/>
        </w:rPr>
        <w:t xml:space="preserve">清洁能源装备业务收入占比较低且盈利能力出现波动。2026年上半年该业务收入约6.54亿元，同比增长6.32%，但毛利率约33.31%，同比下降11.36个百分点；若水电、抽水蓄能或核电设备订单确认延迟、项目交付不及预期，可能限制该业务对公司整体利润的贡献。</w:t>
      </w:r>
    </w:p>
    <w:p>
      <w:pPr>
        <w:pStyle w:val="ListParagraph"/>
        <w:numPr>
          <w:ilvl w:val="0"/>
          <w:numId w:val="2"/>
        </w:numPr>
        <w:spacing w:after="80" w:line="280"/>
      </w:pPr>
      <w:r>
        <w:rPr>
          <w:sz w:val="22"/>
          <w:szCs w:val="22"/>
        </w:rPr>
        <w:t xml:space="preserve">公司对多家子公司提供担保且存在一定股权质押背景。截至2026年9月11日，质押股份约9.37亿股，质押比例约17.95%；该数据不等同于必然减持或违约，但在股价波动、融资条件收紧或股东资金需求上升时，可能放大流动性和股东减持压力。</w:t>
      </w:r>
    </w:p>
    <w:p>
      <w:pPr>
        <w:pStyle w:val="ListParagraph"/>
        <w:numPr>
          <w:ilvl w:val="0"/>
          <w:numId w:val="2"/>
        </w:numPr>
        <w:spacing w:after="80" w:line="280"/>
      </w:pPr>
      <w:r>
        <w:rPr>
          <w:sz w:val="22"/>
          <w:szCs w:val="22"/>
        </w:rPr>
        <w:t xml:space="preserve">短期技术面存在回撤风险。截至2026年9月11日收盘价4.79元低于MA5、MA10和MA20，且截至9月3日主力资金呈阶段性净流出；若4.70—4.72元区域放量失守，可能反映短线风险释放。相关资金和技术指标存在时间滞后，不能视为确定性走势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来自危废资源化业务规模增长、资源化产品毛利率修复以及多金属深度回收和后端精炼能力提升。2026年上半年经营现金流改善，表明阶段性盈利增长已获得一定现金流配合；若金属价格、原料供给和产品毛利率能够维持，2026年盈利相较2025年存在较强的业绩弹性。</w:t>
      </w:r>
    </w:p>
    <w:p>
      <w:pPr>
        <w:spacing w:after="160" w:line="300"/>
      </w:pPr>
      <w:r>
        <w:rPr>
          <w:sz w:val="22"/>
          <w:szCs w:val="22"/>
        </w:rPr>
        <w:t xml:space="preserve">中长期看，清洁能源装备业务具备水电、抽水蓄能和核电细分领域的技术、认证及项目经验壁垒，但目前收入占比较低，且2026年上半年该业务毛利率约33.31%，同比下降11.36个百分点，其对公司整体增长的贡献仍有待订单规模和交付确认进一步体现。危废资源化业务仍是公司经营结果的核心决定因素，业务模式并未摆脱金属价格周期和营运资金占用。</w:t>
      </w:r>
    </w:p>
    <w:p>
      <w:pPr>
        <w:spacing w:after="160" w:line="300"/>
      </w:pPr>
      <w:r>
        <w:rPr>
          <w:sz w:val="22"/>
          <w:szCs w:val="22"/>
        </w:rPr>
        <w:t xml:space="preserve">后续判断重点包括危废原料品位及供给稳定性、资源化产品毛利率能否延续、存货和经营现金流变化、重点客户回款与订单集中度，以及清洁能源装备订单确认。技术面上，4.75—4.82元为短期支撑观察区，4.70—4.72元为更强支撑区，4.95—5.01元为压力观察区，但这些价位仅反映历史价格和指标推演，不能替代基本面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浙富控股(002266)_公司公告_浙富控股：2025年年度报告摘要新浪财经_新浪网 — https://money.finance.sina.com.cn/corp/view/vCB_AllBulletinDetail.php?id=12246693&amp;stockid=002266&amp;utm_source=openai</w:t>
      </w:r>
    </w:p>
    <w:p>
      <w:pPr>
        <w:spacing w:after="200"/>
      </w:pPr>
      <w:r>
        <w:rPr>
          <w:i/>
          <w:iCs/>
          <w:color w:val="595959"/>
          <w:sz w:val="18"/>
          <w:szCs w:val="18"/>
        </w:rPr>
        <w:t xml:space="preserve">浙富控股(002266)_公司公告_浙富控股：2025年年度报告新浪财经_新浪网 — https://money.finance.sina.com.cn/corp/view/vCB_AllBulletinDetail.php?id=12246710&amp;stockid=002266</w:t>
      </w:r>
    </w:p>
    <w:p>
      <w:pPr>
        <w:spacing w:after="200"/>
      </w:pPr>
      <w:r>
        <w:rPr>
          <w:i/>
          <w:iCs/>
          <w:color w:val="595959"/>
          <w:sz w:val="18"/>
          <w:szCs w:val="18"/>
        </w:rPr>
        <w:t xml:space="preserve">浙富控股(002266)_公司公告_浙富控股：2025年年度报告新浪财经_新浪网 — https://money.finance.sina.com.cn/corp/view/vCB_AllBulletinDetail.php?id=12246710&amp;stockid=002266&amp;utm_source=openai</w:t>
      </w:r>
    </w:p>
    <w:p>
      <w:pPr>
        <w:spacing w:after="200"/>
      </w:pPr>
      <w:r>
        <w:rPr>
          <w:i/>
          <w:iCs/>
          <w:color w:val="595959"/>
          <w:sz w:val="18"/>
          <w:szCs w:val="18"/>
        </w:rPr>
        <w:t xml:space="preserve">浙富控股集团股份有限公司2025 年年度报告摘要 — https://file.finance.sina.com.cn/211.154.219.97%3A9494/MRGG/CNSESZ_STOCK/2026/2026-4/2026-04-29/12246693.PDF?utm_source=openai</w:t>
      </w:r>
    </w:p>
    <w:p>
      <w:pPr>
        <w:spacing w:after="200"/>
      </w:pPr>
      <w:r>
        <w:rPr>
          <w:i/>
          <w:iCs/>
          <w:color w:val="595959"/>
          <w:sz w:val="18"/>
          <w:szCs w:val="18"/>
        </w:rPr>
        <w:t xml:space="preserve">https://static.cninfo.com.cn/finalpage/2025-04-26/1223310439.PDF — https://static.cninfo.com.cn/finalpage/2025-04-26/1223310439.PDF</w:t>
      </w:r>
    </w:p>
    <w:p>
      <w:pPr>
        <w:spacing w:after="200"/>
      </w:pPr>
      <w:r>
        <w:rPr>
          <w:i/>
          <w:iCs/>
          <w:color w:val="595959"/>
          <w:sz w:val="18"/>
          <w:szCs w:val="18"/>
        </w:rPr>
        <w:t xml:space="preserve">“十五五”水轮发电机组行业深度研究及趋势前景预判专项报告|水轮发电机组_新浪财经_新浪网 — https://finance.sina.com.cn/wm/2026-03-18/doc-inhrmyec7203056.shtml?utm_source=openai</w:t>
      </w:r>
    </w:p>
    <w:p>
      <w:pPr>
        <w:spacing w:after="200"/>
      </w:pPr>
      <w:r>
        <w:rPr>
          <w:i/>
          <w:iCs/>
          <w:color w:val="595959"/>
          <w:sz w:val="18"/>
          <w:szCs w:val="18"/>
        </w:rPr>
        <w:t xml:space="preserve">东江环保 — https://www.dongjiang.com.cn/main/about/gsgk/index.shtml?utm_source=openai</w:t>
      </w:r>
    </w:p>
    <w:p>
      <w:pPr>
        <w:spacing w:after="200"/>
      </w:pPr>
      <w:r>
        <w:rPr>
          <w:i/>
          <w:iCs/>
          <w:color w:val="595959"/>
          <w:sz w:val="18"/>
          <w:szCs w:val="18"/>
        </w:rPr>
        <w:t xml:space="preserve">青岛惠城环保科技集团股份有限公司 2024 年度向特定对象发行 A 股股票　　募集说明书 — https://static.cninfo.com.cn/finalpage/2025-08-05/1224401532.pdf?utm_source=openai</w:t>
      </w:r>
    </w:p>
    <w:p>
      <w:pPr>
        <w:spacing w:after="200"/>
      </w:pPr>
      <w:r>
        <w:rPr>
          <w:i/>
          <w:iCs/>
          <w:color w:val="595959"/>
          <w:sz w:val="18"/>
          <w:szCs w:val="18"/>
        </w:rPr>
        <w:t xml:space="preserve">浙富控股(002266)_公司公告_浙富控股：2026年半年度报告新浪财经_新浪网 — https://money.finance.sina.com.cn/corp/view/vCB_AllBulletinDetail.php?id=12566407&amp;stockid=002266</w:t>
      </w:r>
    </w:p>
    <w:p>
      <w:pPr>
        <w:spacing w:after="200"/>
      </w:pPr>
      <w:r>
        <w:rPr>
          <w:i/>
          <w:iCs/>
          <w:color w:val="595959"/>
          <w:sz w:val="18"/>
          <w:szCs w:val="18"/>
        </w:rPr>
        <w:t xml:space="preserve">浙富控股(002266) 盈利预测_F10_同花顺金融服务网 — https://basic.10jqka.com.cn/002266/worth.html?utm_source=openai</w:t>
      </w:r>
    </w:p>
    <w:p>
      <w:pPr>
        <w:spacing w:after="200"/>
      </w:pPr>
      <w:r>
        <w:rPr>
          <w:i/>
          <w:iCs/>
          <w:color w:val="595959"/>
          <w:sz w:val="18"/>
          <w:szCs w:val="18"/>
        </w:rPr>
        <w:t xml:space="preserve">浙富控股集团股份有限公司 2026 年第一季度报告 — https://disc.static.szse.cn/disc/disk03/finalpage/2026-04-29/14999b7e-b663-4525-a10b-481ccfbff1cc.PDF?utm_source=openai</w:t>
      </w:r>
    </w:p>
    <w:p>
      <w:pPr>
        <w:spacing w:after="200"/>
      </w:pPr>
      <w:r>
        <w:rPr>
          <w:i/>
          <w:iCs/>
          <w:color w:val="595959"/>
          <w:sz w:val="18"/>
          <w:szCs w:val="18"/>
        </w:rPr>
        <w:t xml:space="preserve">浙富控股(002266) 盈利预测_F10_同花顺金融服务网 — https://basic.10jqka.com.cn/002266/worth.html</w:t>
      </w:r>
    </w:p>
    <w:p>
      <w:pPr>
        <w:spacing w:after="200"/>
      </w:pPr>
      <w:r>
        <w:rPr>
          <w:i/>
          <w:iCs/>
          <w:color w:val="595959"/>
          <w:sz w:val="18"/>
          <w:szCs w:val="18"/>
        </w:rPr>
        <w:t xml:space="preserve">机构评级|2家机构更新浙富控股评级 — https://stock.10jqka.com.cn/20260831/c679454522.shtml?utm_source=openai</w:t>
      </w:r>
    </w:p>
    <w:p>
      <w:pPr>
        <w:spacing w:after="200"/>
      </w:pPr>
      <w:r>
        <w:rPr>
          <w:i/>
          <w:iCs/>
          <w:color w:val="595959"/>
          <w:sz w:val="18"/>
          <w:szCs w:val="18"/>
        </w:rPr>
        <w:t xml:space="preserve">浙富控股(002266)_股票行情，行情首页_中财网 — https://quote.cfi.cn/quote8999_002266.html</w:t>
      </w:r>
    </w:p>
    <w:p>
      <w:pPr>
        <w:spacing w:after="200"/>
      </w:pPr>
      <w:r>
        <w:rPr>
          <w:i/>
          <w:iCs/>
          <w:color w:val="595959"/>
          <w:sz w:val="18"/>
          <w:szCs w:val="18"/>
        </w:rPr>
        <w:t xml:space="preserve">浙富控股(002266)_公司公告_浙富控股：2026年半年度报告摘要新浪财经_新浪网 — https://money.finance.sina.com.cn/corp/view/vCB_AllBulletinDetail.php?id=12566399&amp;stockid=002266&amp;utm_source=openai</w:t>
      </w:r>
    </w:p>
    <w:p>
      <w:pPr>
        <w:spacing w:after="200"/>
      </w:pPr>
      <w:r>
        <w:rPr>
          <w:i/>
          <w:iCs/>
          <w:color w:val="595959"/>
          <w:sz w:val="18"/>
          <w:szCs w:val="18"/>
        </w:rPr>
        <w:t xml:space="preserve">浙富控股(002266)_公司公告_浙富控股：2026年半年度业绩预告新浪财经_新浪网 — https://vip.stock.finance.sina.com.cn/corp/view/vCB_AllBulletinDetail.php?CompanyCode=80122387&amp;gather=1&amp;id=12431752&amp;utm_source=openai</w:t>
      </w:r>
    </w:p>
    <w:p>
      <w:pPr>
        <w:spacing w:after="200"/>
      </w:pPr>
      <w:r>
        <w:rPr>
          <w:i/>
          <w:iCs/>
          <w:color w:val="595959"/>
          <w:sz w:val="18"/>
          <w:szCs w:val="18"/>
        </w:rPr>
        <w:t xml:space="preserve">浙富控股(002266)_公司公告_浙富控股：2026年半年度报告新浪财经_新浪网 — https://money.finance.sina.com.cn/corp/view/vCB_AllBulletinDetail.php?id=12566407&amp;stockid=002266&amp;utm_source=openai</w:t>
      </w:r>
    </w:p>
    <w:p>
      <w:pPr>
        <w:spacing w:after="200"/>
      </w:pPr>
      <w:r>
        <w:rPr>
          <w:i/>
          <w:iCs/>
          <w:color w:val="595959"/>
          <w:sz w:val="18"/>
          <w:szCs w:val="18"/>
        </w:rPr>
        <w:t xml:space="preserve">浙富控股(002266)_公司公告_浙富控股：关于全资子公司申联环保集团对江西自立提供担保的公告新浪财经_新浪网 — https://money.finance.sina.com.cn/corp/view/vCB_AllBulletinDetail.php?id=12533220&amp;stockid=002266&amp;utm_source=openai</w:t>
      </w:r>
    </w:p>
    <w:p>
      <w:pPr>
        <w:spacing w:after="200"/>
      </w:pPr>
      <w:r>
        <w:rPr>
          <w:i/>
          <w:iCs/>
          <w:color w:val="595959"/>
          <w:sz w:val="18"/>
          <w:szCs w:val="18"/>
        </w:rPr>
        <w:t xml:space="preserve">浙富控股(002266) - 重大事项备忘 - 股票行情中心 - 搜狐证券 — https://q.stock.sohu.com/cn/002266/bw.shtml?utm_source=openai</w:t>
      </w:r>
    </w:p>
    <w:p>
      <w:pPr>
        <w:spacing w:after="200"/>
      </w:pPr>
      <w:r>
        <w:rPr>
          <w:i/>
          <w:iCs/>
          <w:color w:val="595959"/>
          <w:sz w:val="18"/>
          <w:szCs w:val="18"/>
        </w:rPr>
        <w:t xml:space="preserve">浙富控股(002266)_公司公告_浙富控股：2026年半年度报告新浪财经_新浪网 — https://vip.stock.finance.sina.com.cn/corp/view/vCB_AllBulletinDetail.php?id=12566407&amp;stockid=002266&amp;utm_source=openai</w:t>
      </w:r>
    </w:p>
    <w:p>
      <w:pPr>
        <w:spacing w:after="200"/>
      </w:pPr>
      <w:r>
        <w:rPr>
          <w:i/>
          <w:iCs/>
          <w:color w:val="595959"/>
          <w:sz w:val="18"/>
          <w:szCs w:val="18"/>
        </w:rPr>
        <w:t xml:space="preserve">浙富控股(002266)_公司公告_浙富控股：关于持股5%以上股东及其一致行动人权益变动触及1%整数倍的公告新浪财经_新浪网 — https://vip.stock.finance.sina.com.cn/corp/view/vCB_AllBulletinDetail.php?id=12484186&amp;stockid=002266&amp;utm_source=openai</w:t>
      </w:r>
    </w:p>
    <w:p>
      <w:pPr>
        <w:spacing w:after="200"/>
      </w:pPr>
      <w:r>
        <w:rPr>
          <w:i/>
          <w:iCs/>
          <w:color w:val="595959"/>
          <w:sz w:val="18"/>
          <w:szCs w:val="18"/>
        </w:rPr>
        <w:t xml:space="preserve">浙富控股(002266)_公司公告_浙富控股：重大事项报告制度(2026年8月)新浪财经_新浪网 — https://money.finance.sina.com.cn/corp/view/vCB_AllBulletinDetail.php?id=12566404&amp;stockid=002266</w:t>
      </w:r>
    </w:p>
    <w:p>
      <w:pPr>
        <w:spacing w:after="200"/>
      </w:pPr>
      <w:r>
        <w:rPr>
          <w:i/>
          <w:iCs/>
          <w:color w:val="595959"/>
          <w:sz w:val="18"/>
          <w:szCs w:val="18"/>
        </w:rPr>
        <w:t xml:space="preserve">浙富控股(002266.SZ) 走勢圖 - Yahoo股市 — https://tw.stock.yahoo.com/quote/002266.SZ?utm_source=openai</w:t>
      </w:r>
    </w:p>
    <w:p>
      <w:pPr>
        <w:spacing w:after="200"/>
      </w:pPr>
      <w:r>
        <w:rPr>
          <w:i/>
          <w:iCs/>
          <w:color w:val="595959"/>
          <w:sz w:val="18"/>
          <w:szCs w:val="18"/>
        </w:rPr>
        <w:t xml:space="preserve">浙富控股(002266)股票行情走势技术分析_未来预测_买卖操作建议_英为财情Investing.com — https://cn.investing.com/equities/zhefu-holding-a-technical</w:t>
      </w:r>
    </w:p>
    <w:p>
      <w:pPr>
        <w:spacing w:after="200"/>
      </w:pPr>
      <w:r>
        <w:rPr>
          <w:i/>
          <w:iCs/>
          <w:color w:val="595959"/>
          <w:sz w:val="18"/>
          <w:szCs w:val="18"/>
        </w:rPr>
        <w:t xml:space="preserve">浙富控股(002266)股票历史数据:历史行情,价格,走势图表_英为财情Investing.com — https://cn.investing.com/equities/zhefu-holding-a-historical-data</w:t>
      </w:r>
    </w:p>
    <w:p>
      <w:pPr>
        <w:spacing w:after="200"/>
      </w:pPr>
      <w:r>
        <w:rPr>
          <w:i/>
          <w:iCs/>
          <w:color w:val="595959"/>
          <w:sz w:val="18"/>
          <w:szCs w:val="18"/>
        </w:rPr>
        <w:t xml:space="preserve">浙富控股(002266)个股分析_牛叉诊股_同花顺财经 — https://doctor.10jqka.com.cn/002266/</w:t>
      </w:r>
    </w:p>
    <w:p>
      <w:pPr>
        <w:spacing w:after="200"/>
      </w:pPr>
      <w:r>
        <w:rPr>
          <w:i/>
          <w:iCs/>
          <w:color w:val="595959"/>
          <w:sz w:val="18"/>
          <w:szCs w:val="18"/>
        </w:rPr>
        <w:t xml:space="preserve">浙富控股_ 个股日历 _ 东方财富网_ 数据频道 — https://data.eastmoney.com/stockcalendar/002266.html?utm_source=openai</w:t>
      </w:r>
    </w:p>
    <w:p>
      <w:pPr>
        <w:spacing w:after="200"/>
      </w:pPr>
      <w:r>
        <w:rPr>
          <w:i/>
          <w:iCs/>
          <w:color w:val="595959"/>
          <w:sz w:val="18"/>
          <w:szCs w:val="18"/>
        </w:rPr>
        <w:t xml:space="preserve">本报告由AI基于公开渠道信息自动检索、整理并生成，信息截至 截至2026年9月11日收盘；RSI、MACD等部分公开技术指标数据截至2026年9月9日，股东结构数据截至2026年6月30日，主力资金数据主要截至2026年9月3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2026-09-13T12:14:50.467Z</dcterms:created>
  <dcterms:modified xsi:type="dcterms:W3CDTF">2026-09-13T12:14:50.467Z</dcterms:modified>
</cp:coreProperties>
</file>

<file path=docProps/custom.xml><?xml version="1.0" encoding="utf-8"?>
<Properties xmlns="http://schemas.openxmlformats.org/officeDocument/2006/custom-properties" xmlns:vt="http://schemas.openxmlformats.org/officeDocument/2006/docPropsVTypes"/>
</file>