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格林美股份有限公司 (002340)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行业：资源循环利用与新能源电池材料</w:t>
      </w:r>
    </w:p>
    <w:p>
      <w:pPr>
        <w:jc w:val="center"/>
      </w:pPr>
      <w:r>
        <w:rPr>
          <w:color w:val="595959"/>
          <w:sz w:val="22"/>
          <w:szCs w:val="22"/>
        </w:rPr>
        <w:t xml:space="preserve">报告日期：2026年9月13日</w:t>
      </w:r>
    </w:p>
    <w:p>
      <w:pPr>
        <w:jc w:val="center"/>
      </w:pPr>
      <w:r>
        <w:rPr>
          <w:color w:val="595959"/>
          <w:sz w:val="20"/>
          <w:szCs w:val="20"/>
        </w:rPr>
        <w:t xml:space="preserve">截至2026年9月11日收盘；均线、MACD及RSI数据截至2026年9月11日06:50 GMT，股东结构数据截至2026年6月30日。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格林美2025年实现营业收入371.24亿元，同比增长11.8%；归母净利润15.80亿元，同比增长54.87%，盈利较2024年明显修复。但2026年上半年收入仅增长2.43%至179.87亿元，归母净利润增长34.68%至10.76亿元，而扣非归母净利润同比下降32.50%至4.79亿元，经营活动现金流净额同比下降58.02%至6.08亿元，显示表观利润增长与主营经营质量之间存在分化，是当前最具决策意义的事实。</w:t>
      </w:r>
    </w:p>
    <w:p>
      <w:pPr>
        <w:spacing w:after="160" w:line="300"/>
      </w:pPr>
      <w:r>
        <w:rPr>
          <w:sz w:val="22"/>
          <w:szCs w:val="22"/>
        </w:rPr>
        <w:t xml:space="preserve">公司核心竞争力在于“城市矿山开采＋新能源材料制造”闭环，覆盖镍、钴、锂、钨等关键金属回收、动力电池循环利用、三元前驱体及正极材料制造，并通过印尼镍资源项目和海外客户网络向资源端及国际市场延伸。2025年新能源电池材料收入199.62亿元、关键金属提取与回收收入129.34亿元；动力锂电池回收拆解量达52576吨，同比增长46%，高镍及高电压三元前驱体出货占比超过90%。</w:t>
      </w:r>
    </w:p>
    <w:p>
      <w:pPr>
        <w:spacing w:after="160" w:line="300"/>
      </w:pPr>
      <w:r>
        <w:rPr>
          <w:sz w:val="22"/>
          <w:szCs w:val="22"/>
        </w:rPr>
        <w:t xml:space="preserve">增长结构正在发生变化：2026年上半年关键金属回收与提取收入同比增长33.78%至约71.61亿元，动力电池回收收入同比增长8.70%至约9.42亿元，但新能源材料核心制造收入同比下降13.77%至约88.19亿元。后续业绩弹性主要取决于印尼镍项目稳定运营、高镍高电压材料放量、动力电池回收规模扩大，以及金属价格和产品售价之间的传导情况。</w:t>
      </w:r>
    </w:p>
    <w:p>
      <w:pPr>
        <w:spacing w:after="160" w:line="300"/>
      </w:pPr>
      <w:r>
        <w:rPr>
          <w:sz w:val="22"/>
          <w:szCs w:val="22"/>
        </w:rPr>
        <w:t xml:space="preserve">截至2026年9月11日，公司股价为6.24元，低于MA10、MA20、MA50、MA100及MA200，MACD处于负值，RSI为26.937并处于传统超卖区，短线技术面偏弱但存在技术性反弹条件。公司已累计回购股份约1549.62万股、金额1.05亿元，另拟出售欧科亿股份并向参股印尼项目GEN提供不超过5600万美元财务资助，相关事项可能改善资产流动性，但也带来非经常性收益、关联交易和资金敞口的不确定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002340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格林美</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关键金属资源循环利用、动力锂电池循环利用、新能源电池材料制造</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核心业务模式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“城市矿山开采＋新能源材料制造”</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主要研究依据</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格林美2025年年度报告、2024年年度报告及公司官网资料</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主要时间依据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截至2026年9月12日；2025年年度报告于2026年4月22日披露</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371.24亿元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2025年归属于母公司股东净利润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15.80亿元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资源储备性质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可循环资源处理能力、海外镍资源项目及原料供应合作网络，不等同于传统矿业公司的探明储量和可采储量</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关键金属提取与回收：从废旧电池、含镍钴工业废料、钨废料、电子废弃物、报废汽车等资源中提取镍、钴、锂、钨、铜、锰、锗、金、银、铂等20余种关键金属，并生产高纯原料、金属产品及粉体材料。主要产品包括镍钴中间品MHP、镍板、四氧化三钴、钴粉、钴片、仲钨酸铵APT、碳化钨粉、再生碳酸锂、铜、锗及稀贵金属等。公司披露的循环再生钴、镍、钨资源占中国原生开采量比例数据未经过本次研究逐项第三方交叉验证。</w:t>
      </w:r>
    </w:p>
    <w:p>
      <w:pPr>
        <w:pStyle w:val="ListParagraph"/>
        <w:numPr>
          <w:ilvl w:val="0"/>
          <w:numId w:val="2"/>
        </w:numPr>
        <w:spacing w:after="80" w:line="280"/>
      </w:pPr>
      <w:r>
        <w:rPr>
          <w:sz w:val="22"/>
          <w:szCs w:val="22"/>
        </w:rPr>
        <w:t xml:space="preserve">动力锂电池循环利用：覆盖退役动力电池回收、柔性拆解、镍钴锂锰等金属回收、磷铁石墨等低价值组分回收、梯次利用、电池材料原位再制造及再生材料进入新能源电池材料体系。2025年动力锂电池回收拆解量为52576吨，同比增长46%；公司称该规模超过中国社会报废动力电池量的10%，相关比例为公司披露口径。</w:t>
      </w:r>
    </w:p>
    <w:p>
      <w:pPr>
        <w:pStyle w:val="ListParagraph"/>
        <w:numPr>
          <w:ilvl w:val="0"/>
          <w:numId w:val="2"/>
        </w:numPr>
        <w:spacing w:after="80" w:line="280"/>
      </w:pPr>
      <w:r>
        <w:rPr>
          <w:sz w:val="22"/>
          <w:szCs w:val="22"/>
        </w:rPr>
        <w:t xml:space="preserve">新能源电池材料制造：主要生产三元前驱体、三元正极材料、四氧化三钴、再生碳酸锂、高镍低钴高电压前驱体，以及部分钠电、固态电池相关前驱体和正极材料。</w:t>
      </w:r>
    </w:p>
    <w:p>
      <w:pPr>
        <w:pStyle w:val="ListParagraph"/>
        <w:numPr>
          <w:ilvl w:val="0"/>
          <w:numId w:val="2"/>
        </w:numPr>
        <w:spacing w:after="80" w:line="280"/>
      </w:pPr>
      <w:r>
        <w:rPr>
          <w:sz w:val="22"/>
          <w:szCs w:val="22"/>
        </w:rPr>
        <w:t xml:space="preserve">2025年收入结构：新能源电池材料业务收入199.62亿元，占总收入53.77%；关键金属提取与回收业务收入129.34亿元，占34.85%；动力锂电池循环利用业务收入18.17亿元，占4.89%；贸易及其他业务收入24.10亿元，占6.49%。</w:t>
      </w:r>
    </w:p>
    <w:p>
      <w:pPr>
        <w:pStyle w:val="ListParagraph"/>
        <w:numPr>
          <w:ilvl w:val="0"/>
          <w:numId w:val="2"/>
        </w:numPr>
        <w:spacing w:after="80" w:line="280"/>
      </w:pPr>
      <w:r>
        <w:rPr>
          <w:sz w:val="22"/>
          <w:szCs w:val="22"/>
        </w:rPr>
        <w:t xml:space="preserve">2025年主要产品收入：三元前驱体115.02亿元，占总收入30.98%；四氧化三钴55.05亿元，占14.83%；正极材料29.55亿元，占7.96%；镍资源MHP、镍板73.29亿元，占19.74%；钴回收业务24.94亿元，占6.72%；钨资源回收利用24.38亿元，占6.57%；动力电池综合利用12.52亿元，占3.37%；报废汽车综合利用5.65亿元，占1.52%。</w:t>
      </w:r>
    </w:p>
    <w:p>
      <w:pPr>
        <w:pStyle w:val="ListParagraph"/>
        <w:numPr>
          <w:ilvl w:val="0"/>
          <w:numId w:val="2"/>
        </w:numPr>
        <w:spacing w:after="80" w:line="280"/>
      </w:pPr>
      <w:r>
        <w:rPr>
          <w:sz w:val="22"/>
          <w:szCs w:val="22"/>
        </w:rPr>
        <w:t xml:space="preserve">主要产业链：镍钴废料与红土镍矿→硫酸镍、硫酸钴等晶体→电积镍、钴金属→三元前驱体→三元正极材料→动力电池及消费电子电池→退役电池回收。</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格林美横跨废弃资源回收、湿法冶金和金属提取、新能源材料制造以及动力电池回收再制造等环节，既通过印尼MHP项目和回收业务向资源端延伸，也处于受客户议价和行业竞争影响的中游材料制造环节。</w:t>
      </w:r>
    </w:p>
    <w:p>
      <w:pPr>
        <w:pStyle w:val="ListParagraph"/>
        <w:numPr>
          <w:ilvl w:val="0"/>
          <w:numId w:val="2"/>
        </w:numPr>
        <w:spacing w:after="80" w:line="280"/>
      </w:pPr>
      <w:r>
        <w:rPr>
          <w:sz w:val="22"/>
          <w:szCs w:val="22"/>
        </w:rPr>
        <w:t xml:space="preserve">主要投入品包括废旧动力电池及电池极片废料、含镍钴锂钨工业废料、电子废弃物、报废汽车、印尼低品位红土镍矿，以及硫酸、盐酸、碱、萃取剂等湿法冶金辅助材料，电力、蒸汽、氧气和环保处理服务。</w:t>
      </w:r>
    </w:p>
    <w:p>
      <w:pPr>
        <w:pStyle w:val="ListParagraph"/>
        <w:numPr>
          <w:ilvl w:val="0"/>
          <w:numId w:val="2"/>
        </w:numPr>
        <w:spacing w:after="80" w:line="280"/>
      </w:pPr>
      <w:r>
        <w:rPr>
          <w:sz w:val="22"/>
          <w:szCs w:val="22"/>
        </w:rPr>
        <w:t xml:space="preserve">废旧电池和工业废料来源具有地域分散、来源复杂、价格波动和合规要求高等特点；随着正规回收企业扩产，电池黑粉、废旧电池和含钴镍废料的竞争可能加剧。</w:t>
      </w:r>
    </w:p>
    <w:p>
      <w:pPr>
        <w:pStyle w:val="ListParagraph"/>
        <w:numPr>
          <w:ilvl w:val="0"/>
          <w:numId w:val="2"/>
        </w:numPr>
        <w:spacing w:after="80" w:line="280"/>
      </w:pPr>
      <w:r>
        <w:rPr>
          <w:sz w:val="22"/>
          <w:szCs w:val="22"/>
        </w:rPr>
        <w:t xml:space="preserve">印尼红土镍矿项目受全球镍价、印尼矿业政策、矿石品位、能源价格及湿法冶金项目运营稳定性影响；镍、钴、锂等金属价格会影响产品售价、库存价值和利润。</w:t>
      </w:r>
    </w:p>
    <w:p>
      <w:pPr>
        <w:pStyle w:val="ListParagraph"/>
        <w:numPr>
          <w:ilvl w:val="0"/>
          <w:numId w:val="2"/>
        </w:numPr>
        <w:spacing w:after="80" w:line="280"/>
      </w:pPr>
      <w:r>
        <w:rPr>
          <w:sz w:val="22"/>
          <w:szCs w:val="22"/>
        </w:rPr>
        <w:t xml:space="preserve">公司截至2025年末预付款项45.25亿元，较期初增加73.01%，年报解释主要与经营规模扩大及主要原料价格上涨导致预付原料款增加有关。</w:t>
      </w:r>
    </w:p>
    <w:p>
      <w:pPr>
        <w:pStyle w:val="ListParagraph"/>
        <w:numPr>
          <w:ilvl w:val="0"/>
          <w:numId w:val="2"/>
        </w:numPr>
        <w:spacing w:after="80" w:line="280"/>
      </w:pPr>
      <w:r>
        <w:rPr>
          <w:sz w:val="22"/>
          <w:szCs w:val="22"/>
        </w:rPr>
        <w:t xml:space="preserve">公司在废弃资源处理工艺和规模方面具备一定竞争力，但对镍、钴、锂等大宗金属价格没有完全意义上的定价权，整体属于“部分资源整合能力＋部分价格接受者”的上游议价地位。</w:t>
      </w:r>
    </w:p>
    <w:p>
      <w:pPr>
        <w:pStyle w:val="ListParagraph"/>
        <w:numPr>
          <w:ilvl w:val="0"/>
          <w:numId w:val="2"/>
        </w:numPr>
        <w:spacing w:after="80" w:line="280"/>
      </w:pPr>
      <w:r>
        <w:rPr>
          <w:sz w:val="22"/>
          <w:szCs w:val="22"/>
        </w:rPr>
        <w:t xml:space="preserve">主要下游客户及合作对象包括宁德时代及其旗下邦普循环、比亚迪、亿纬锂能、三星SDI、LG新能源、SK On、ECOPRO、苹果产业链、松下、丰田，以及中国五矿、厦钨等材料企业。</w:t>
      </w:r>
    </w:p>
    <w:p>
      <w:pPr>
        <w:pStyle w:val="ListParagraph"/>
        <w:numPr>
          <w:ilvl w:val="0"/>
          <w:numId w:val="2"/>
        </w:numPr>
        <w:spacing w:after="80" w:line="280"/>
      </w:pPr>
      <w:r>
        <w:rPr>
          <w:sz w:val="22"/>
          <w:szCs w:val="22"/>
        </w:rPr>
        <w:t xml:space="preserve">公司2025年年报披露，已与全球1100余家车企和电池厂建立合作关系，并与CATL、BYD、EVE、丰田等形成定向循环合作关系；相关客户名单和合作关系可依据公司年报确认。</w:t>
      </w:r>
    </w:p>
    <w:p>
      <w:pPr>
        <w:pStyle w:val="ListParagraph"/>
        <w:numPr>
          <w:ilvl w:val="0"/>
          <w:numId w:val="2"/>
        </w:numPr>
        <w:spacing w:after="80" w:line="280"/>
      </w:pPr>
      <w:r>
        <w:rPr>
          <w:sz w:val="22"/>
          <w:szCs w:val="22"/>
        </w:rPr>
        <w:t xml:space="preserve">头部电池厂和汽车厂具有较强采购议价能力，可能通过长协、价格联动、年度降价、账期及质量赔偿条款压缩材料供应商利润；三元前驱体仍属于竞争充分、价格传导较快的中游材料环节。</w:t>
      </w:r>
    </w:p>
    <w:p>
      <w:pPr>
        <w:pStyle w:val="ListParagraph"/>
        <w:numPr>
          <w:ilvl w:val="0"/>
          <w:numId w:val="2"/>
        </w:numPr>
        <w:spacing w:after="80" w:line="280"/>
      </w:pPr>
      <w:r>
        <w:rPr>
          <w:sz w:val="22"/>
          <w:szCs w:val="22"/>
        </w:rPr>
        <w:t xml:space="preserve">高镍、高电压、核壳结构前驱体、四氧化三钴以及资源循环闭环能力具有客户认证和供应链稳定价值，格林美在高端产品及定向循环合作中的议价能力强于普通同质化前驱体供应商。</w:t>
      </w:r>
    </w:p>
    <w:p>
      <w:pPr>
        <w:pStyle w:val="ListParagraph"/>
        <w:numPr>
          <w:ilvl w:val="0"/>
          <w:numId w:val="2"/>
        </w:numPr>
        <w:spacing w:after="80" w:line="280"/>
      </w:pPr>
      <w:r>
        <w:rPr>
          <w:sz w:val="22"/>
          <w:szCs w:val="22"/>
        </w:rPr>
        <w:t xml:space="preserve">2025年境外收入128.10亿元，占总收入34.51%，较2024年增长63.22%；境内收入243.14亿元，占65.49%。海外业务扩张同时带来汇率、关税、跨境合规和海外项目运营风险。</w:t>
      </w:r>
    </w:p>
    <w:p>
      <w:pPr>
        <w:pStyle w:val="ListParagraph"/>
        <w:numPr>
          <w:ilvl w:val="0"/>
          <w:numId w:val="2"/>
        </w:numPr>
        <w:spacing w:after="80" w:line="280"/>
      </w:pPr>
      <w:r>
        <w:rPr>
          <w:sz w:val="22"/>
          <w:szCs w:val="22"/>
        </w:rPr>
        <w:t xml:space="preserve">截至2025年12月31日，应收账款49.83亿元、存货100.43亿元、预付款项45.25亿元、应付账款29.88亿元、应付票据52.84亿元、合同负债7.41亿元。按2025年营业收入371.24亿元的年末余额简单计算，应收账款/营业收入约13.4%、存货/营业收入约27.0%、预付款项/营业收入约12.2%、应付账款/营业收入约8.0%。应收账款由2024年末69.72亿元降至2025年末49.83亿元，预付款项由26.16亿元升至45.25亿元，存货由87.73亿元升至100.43亿元，显示下游回款有所改善，但上游采购和库存占用明显上升。该判断基于年末资产负债表静态数据，未使用应收账款周转天数等管理层口径指标，不等同于完整的客户议价能力结论。</w:t>
      </w:r>
    </w:p>
    <w:p>
      <w:pPr>
        <w:pStyle w:val="ListParagraph"/>
        <w:numPr>
          <w:ilvl w:val="0"/>
          <w:numId w:val="2"/>
        </w:numPr>
        <w:spacing w:after="80" w:line="280"/>
      </w:pPr>
      <w:r>
        <w:rPr>
          <w:sz w:val="22"/>
          <w:szCs w:val="22"/>
        </w:rPr>
        <w:t xml:space="preserve">本次检索未能从格林美2025年年报文本中直接提取并交叉核实前五大客户销售额占比和前五大供应商采购额占比，因此不采用网络转载页面中的残缺比例；具体集中度应以公司2025年年报原始表格及后续监管披露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约17.22%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约5.95%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新能源材料需求快速增长，镍钴锂价格处于较高水平，前驱体及资源回收业务景气度较好，但公司仍处于产能和海外项目投入期。数据来自公开财务数据，计算口径可能与年报存在差异。</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约14.54%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约5.1%左右</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原材料价格和产品售价均处于高位，收入规模扩大，但成本上涨、金属价格波动及扩产投入压制毛利率。数据来自公开财务数据，计算口径可能与年报存在差异。</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约3%左右</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镍、钴、锂等金属价格下跌，产品价格向下传导，前期高价原料库存消化存在滞后；前驱体产能扩张和竞争加剧使产品价格及利润率承压。数据来自公开财务数据，计算口径可能与年报存在差异。</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15.29%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四氧化三钴、前驱体、高镍材料及资源循环业务修复，产品结构改善，同时公司控制低效产能并强化成本管理；综合毛利率数据由公司2024年年报明确披露，净利率为公开财务数据口径。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约14.70%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约4.26%（按归母净利润计算）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按营业收入371.24亿元和营业成本316.63亿元计算综合毛利率，按归母净利润15.80亿元计算归母净利率。镍资源和四氧化三钴业务增长较快、海外镍资源项目全面达产，但三元前驱体收入同比下降，且仍处于海外项目和新材料产能建设阶段。</w:t>
            </w:r>
          </w:p>
        </w:tc>
      </w:tr>
    </w:tbl>
    <w:p>
      <w:pPr>
        <w:spacing w:before="200"/>
      </w:pPr>
    </w:p>
    <w:p>
      <w:pPr>
        <w:spacing w:after="160" w:line="300"/>
      </w:pPr>
      <w:r>
        <w:rPr>
          <w:sz w:val="22"/>
          <w:szCs w:val="22"/>
        </w:rPr>
        <w:t xml:space="preserve">格林美处于“资源回收与冶炼能力较强、中游材料制造规模较大、下游客户认证壁垒较高”的复合位置：相较传统废料处理环节具备更高技术和资源整合附加值，但三元前驱体等中游业务仍受客户压价和行业竞争影响。公司并非单纯依靠品牌溢价，而是依靠资源循环、工艺技术、规模化制造、客户认证和产业链一体化维持盈利；未来利润改善主要取决于印尼镍资源项目稳定达产、高镍高电压材料占比提升、动力电池回收量增长、低价值组分回收经济性改善，以及原料价格与产品售价之间的顺畅传导。</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332.00亿元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10.20亿元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371.24亿元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15.80亿元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54.87%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179.87亿元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2.43%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10.76亿元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34.68%</w:t>
            </w:r>
          </w:p>
        </w:tc>
      </w:tr>
    </w:tbl>
    <w:p>
      <w:pPr>
        <w:spacing w:after="200"/>
      </w:pPr>
      <w:r>
        <w:rPr>
          <w:i/>
          <w:iCs/>
          <w:color w:val="595959"/>
          <w:sz w:val="18"/>
          <w:szCs w:val="18"/>
        </w:rPr>
        <w:t xml:space="preserve">截至2026年9月12日，最新定期财报为2026年半年度报告，公告日期为2026年8月29日。2026年上半年扣除非经常性损益的归母净利润为4.79亿元，同比下降32.50%；基本每股收益为0.21元，同比增长31.25%。</w:t>
      </w:r>
    </w:p>
    <w:p>
      <w:pPr>
        <w:spacing w:after="160" w:line="300"/>
      </w:pPr>
      <w:r>
        <w:rPr>
          <w:sz w:val="22"/>
          <w:szCs w:val="22"/>
        </w:rPr>
        <w:t xml:space="preserve">公司2026年上半年呈现收入低速增长、归母净利润较快增长、扣非利润承压的特征。归母净利润增速明显高于收入增速，但扣非归母净利润同比下降，显示利润质量存在分化，归母净利润增长部分受到非经常性收益影响。2026年上半年经营活动产生的现金流量净额为6.08亿元，同比下降58.02%；期末归属于上市公司股东的净资产约216.46亿元，较2025年末增长1.23%。业务方面，关键金属回收与提取收入约71.61亿元，同比增长33.78%；动力锂电池回收收入约9.42亿元，同比增长8.70%；新能源材料核心制造收入约88.19亿元，同比下降13.77%。</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截至2026年9月11日，近6个月内共有6家机构对公司2026年业绩进行预测。上述预测来自机构研报摘录，并非公司业绩承诺，也不是交易所披露数据。不同机构预测差异较大，华鑫证券预测明显高于西部证券、中银证券、华泰证券和湘财证券。2026年公司销售收入目标为480亿元以上，2027年为600亿元以上，2028年为700亿元以上。</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平均预测约534.44亿元；但机构明细展示不完整，不建议作为严格一致预期使用</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平均约19.91亿元，预测区间19.01亿至23.14亿元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平均约0.39元，预测区间0.37至0.45元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机构平均预测未明确披露；湘财证券约627亿元，华鑫证券637.87亿元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平均约28.29亿元，预测区间25.81亿至35.30亿元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平均约0.56元，预测区间0.51至0.69元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机构平均预测未明确披露；湘财证券约734亿元，华鑫证券792.58亿元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平均约38.43亿元，预测区间35.83亿至45.02亿元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平均约0.75元，预测区间0.70至0.88元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2026—2028年归母净利润预测分别为19.11亿元、26.07亿元、36.08亿元；EPS分别为0.37元、0.51元、0.71元。未见明确目标价披露。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2026年8月31日或2026年9月1日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2026—2028年归母净利润预测分别为19.42亿元、27.32亿元、37.13亿元；EPS分别为0.38元、0.54元、0.73元。以2027年预测市盈率12.7倍估值，目标价6.86元。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湘财证券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2026—2028年归母净利润预测约为19.06亿元、25.81亿元、35.83亿元；EPS约为0.37元、0.51元、0.70元。营业收入预测约为529亿元、627亿元和734亿元。公开摘要未明确显示目标价。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2026年5月12日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2026—2028年营业收入预测分别为503.92亿元、637.87亿元和792.58亿元；归母净利润预测分别为23.14亿元、35.30亿元和45.02亿元；EPS分别为0.45元、0.69元和0.88元。未确认明确目标价。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2026—2028年归母净利润预测分别为19.70亿元、28.92亿元、38.09亿元；EPS分别为0.39元、0.57元、0.75元。评级和目标价未披露。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同花顺机构评级汇总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以增持为主，包含1家买入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另一页面汇总显示，近6个月3家机构对公司2026年目标价预测区间为6.86元至9.80元，平均约8.33元；样本数量较少，统计口径和更新时间可能不同。</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海外分析师平台</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12个月平均目标价约6.42元，最高7.80元，最低5.00元。</w:t>
            </w:r>
          </w:p>
        </w:tc>
      </w:tr>
    </w:tbl>
    <w:p>
      <w:pPr>
        <w:spacing w:before="200"/>
      </w:pPr>
    </w:p>
    <w:p>
      <w:pPr>
        <w:spacing w:after="160" w:line="300"/>
      </w:pPr>
      <w:r>
        <w:rPr>
          <w:sz w:val="22"/>
          <w:szCs w:val="22"/>
        </w:rPr>
        <w:t xml:space="preserve">截至2026年9月11日收盘，公司股价约6.24元，总市值约318.4亿元，市净率约1.47倍。不同平台市盈率口径存在差异：财报帮滚动市盈率约15.03倍，理杏仁市盈率约17.42倍、市净率约1.53倍，中财网市盈率约17.03倍、扣非市盈率约27.86倍、市净率约1.27倍。综合来看，当前静态或滚动PE大致处于15至17倍区间，扣非PE约28倍，估值对非经常性收益较为敏感。按同花顺机构盈利预测中枢估算，2026—2028年EPS约为0.39元、0.56元和0.75元，对应预测PE约16.0倍、11.1倍和8.3倍；按中银证券EPS预测，对应PE约16.9倍、12.2倍和8.8倍。公司估值并不昂贵，但估值水平建立在未来利润持续修复和增长兑现的基础上。主要不确定性包括扣非利润能否恢复、印尼镍项目原料成本和产能利用率改善情况、关键金属回收及动力电池回收业务放量，以及非经常性收益对全年利润的影响。目标价方面，华泰证券最新目标价6.86元，较6.24元收盘价上行空间有限；同花顺汇总机构目标价平均约8.33元，海外平台平均目标价约6.42元，各口径差异较大，不宜使用单一平均值作出估值结论。</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回购股份累计金额已超过计划下限</w:t>
      </w:r>
    </w:p>
    <w:p>
      <w:pPr>
        <w:spacing w:after="160" w:line="300"/>
      </w:pPr>
      <w:r>
        <w:rPr>
          <w:sz w:val="22"/>
          <w:szCs w:val="22"/>
        </w:rPr>
        <w:t xml:space="preserve">格林美于2026年7月16日审议通过股份回购方案，计划使用自有资金或自筹资金回购股份，金额不低于1亿元、不超过1.6亿元，回购价格不超过10.60元/股，回购股份拟用于股权激励或员工持股计划，实施期限为董事会审议通过之日起12个月。截至2026年8月31日，公司累计回购15,496,194股，占目前总股本约0.30%；最高成交价6.90元/股，最低成交价6.60元/股，成交总金额105,037,309.50元，不含交易费用。累计回购金额已超过资金下限1亿元，但尚未达到1.6亿元上限。由于回购股份拟用于股权激励或员工持股计划，并非直接注销，对总股本的长期改善效果不同于注销式回购，后续需关注回购是否继续接近上限及股份具体用途。</w:t>
      </w:r>
    </w:p>
    <w:p>
      <w:pPr>
        <w:pStyle w:val="Heading2"/>
        <w:spacing w:after="120" w:before="240"/>
      </w:pPr>
      <w:r>
        <w:rPr>
          <w:b/>
          <w:bCs/>
          <w:color w:val="2E74B5"/>
          <w:sz w:val="24"/>
          <w:szCs w:val="24"/>
        </w:rPr>
        <w:t xml:space="preserve">4.2 拟继续出售欧科亿股份，交易金额及收益尚不确定</w:t>
      </w:r>
    </w:p>
    <w:p>
      <w:pPr>
        <w:spacing w:after="160" w:line="300"/>
      </w:pPr>
      <w:r>
        <w:rPr>
          <w:sz w:val="22"/>
          <w:szCs w:val="22"/>
        </w:rPr>
        <w:t xml:space="preserve">2026年9月1日，格林美披露拟继续出售株洲欧科亿数控精密刀具股份有限公司（688308）股份不超过7,790,507股，占欧科亿总股本不超过4.91%。此前公司已于2026年6月通过询价转让方式出售欧科亿股份8,732,993股，成交金额842,297,174.85元，不含交易费用。本次出售主要用于优化资产结构、提高资产流动性和资金使用效率，并满足未来发展资金需求。由于二级市场价格和实际出售数量存在不确定性，公司尚不能确定交易金额及最终利润；该事项不构成关联交易或重大资产重组，仍需提交2026年第二次临时股东会审议。该事项属于格林美处置所持其他上市公司股票，不属于控股股东减持格林美股份。</w:t>
      </w:r>
    </w:p>
    <w:p>
      <w:pPr>
        <w:pStyle w:val="Heading2"/>
        <w:spacing w:after="120" w:before="240"/>
      </w:pPr>
      <w:r>
        <w:rPr>
          <w:b/>
          <w:bCs/>
          <w:color w:val="2E74B5"/>
          <w:sz w:val="24"/>
          <w:szCs w:val="24"/>
        </w:rPr>
        <w:t xml:space="preserve">4.3 拟向参股公司GEN提供不超过5,600万美元财务资助</w:t>
      </w:r>
    </w:p>
    <w:p>
      <w:pPr>
        <w:spacing w:after="160" w:line="300"/>
      </w:pPr>
      <w:r>
        <w:rPr>
          <w:sz w:val="22"/>
          <w:szCs w:val="22"/>
        </w:rPr>
        <w:t xml:space="preserve">格林美间接持有印度尼西亚PT GREEN ECO NICKEL（GEN）29%的股权。由于GEN不再纳入公司合并报表，公司此前对GEN的经营性借款被动形成财务资助，金额为5,600万美元。格林美子公司GEM HK、NEW HORIZON拟按照持股比例继续向GEN提供合计不超过5,600万美元借款，期限自实际借款日起不超过3年，年利率不低于5.5%，按年结算利息，借款期满一次性还本付息，额度在授权期限内可循环使用。该事项属于关联交易，已获独立董事专门会议审查同意，并将提交2026年第二次临时股东会审议。该安排可支持参股印尼镍项目资金需求并形成利息收入，但也增加了公司对合并报表外参股公司的资金敞口，需关注GEN经营现金流、项目盈利能力、镍价波动及资金回收情况。</w:t>
      </w:r>
    </w:p>
    <w:p>
      <w:pPr>
        <w:pStyle w:val="Heading2"/>
        <w:spacing w:after="120" w:before="240"/>
      </w:pPr>
      <w:r>
        <w:rPr>
          <w:b/>
          <w:bCs/>
          <w:color w:val="2E74B5"/>
          <w:sz w:val="24"/>
          <w:szCs w:val="24"/>
        </w:rPr>
        <w:t xml:space="preserve">4.4 新增2026年度与GEN日常关联交易预计额度14亿元</w:t>
      </w:r>
    </w:p>
    <w:p>
      <w:pPr>
        <w:spacing w:after="160" w:line="300"/>
      </w:pPr>
      <w:r>
        <w:rPr>
          <w:sz w:val="22"/>
          <w:szCs w:val="22"/>
        </w:rPr>
        <w:t xml:space="preserve">2026年9月1日，格林美披露因经营发展和集中采购需要，拟新增向关联方GEN销售硫磺、硫酸、氧化镁等原辅料的2026年度日常关联交易预计额度140,000万元，即14亿元。GEN原有2026年度向格林美采购MHP的预计额度为220,000万元，截至公告披露日已发生23,318.08万元。新增销售原辅料额度后，双方2026年度关联交易预计总额度为360,000万元，即36亿元。交易价格将参考市场价格并由双方协商确定，按实际数量和金额结算。该议案需提交2026年第二次临时股东会审议，关联股东需回避表决。预计额度不等于实际收入或利润，后续需关注定价公允性、实际发生金额、应收账款及资金结算情况。</w:t>
      </w:r>
    </w:p>
    <w:p>
      <w:pPr>
        <w:pStyle w:val="Heading2"/>
        <w:spacing w:after="120" w:before="240"/>
      </w:pPr>
      <w:r>
        <w:rPr>
          <w:b/>
          <w:bCs/>
          <w:color w:val="2E74B5"/>
          <w:sz w:val="24"/>
          <w:szCs w:val="24"/>
        </w:rPr>
        <w:t xml:space="preserve">4.5 独立董事补选及中证中小投资者服务中心公开征集表决权</w:t>
      </w:r>
    </w:p>
    <w:p>
      <w:pPr>
        <w:spacing w:after="160" w:line="300"/>
      </w:pPr>
      <w:r>
        <w:rPr>
          <w:sz w:val="22"/>
          <w:szCs w:val="22"/>
        </w:rPr>
        <w:t xml:space="preserve">格林美于2026年9月1日公告独立董事任期届满辞职及补选事项，拟补选夏洪应先生为第七届董事会独立董事。2026年9月2日，中证中小投资者服务中心公开提名夏洪应为独立董事候选人，并向全体股东公开征集表决权，征集时间为2026年9月2日至9月15日17:00。公司拟于2026年9月18日召开2026年第二次临时股东会，审议独立董事补选、欧科亿股票资产出售、向参股公司提供财务资助暨关联交易、新增2026年度日常关联交易预计、修订公司章程及修订H股发行并上市后适用的公司章程草案等议案。截至2026年9月12日，尚未见股东会最终表决结果。</w:t>
      </w:r>
    </w:p>
    <w:p>
      <w:pPr>
        <w:pStyle w:val="Heading2"/>
        <w:spacing w:after="120" w:before="240"/>
      </w:pPr>
      <w:r>
        <w:rPr>
          <w:b/>
          <w:bCs/>
          <w:color w:val="2E74B5"/>
          <w:sz w:val="24"/>
          <w:szCs w:val="24"/>
        </w:rPr>
        <w:t xml:space="preserve">4.6 2026年半年度业绩披露，暂未发布三季度或全年业绩预告</w:t>
      </w:r>
    </w:p>
    <w:p>
      <w:pPr>
        <w:spacing w:after="160" w:line="300"/>
      </w:pPr>
      <w:r>
        <w:rPr>
          <w:sz w:val="22"/>
          <w:szCs w:val="22"/>
        </w:rPr>
        <w:t xml:space="preserve">截至2026年9月12日，未检索到格林美针对2026年第三季度或全年发布新的正式业绩预告、业绩快报或明确的盈利预增、预减公告。公司最新正式业绩文件为2026年8月29日披露的半年度报告：2026年上半年归属于上市公司股东的净利润为10.76亿元，同比增长34.68%；营业收入约179.87亿元，同比增长2.43%。半年度报告显示，公司上半年海外镍项目受到阶段性减产、年度停产检修及硫磺供应紧张等因素影响，镍资源业务仍存在经营波动。上述数据属于半年度正式财务数据，不是业绩预告或市场预测。</w:t>
      </w:r>
    </w:p>
    <w:p>
      <w:pPr>
        <w:pStyle w:val="Heading2"/>
        <w:spacing w:after="120" w:before="240"/>
      </w:pPr>
      <w:r>
        <w:rPr>
          <w:b/>
          <w:bCs/>
          <w:color w:val="2E74B5"/>
          <w:sz w:val="24"/>
          <w:szCs w:val="24"/>
        </w:rPr>
        <w:t xml:space="preserve">4.7 控股股东质押股份全部解除</w:t>
      </w:r>
    </w:p>
    <w:p>
      <w:pPr>
        <w:spacing w:after="160" w:line="300"/>
      </w:pPr>
      <w:r>
        <w:rPr>
          <w:sz w:val="22"/>
          <w:szCs w:val="22"/>
        </w:rPr>
        <w:t xml:space="preserve">格林美于2026年7月31日披露控股股东质押股份全部解除质押。公开交易提示显示，控股股东深圳市汇丰源投资有限公司于2026年7月29日解除质押2,885万股，占公司总股本约0.57%，占其持股比例约6.67%。截至2026年9月12日，检索到的近期公告中未发现控股股东在2026年9月进一步新增质押或大规模减持的公告。</w:t>
      </w:r>
    </w:p>
    <w:p>
      <w:pPr>
        <w:pStyle w:val="Heading2"/>
        <w:spacing w:after="120" w:before="240"/>
      </w:pPr>
      <w:r>
        <w:rPr>
          <w:b/>
          <w:bCs/>
          <w:color w:val="2E74B5"/>
          <w:sz w:val="24"/>
          <w:szCs w:val="24"/>
        </w:rPr>
        <w:t xml:space="preserve">4.8 监管及动力电池回收政策动态</w:t>
      </w:r>
    </w:p>
    <w:p>
      <w:pPr>
        <w:spacing w:after="160" w:line="300"/>
      </w:pPr>
      <w:r>
        <w:rPr>
          <w:sz w:val="22"/>
          <w:szCs w:val="22"/>
        </w:rPr>
        <w:t xml:space="preserve">截至2026年9月12日，未检索到格林美在2026年9月被监管部门处罚、立案调查、收到重大问询函或被采取其他重大监管措施的可靠公告。《新能源汽车废旧动力电池回收和综合利用管理暂行办法》已于2026年4月1日起实施。公司年度报告认为，该政策将推动动力电池回收企业在技术、环保、安全和追溯能力方面升级，非规范回收企业面临进一步淘汰，政策总体有利于具备规模、技术和合规资质的企业。政策对公司业绩的实际影响仍取决于回收渠道、废旧电池价格、金属价格和行业产能利用率。</w:t>
      </w:r>
    </w:p>
    <w:p>
      <w:pPr>
        <w:pStyle w:val="Heading2"/>
        <w:spacing w:after="120" w:before="240"/>
      </w:pPr>
      <w:r>
        <w:rPr>
          <w:b/>
          <w:bCs/>
          <w:color w:val="2E74B5"/>
          <w:sz w:val="24"/>
          <w:szCs w:val="24"/>
        </w:rPr>
        <w:t xml:space="preserve">4.9 投资者关系活动涉及固态电池技术进展</w:t>
      </w:r>
    </w:p>
    <w:p>
      <w:pPr>
        <w:spacing w:after="160" w:line="300"/>
      </w:pPr>
      <w:r>
        <w:rPr>
          <w:sz w:val="22"/>
          <w:szCs w:val="22"/>
        </w:rPr>
        <w:t xml:space="preserve">格林美于2026年9月4日披露投资者关系活动记录表，内容涉及固态电池技术进展、实验室合作等问题。公司同时提示，实际生产经营受原料保障、外部环境等多重因素影响，产出情况存在不确定性，相关数据应以公司后续正式公告为准。该类投资者交流内容不等同于正式订单、产能投产公告或业绩承诺，不应直接作为业绩预测依据。</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002340，格林美</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6.24元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-0.10元/-1.58%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6.30元/6.30元/6.18元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约4.22亿元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约679,132手；部分行情源显示约59.83百万股，成交量口径存在差异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约318.39亿元/约316.74亿元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最近交易周走势</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9月7日至9月11日累计下跌约2.65%，收盘价由6.41元降至6.24元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52周高点10.18元、低点6.15元；数据来自Investing.com等第三方行情页面，暂未通过交易所原始历史行情完成二次核验</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6.22元；指数移动平均约6.24元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收盘价略高于标准MA5，短线存在弱反弹可能，但不足以改变中期趋势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收盘价低于MA10，标准及指数移动平均技术信号均为卖出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6.35元；指数移动平均约6.32元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收盘价低于MA20，标准移动平均技术信号为卖出；6.35元附近可作为短线修复观察位置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MA50为6.41元、MA100为6.48元、MA200为6.58元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收盘价均低于中长期均线，整体仍属于中短期均线空头排列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约-0.05，技术信号为卖出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处于负值区域，短期动能偏弱；由于缺少完整DIF、DEA及柱体变化数据，无法确认底背离或金叉</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26.937，技术信号为卖出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低于30，处于传统意义上的超卖区域，技术性反弹条件有所增加，但超卖不等同于趋势反转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上轨、中轨、下轨具体数值缺失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本次资料未披露截至2026年9月11日收盘的可靠布林带完整数据；MA20约6.35元只能作为近似参考，不能等同于布林带中轨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近3日主力资金净流入约-1.29亿元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短期资金面偏空；该指标为平台按大单成交口径加工的数据，不等同于交易所披露的真实机构净买卖额</w:t>
            </w:r>
          </w:p>
        </w:tc>
      </w:tr>
    </w:tbl>
    <w:p>
      <w:pPr>
        <w:spacing w:before="200"/>
      </w:pPr>
    </w:p>
    <w:p>
      <w:pPr>
        <w:spacing w:after="160" w:line="300"/>
      </w:pPr>
      <w:r>
        <w:rPr>
          <w:sz w:val="22"/>
          <w:szCs w:val="22"/>
        </w:rPr>
        <w:t xml:space="preserve">格林美截至2026年9月11日收盘价为6.24元，已接近第三方行情数据披露的52周低点6.15元。最近一个交易周股价连续偏弱，9月11日成交额升至4.22亿元并伴随股价下跌，呈现一定的放量调整特征。技术指标方面，收盘价仅略高于MA5，但低于MA10、MA20、MA50、MA100及MA200，均线系统整体偏空；MACD为负，RSI(14)低于30，显示短线超卖但尚未形成趋势反转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6.26~6.35元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6.26~6.28元对应近期枢轴及短线反弹压力，6.32~6.35元对应MA20附近及近期下跌后的密集成交区域；若有效站上6.35元，才可能进一步向6.40~6.48元一带的MA50、MA100区域修复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6.18~6.21元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对应9月11日盘中低点6.18元及Investing.com枢轴支撑区域；若获得承接，股价可能在6.18~6.35元之间形成短线震荡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6.15~6.18元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6.15元为第三方行情数据披露的52周低点；若有效跌破6.15元，意味着52周低点失守，技术上可能打开向更低价格区间寻找支撑的路径</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低位震荡整理（主观启发式权重相对较高，约五成至六成；并非统计概率）：价格区间约6.18~6.35元。触发条件为股价守住6.18~6.21元支撑，成交额维持约3亿~4亿元，且未出现行业板块明显走弱或新增负面消息。RSI(14)处于超卖区，但MACD仍为负、均线系统仍偏空，因此技术上更接近弱势震荡观察，而非趋势反转确认。</w:t>
      </w:r>
    </w:p>
    <w:p>
      <w:pPr>
        <w:pStyle w:val="ListParagraph"/>
        <w:numPr>
          <w:ilvl w:val="0"/>
          <w:numId w:val="2"/>
        </w:numPr>
        <w:spacing w:after="80" w:line="280"/>
      </w:pPr>
      <w:r>
        <w:rPr>
          <w:sz w:val="22"/>
          <w:szCs w:val="22"/>
        </w:rPr>
        <w:t xml:space="preserve">偏弱下行（主观启发式权重中等；并非统计概率）：价格区间约6.15~6.22元，极端情况下下破52周低点。触发条件为股价放量跌破6.18元并进一步跌破6.15元，同时主力资金继续净流出，成交额明显高于近期正常水平但价格收跌。若6.15元失守，短线支撑结构被破坏；由于资料没有更低的近期有效支撑数据，不给出未经核实的下方目标价。</w:t>
      </w:r>
    </w:p>
    <w:p>
      <w:pPr>
        <w:pStyle w:val="ListParagraph"/>
        <w:numPr>
          <w:ilvl w:val="0"/>
          <w:numId w:val="2"/>
        </w:numPr>
        <w:spacing w:after="80" w:line="280"/>
      </w:pPr>
      <w:r>
        <w:rPr>
          <w:sz w:val="22"/>
          <w:szCs w:val="22"/>
        </w:rPr>
        <w:t xml:space="preserve">技术性反弹走强（主观启发式权重偏低至中等；并非统计概率）：价格区间约6.30~6.45元。触发条件为股价重新站上6.28元并放量突破6.35元，单日成交额明显高于近期3亿~3.5亿元常态区间，且新能源材料、资源循环或电池材料板块同步走强。站上MA20附近6.35元可视为短线止跌修复的初步确认；若进一步突破6.40~6.45元，才有机会向MA50附近继续反弹，但缺乏成交量配合时仍需关注冲高回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换手率约0.92%~1.34%，成交额约3.0亿~4.22亿元；9月11日成交额4.22亿元、换手率1.34%，但股价下跌1.58%。截至2026年9月11日，近3日主力资金净流向约-1.29亿元。股东结构方面，公司截至2026年6月30日股东总数为431,896户，前十大股东合计持股约14.51%；前十大股东中包括香港中央结算、嘉实中证稀土产业ETF、广发国证新能源车电池ETF、汇添富中证电池主题ETF、国有投资公司及私募基金，但持仓较为分散，不能据此确认机构资金形成一致性控盘。上述股东数据存在季度披露滞后，结构可能已在报告期后发生变化。同花顺截至2026年7月16日的辅助数据还显示前十大流通股东持有约7.31亿股、占流通盘14.38%，并提示主力控盘度较低，但其基金、社保、信托、QFII持仓提示与公司半年报披露存在口径或更新时间差异，因此以公司2026年半年度报告明细为主。综合来看，格林美并非极低流动性小盘股，但股东数量较多、前十大股东合计持股比例不高、筹码较为分散，短线反弹对增量资金依赖较高；成交额不足时，价格可能出现反弹持续性不足、冲高回落或盘口承接偏弱。</w:t>
      </w:r>
    </w:p>
    <w:p>
      <w:pPr>
        <w:spacing w:after="160" w:line="300"/>
      </w:pPr>
      <w:r>
        <w:rPr>
          <w:sz w:val="22"/>
          <w:szCs w:val="22"/>
        </w:rPr>
        <w:t xml:space="preserve">可观察的量能确认信号是：若后续单日成交额连续放大至约5亿元以上，同时收盘价能够站上6.35元，可视为资金介入和短线趋势修复的相对明确确认；若成交额放大但股价继续跌破6.18元，则更接近放量出逃或风险释放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观察6.18~6.21元支撑区是否有效，并关注6.15元附近52周低点能否守住；以上为观察思路，非操作指令。</w:t>
      </w:r>
    </w:p>
    <w:p>
      <w:pPr>
        <w:pStyle w:val="ListParagraph"/>
        <w:numPr>
          <w:ilvl w:val="0"/>
          <w:numId w:val="2"/>
        </w:numPr>
        <w:spacing w:after="80" w:line="280"/>
      </w:pPr>
      <w:r>
        <w:rPr>
          <w:sz w:val="22"/>
          <w:szCs w:val="22"/>
        </w:rPr>
        <w:t xml:space="preserve">观察6.28元和6.35元能否被收盘价重新站上；以上为观察思路，非操作指令。</w:t>
      </w:r>
    </w:p>
    <w:p>
      <w:pPr>
        <w:pStyle w:val="ListParagraph"/>
        <w:numPr>
          <w:ilvl w:val="0"/>
          <w:numId w:val="2"/>
        </w:numPr>
        <w:spacing w:after="80" w:line="280"/>
      </w:pPr>
      <w:r>
        <w:rPr>
          <w:sz w:val="22"/>
          <w:szCs w:val="22"/>
        </w:rPr>
        <w:t xml:space="preserve">观察成交额能否连续放大至约5亿元以上，并与股价上涨同步；以上为观察思路，非操作指令。</w:t>
      </w:r>
    </w:p>
    <w:p>
      <w:pPr>
        <w:pStyle w:val="ListParagraph"/>
        <w:numPr>
          <w:ilvl w:val="0"/>
          <w:numId w:val="2"/>
        </w:numPr>
        <w:spacing w:after="80" w:line="280"/>
      </w:pPr>
      <w:r>
        <w:rPr>
          <w:sz w:val="22"/>
          <w:szCs w:val="22"/>
        </w:rPr>
        <w:t xml:space="preserve">观察主力资金净流出是否收窄，以及新能源材料及电池板块是否出现同步修复；以上为观察思路，非操作指令。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格林美同时横跨关键金属资源循环利用、动力电池回收和新能源电池材料三个行业，核心竞争模式由资源获取、回收合规、湿法冶金、材料制造、客户认证及产业链闭环共同构成。</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三元前驱体行业产能规模较大、竞争较为激烈，产品价格与镍、钴、锰原料价格高度相关；高镍、高电压、低钴、核壳结构产品具有更高技术和质量要求，但行业仍处于中游材料制造环节，价格传导较快。</w:t>
      </w:r>
    </w:p>
    <w:p>
      <w:pPr>
        <w:pStyle w:val="ListParagraph"/>
        <w:numPr>
          <w:ilvl w:val="0"/>
          <w:numId w:val="2"/>
        </w:numPr>
        <w:spacing w:after="80" w:line="280"/>
      </w:pPr>
      <w:r>
        <w:rPr>
          <w:sz w:val="22"/>
          <w:szCs w:val="22"/>
        </w:rPr>
        <w:t xml:space="preserve">2025年格林美三元前驱体出货量149790吨，其中高镍及高电压产品占比超过90%；公司在高镍、超高镍、高电压及核壳结构产品方面具有一定技术特色。</w:t>
      </w:r>
    </w:p>
    <w:p>
      <w:pPr>
        <w:pStyle w:val="ListParagraph"/>
        <w:numPr>
          <w:ilvl w:val="0"/>
          <w:numId w:val="2"/>
        </w:numPr>
        <w:spacing w:after="80" w:line="280"/>
      </w:pPr>
      <w:r>
        <w:rPr>
          <w:sz w:val="22"/>
          <w:szCs w:val="22"/>
        </w:rPr>
        <w:t xml:space="preserve">动力电池回收行业处于由无序竞争向合规化、规模化和产业链闭环转型阶段，竞争主体包括专业回收企业、动力电池企业及其回收子公司、新能源汽车企业、锂电材料和矿产企业、地方国资及资源循环平台。</w:t>
      </w:r>
    </w:p>
    <w:p>
      <w:pPr>
        <w:pStyle w:val="ListParagraph"/>
        <w:numPr>
          <w:ilvl w:val="0"/>
          <w:numId w:val="2"/>
        </w:numPr>
        <w:spacing w:after="80" w:line="280"/>
      </w:pPr>
      <w:r>
        <w:rPr>
          <w:sz w:val="22"/>
          <w:szCs w:val="22"/>
        </w:rPr>
        <w:t xml:space="preserve">格林美截至2025年末在中国建成6个动力锂电池回收工厂，相关工厂全部列入工信部白名单，并在韩国、印尼设立动力电池回收合资工厂。</w:t>
      </w:r>
    </w:p>
    <w:p>
      <w:pPr>
        <w:pStyle w:val="ListParagraph"/>
        <w:numPr>
          <w:ilvl w:val="0"/>
          <w:numId w:val="2"/>
        </w:numPr>
        <w:spacing w:after="80" w:line="280"/>
      </w:pPr>
      <w:r>
        <w:rPr>
          <w:sz w:val="22"/>
          <w:szCs w:val="22"/>
        </w:rPr>
        <w:t xml:space="preserve">2024年按工信部白名单企业产能统计的行业市场份额数据中，邦普循环、宁德时代相关产能占比约6.38%，格林美约5.91%，赣锋锂业和西恩循环约4.72%；该数据来自第三方行业研究机构，统计口径、关联企业及在建产能范围存在不确定性，不属于交易所或工信部正式市场份额数据。</w:t>
      </w:r>
    </w:p>
    <w:p>
      <w:pPr>
        <w:pStyle w:val="ListParagraph"/>
        <w:numPr>
          <w:ilvl w:val="0"/>
          <w:numId w:val="2"/>
        </w:numPr>
        <w:spacing w:after="80" w:line="280"/>
      </w:pPr>
      <w:r>
        <w:rPr>
          <w:sz w:val="22"/>
          <w:szCs w:val="22"/>
        </w:rPr>
        <w:t xml:space="preserve">动力电池回收行业的核心竞争点包括回收渠道和电池来源、工信部白名单及环保合规能力、镍钴锂回收率、磷铁石墨等低价值组分回收、材料原位再制造、定向循环协议以及海外回收网络和电池护照合规能力。</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中伟股份（300919）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三元前驱体、四氧化三钴、磷酸铁及新能源材料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更聚焦新能源材料制造，在前驱体制造环节与格林美直接竞争；格林美的差异在于具备回收资源—镍钴冶炼—前驱体—电池回收闭环。</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华友钴业（603799）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钴、镍资源开发与冶炼、三元前驱体、正极材料及资源循环</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海外资源和湿法冶炼布局较深，在镍钴资源和新能源材料领域与格林美重叠；华友钴业更偏矿产资源、钴镍冶炼和材料一体化，格林美在城市矿山、废旧电池、钨资源及循环再制造方面更具特色。</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邦普循环／宁德时代体系</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动力电池回收、镍钴锂资源再生、前驱体及电池材料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依托宁德时代的电池生产和客户网络，在退役电池、生产废料来源、闭环回收和材料消化方面具有优势；邦普循环不是独立A股上市公司，应视为宁德时代体系竞争主体。</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赣锋锂业（002460）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锂资源、锂盐、锂电池、退役电池回收及锂循环利用</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锂资源和锂盐优势明显，并向电池及回收领域延伸；格林美的金属循环范围更广，尤其在镍、钴、钨回收和三元前驱体方面更具代表性。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光华科技（002741）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PCB化学品、电子废弃物及动力电池回收、再生材料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在电子废弃物、动力电池资源化及湿法回收领域与格林美存在竞争；格林美具备更大规模的镍钴冶炼、前驱体制造和海外镍资源产能。</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容百科技、当升科技、厦门钨业等</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正极材料或钨资源材料</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与格林美存在部分环节重叠，但并非完整业务结构上的直接同质化竞争者。</w:t>
            </w:r>
          </w:p>
        </w:tc>
      </w:tr>
    </w:tbl>
    <w:p>
      <w:pPr>
        <w:spacing w:before="200"/>
      </w:pPr>
    </w:p>
    <w:p>
      <w:pPr>
        <w:spacing w:after="160" w:line="300"/>
      </w:pPr>
      <w:r>
        <w:rPr>
          <w:sz w:val="22"/>
          <w:szCs w:val="22"/>
        </w:rPr>
        <w:t xml:space="preserve">格林美的综合竞争力来自资源回收渠道、工信部白名单工厂、镍钴钨等多金属循环经验、印尼镍资源项目、湿法冶金能力、前驱体及正极材料制造能力，以及与头部电池和汽车企业形成的定向循环合作。相较中伟股份，格林美产业链更长、资源循环属性更强；相较华友钴业，格林美在城市矿山、废旧电池和钨资源循环方面更具特色；相较邦普循环／宁德时代体系，格林美回收品类更广、独立第三方回收网络和多金属循环经验更丰富。其主要约束包括金属价格波动、原料采购和库存资金占用、下游客户议价、动力电池回收来源不足、海外项目爬坡及政策合规风险。</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金属价格及利润率波动风险：公司收入和盈利涉及镍、钴、锂、钨等多种金属，2025年综合毛利率约14.70%，仍低于2021年和2024年水平；若金属价格下跌或原料价格与产品售价传导不畅，可能影响产品售价、库存价值和回收业务利润。</w:t>
      </w:r>
    </w:p>
    <w:p>
      <w:pPr>
        <w:pStyle w:val="ListParagraph"/>
        <w:numPr>
          <w:ilvl w:val="0"/>
          <w:numId w:val="2"/>
        </w:numPr>
        <w:spacing w:after="80" w:line="280"/>
      </w:pPr>
      <w:r>
        <w:rPr>
          <w:sz w:val="22"/>
          <w:szCs w:val="22"/>
        </w:rPr>
        <w:t xml:space="preserve">印尼镍资源项目运营风险：公司2026年上半年披露印尼镍项目受到阶段性减产、年度停产检修及硫磺供应紧张影响；项目还面临印尼矿业政策、矿石品位、能源和原料成本、湿法冶金稳定性及镍价波动等不确定性。</w:t>
      </w:r>
    </w:p>
    <w:p>
      <w:pPr>
        <w:pStyle w:val="ListParagraph"/>
        <w:numPr>
          <w:ilvl w:val="0"/>
          <w:numId w:val="2"/>
        </w:numPr>
        <w:spacing w:after="80" w:line="280"/>
      </w:pPr>
      <w:r>
        <w:rPr>
          <w:sz w:val="22"/>
          <w:szCs w:val="22"/>
        </w:rPr>
        <w:t xml:space="preserve">扣非利润与现金流承压风险：2026年上半年归母净利润同比增长34.68%，但扣非归母净利润同比下降32.50%，经营活动现金流净额同比下降58.02%；若非经常性收益减少而主营修复不足，全年利润质量可能弱于表观增速。</w:t>
      </w:r>
    </w:p>
    <w:p>
      <w:pPr>
        <w:pStyle w:val="ListParagraph"/>
        <w:numPr>
          <w:ilvl w:val="0"/>
          <w:numId w:val="2"/>
        </w:numPr>
        <w:spacing w:after="80" w:line="280"/>
      </w:pPr>
      <w:r>
        <w:rPr>
          <w:sz w:val="22"/>
          <w:szCs w:val="22"/>
        </w:rPr>
        <w:t xml:space="preserve">营运资金占用风险：截至2025年末存货100.43亿元、预付款项45.25亿元，预付款项较期初增长73.01%，存货较期初增加；原料采购和库存占用上升可能加大资金压力，并在金属价格下跌时带来存货减值或盈利波动。</w:t>
      </w:r>
    </w:p>
    <w:p>
      <w:pPr>
        <w:pStyle w:val="ListParagraph"/>
        <w:numPr>
          <w:ilvl w:val="0"/>
          <w:numId w:val="2"/>
        </w:numPr>
        <w:spacing w:after="80" w:line="280"/>
      </w:pPr>
      <w:r>
        <w:rPr>
          <w:sz w:val="22"/>
          <w:szCs w:val="22"/>
        </w:rPr>
        <w:t xml:space="preserve">新能源材料业务竞争与客户议价风险：三元前驱体收入在2025年同比下降，行业产能规模较大且竞争激烈；头部电池和汽车客户具有较强采购议价能力，可能通过长协价格联动、年度降价、账期和质量条款压缩格林美利润。</w:t>
      </w:r>
    </w:p>
    <w:p>
      <w:pPr>
        <w:pStyle w:val="ListParagraph"/>
        <w:numPr>
          <w:ilvl w:val="0"/>
          <w:numId w:val="2"/>
        </w:numPr>
        <w:spacing w:after="80" w:line="280"/>
      </w:pPr>
      <w:r>
        <w:rPr>
          <w:sz w:val="22"/>
          <w:szCs w:val="22"/>
        </w:rPr>
        <w:t xml:space="preserve">动力电池回收来源及盈利模式风险：公司2025年回收拆解量增长较快，但废旧电池来源分散、价格波动且合规要求高；随着正规企业扩产，黑粉、废旧电池及含镍钴废料竞争可能加剧，磷铁、石墨等低价值组分回收的经济性也存在不确定性。</w:t>
      </w:r>
    </w:p>
    <w:p>
      <w:pPr>
        <w:pStyle w:val="ListParagraph"/>
        <w:numPr>
          <w:ilvl w:val="0"/>
          <w:numId w:val="2"/>
        </w:numPr>
        <w:spacing w:after="80" w:line="280"/>
      </w:pPr>
      <w:r>
        <w:rPr>
          <w:sz w:val="22"/>
          <w:szCs w:val="22"/>
        </w:rPr>
        <w:t xml:space="preserve">关联交易及资金回收风险：公司拟向合并报表外参股公司GEN提供不超过5600万美元借款，并新增与GEN年度原辅料关联交易预计额度14亿元；预计额度不等于实际收入或利润，后续需关注定价公允性、GEN经营现金流、项目盈利能力及借款本息回收。</w:t>
      </w:r>
    </w:p>
    <w:p>
      <w:pPr>
        <w:pStyle w:val="ListParagraph"/>
        <w:numPr>
          <w:ilvl w:val="0"/>
          <w:numId w:val="2"/>
        </w:numPr>
        <w:spacing w:after="80" w:line="280"/>
      </w:pPr>
      <w:r>
        <w:rPr>
          <w:sz w:val="22"/>
          <w:szCs w:val="22"/>
        </w:rPr>
        <w:t xml:space="preserve">海外经营与跨境合规风险：2025年境外收入128.10亿元，占总收入34.51%；海外业务扩张使公司面临汇率、关税、跨境合规、海外项目运营以及当地政策变化等风险。</w:t>
      </w:r>
    </w:p>
    <w:p>
      <w:pPr>
        <w:pStyle w:val="ListParagraph"/>
        <w:numPr>
          <w:ilvl w:val="0"/>
          <w:numId w:val="2"/>
        </w:numPr>
        <w:spacing w:after="80" w:line="280"/>
      </w:pPr>
      <w:r>
        <w:rPr>
          <w:sz w:val="22"/>
          <w:szCs w:val="22"/>
        </w:rPr>
        <w:t xml:space="preserve">非经常性收益和资产处置不确定性：公司拟继续出售不超过779.05万股欧科亿股份，交易金额和最终收益尚未确定；若资产处置收益对利润贡献较大，可能加剧归母净利润与扣非利润之间的差异。</w:t>
      </w:r>
    </w:p>
    <w:p>
      <w:pPr>
        <w:pStyle w:val="ListParagraph"/>
        <w:numPr>
          <w:ilvl w:val="0"/>
          <w:numId w:val="2"/>
        </w:numPr>
        <w:spacing w:after="80" w:line="280"/>
      </w:pPr>
      <w:r>
        <w:rPr>
          <w:sz w:val="22"/>
          <w:szCs w:val="22"/>
        </w:rPr>
        <w:t xml:space="preserve">股价技术面偏弱风险：截至2026年9月11日股价6.24元，低于多条中长期均线，MACD为负且近3日主力资金净流出约1.29亿元；若6.15元附近的52周低点失守，短期支撑结构可能进一步转弱，且现有数据不足以确认下方支撑位置。</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格林美具备多金属回收、湿法冶金、前驱体制造、动力电池回收和头部客户认证等综合能力，产业链一体化程度高于单一前驱体或单一回收企业。政策推动动力电池回收向合规化、规模化发展，公司的白名单工厂、海外回收网络及定向循环合作有利于获取长期业务机会；同时，2026年上半年关键金属回收业务保持较快增长，显示资源循环板块可能成为阶段性业绩支撑。</w:t>
      </w:r>
    </w:p>
    <w:p>
      <w:pPr>
        <w:spacing w:after="160" w:line="300"/>
      </w:pPr>
      <w:r>
        <w:rPr>
          <w:sz w:val="22"/>
          <w:szCs w:val="22"/>
        </w:rPr>
        <w:t xml:space="preserve">不过，公司仍处于海外项目、新材料产能及回收体系持续投入阶段，三元前驱体等中游材料业务竞争充分，客户议价能力较强。2026年上半年扣非利润和经营现金流下滑，结合存货、预付款项上升以及印尼镍项目阶段性减产、检修和硫磺供应紧张等因素，短期盈利兑现仍需观察。机构对2026—2028年利润预测总体指向增长，但预测区间差异较大，未来业绩能否达到预期取决于资源项目稳定达产、材料业务恢复及非经常性收益影响减弱。</w:t>
      </w:r>
    </w:p>
    <w:p>
      <w:pPr>
        <w:spacing w:after="160" w:line="300"/>
      </w:pPr>
      <w:r>
        <w:rPr>
          <w:sz w:val="22"/>
          <w:szCs w:val="22"/>
        </w:rPr>
        <w:t xml:space="preserve">从市场表现看，股价接近第三方数据披露的52周低点，均线系统和资金流向偏弱，6.15元至6.18元附近是重要观察区间，6.35元附近则是短线修复观察位置。基本面改善与技术面修复尚未形成一致确认，后续应重点跟踪扣非利润、经营现金流、印尼镍项目运营、回收业务放量、关联交易实际发生额及资金回收情况。</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https://static.cninfo.com.cn/finalpage/2026-04-22/1225142250.PDF — https://static.cninfo.com.cn/finalpage/2026-04-22/1225142250.PDF</w:t>
      </w:r>
    </w:p>
    <w:p>
      <w:pPr>
        <w:spacing w:after="200"/>
      </w:pPr>
      <w:r>
        <w:rPr>
          <w:i/>
          <w:iCs/>
          <w:color w:val="595959"/>
          <w:sz w:val="18"/>
          <w:szCs w:val="18"/>
        </w:rPr>
        <w:t xml:space="preserve">格林美股份有限公司 2024 年年度报告全文 — https://static.cninfo.com.cn/finalpage/2025-04-26/1223332818.PDF?utm_source=openai</w:t>
      </w:r>
    </w:p>
    <w:p>
      <w:pPr>
        <w:spacing w:after="200"/>
      </w:pPr>
      <w:r>
        <w:rPr>
          <w:i/>
          <w:iCs/>
          <w:color w:val="595959"/>
          <w:sz w:val="18"/>
          <w:szCs w:val="18"/>
        </w:rPr>
        <w:t xml:space="preserve">格林美(002340)年度数据分析-中商产业研究院数据库-中商情报网 — https://s.askci.com/stock/financialanalysis/002340/?utm_source=openai</w:t>
      </w:r>
    </w:p>
    <w:p>
      <w:pPr>
        <w:spacing w:after="200"/>
      </w:pPr>
      <w:r>
        <w:rPr>
          <w:i/>
          <w:iCs/>
          <w:color w:val="595959"/>
          <w:sz w:val="18"/>
          <w:szCs w:val="18"/>
        </w:rPr>
        <w:t xml:space="preserve">〖行业深度〗洞察2025：中国电池回收行业竞争格局及市场份额（附市场份额、市场集中度等）_资讯_前瞻经济学人 — https://ecoapp.qianzhan.com/detials/251202-61c46124.html?utm_source=openai</w:t>
      </w:r>
    </w:p>
    <w:p>
      <w:pPr>
        <w:spacing w:after="200"/>
      </w:pPr>
      <w:r>
        <w:rPr>
          <w:i/>
          <w:iCs/>
          <w:color w:val="595959"/>
          <w:sz w:val="18"/>
          <w:szCs w:val="18"/>
        </w:rPr>
        <w:t xml:space="preserve">格林美(002340)_公司公告_格林美：2026年半年度报告摘要新浪财经_新浪网 — https://vip.stock.finance.sina.com.cn/corp/view/vCB_AllBulletinDetail.php?id=12572465&amp;stockid=002340&amp;utm_source=openai</w:t>
      </w:r>
    </w:p>
    <w:p>
      <w:pPr>
        <w:spacing w:after="200"/>
      </w:pPr>
      <w:r>
        <w:rPr>
          <w:i/>
          <w:iCs/>
          <w:color w:val="595959"/>
          <w:sz w:val="18"/>
          <w:szCs w:val="18"/>
        </w:rPr>
        <w:t xml:space="preserve">上半年归母净利润同比增长，业务结构多元发展- 宏观研究报告 _ 数据中心 _ 东方财富网 — https://data.eastmoney.com/report/info/AP202609071829089686.html?utm_source=openai</w:t>
      </w:r>
    </w:p>
    <w:p>
      <w:pPr>
        <w:spacing w:after="200"/>
      </w:pPr>
      <w:r>
        <w:rPr>
          <w:i/>
          <w:iCs/>
          <w:color w:val="595959"/>
          <w:sz w:val="18"/>
          <w:szCs w:val="18"/>
        </w:rPr>
        <w:t xml:space="preserve">格林美：上半年净利润同比增长34.68% 拟10派0.32元 _ 东方财富网 — https://finance.eastmoney.com/a/202608283858546213.html?utm_source=openai</w:t>
      </w:r>
    </w:p>
    <w:p>
      <w:pPr>
        <w:spacing w:after="200"/>
      </w:pPr>
      <w:r>
        <w:rPr>
          <w:i/>
          <w:iCs/>
          <w:color w:val="595959"/>
          <w:sz w:val="18"/>
          <w:szCs w:val="18"/>
        </w:rPr>
        <w:t xml:space="preserve">格林美(002340) 盈利预测_F10_同花顺金融服务网 — https://basic.10jqka.com.cn/176/002340/worth.html?utm_source=openai</w:t>
      </w:r>
    </w:p>
    <w:p>
      <w:pPr>
        <w:spacing w:after="200"/>
      </w:pPr>
      <w:r>
        <w:rPr>
          <w:i/>
          <w:iCs/>
          <w:color w:val="595959"/>
          <w:sz w:val="18"/>
          <w:szCs w:val="18"/>
        </w:rPr>
        <w:t xml:space="preserve">盈利预测 — https://webf10.gw.com.cn/SZ/B16/SZ002340_B16.html?utm_source=openai</w:t>
      </w:r>
    </w:p>
    <w:p>
      <w:pPr>
        <w:spacing w:after="200"/>
      </w:pPr>
      <w:r>
        <w:rPr>
          <w:i/>
          <w:iCs/>
          <w:color w:val="595959"/>
          <w:sz w:val="18"/>
          <w:szCs w:val="18"/>
        </w:rPr>
        <w:t xml:space="preserve">湘财证券首次覆盖格林美，给予“买入”评级 — https://www.irlianmeng.com/IR/index.php/Index/companyNewsListDetail?id=139859&amp;type=4&amp;utm_source=openai</w:t>
      </w:r>
    </w:p>
    <w:p>
      <w:pPr>
        <w:spacing w:after="200"/>
      </w:pPr>
      <w:r>
        <w:rPr>
          <w:i/>
          <w:iCs/>
          <w:color w:val="595959"/>
          <w:sz w:val="18"/>
          <w:szCs w:val="18"/>
        </w:rPr>
        <w:t xml:space="preserve">华鑫证券-格林美(002340)公司事件点评报告：业绩稳健增长，超高镍加速放量-260512.pdf — https://pdf.dfcfw.com/pdf/H3_AP202605131822248570_1.pdf?1778660596000.pdf=&amp;utm_source=openai</w:t>
      </w:r>
    </w:p>
    <w:p>
      <w:pPr>
        <w:spacing w:after="200"/>
      </w:pPr>
      <w:r>
        <w:rPr>
          <w:i/>
          <w:iCs/>
          <w:color w:val="595959"/>
          <w:sz w:val="18"/>
          <w:szCs w:val="18"/>
        </w:rPr>
        <w:t xml:space="preserve">格林美(002340)个股资讯_新浪财经_新浪网 — https://vip.stock.finance.sina.com.cn/corp/go.php/vCB_AllNewsStock/symbol/sz002340.phtml?utm_source=openai</w:t>
      </w:r>
    </w:p>
    <w:p>
      <w:pPr>
        <w:spacing w:after="200"/>
      </w:pPr>
      <w:r>
        <w:rPr>
          <w:i/>
          <w:iCs/>
          <w:color w:val="595959"/>
          <w:sz w:val="18"/>
          <w:szCs w:val="18"/>
        </w:rPr>
        <w:t xml:space="preserve">华鑫证券：给予格林美买入评级 — https://stock.10jqka.com.cn/20260513/c676643719.shtml?utm_source=openai</w:t>
      </w:r>
    </w:p>
    <w:p>
      <w:pPr>
        <w:spacing w:after="200"/>
      </w:pPr>
      <w:r>
        <w:rPr>
          <w:i/>
          <w:iCs/>
          <w:color w:val="595959"/>
          <w:sz w:val="18"/>
          <w:szCs w:val="18"/>
        </w:rPr>
        <w:t xml:space="preserve">格林美(002340)股票分析师一致预期_市场情绪_英为财情Investing.com — https://cn.investing.com/equities/green-hitech-a-consensus-estimates?utm_source=openai</w:t>
      </w:r>
    </w:p>
    <w:p>
      <w:pPr>
        <w:spacing w:after="200"/>
      </w:pPr>
      <w:r>
        <w:rPr>
          <w:i/>
          <w:iCs/>
          <w:color w:val="595959"/>
          <w:sz w:val="18"/>
          <w:szCs w:val="18"/>
        </w:rPr>
        <w:t xml:space="preserve">格林美(002340)股票信息 - 数据平台 — https://data.agoer.com/cms/Index/detail?id=002340&amp;utm_source=openai</w:t>
      </w:r>
    </w:p>
    <w:p>
      <w:pPr>
        <w:spacing w:after="200"/>
      </w:pPr>
      <w:r>
        <w:rPr>
          <w:i/>
          <w:iCs/>
          <w:color w:val="595959"/>
          <w:sz w:val="18"/>
          <w:szCs w:val="18"/>
        </w:rPr>
        <w:t xml:space="preserve">格林美市盈率(P/E ratio)历史走势_历年数据对比 | 财报帮 — https://www.caibaobang.cn/sanpk/mh-zbs?code=002340&amp;tag=pe&amp;utm_source=openai</w:t>
      </w:r>
    </w:p>
    <w:p>
      <w:pPr>
        <w:spacing w:after="200"/>
      </w:pPr>
      <w:r>
        <w:rPr>
          <w:i/>
          <w:iCs/>
          <w:color w:val="595959"/>
          <w:sz w:val="18"/>
          <w:szCs w:val="18"/>
        </w:rPr>
        <w:t xml:space="preserve">格林美(002340)市盈率|估值|基本面 - 理杏仁 — https://www.lixinger.com/equity/company/detail/sz/002340/2340/fundamental/valuation/pe-ttm?utm_source=openai</w:t>
      </w:r>
    </w:p>
    <w:p>
      <w:pPr>
        <w:spacing w:after="200"/>
      </w:pPr>
      <w:r>
        <w:rPr>
          <w:i/>
          <w:iCs/>
          <w:color w:val="595959"/>
          <w:sz w:val="18"/>
          <w:szCs w:val="18"/>
        </w:rPr>
        <w:t xml:space="preserve">格林美(002340)_股票行情，行情首页_中财网 — https://data.cfi.cn/002340.html?utm_source=openai</w:t>
      </w:r>
    </w:p>
    <w:p>
      <w:pPr>
        <w:spacing w:after="200"/>
      </w:pPr>
      <w:r>
        <w:rPr>
          <w:i/>
          <w:iCs/>
          <w:color w:val="595959"/>
          <w:sz w:val="18"/>
          <w:szCs w:val="18"/>
        </w:rPr>
        <w:t xml:space="preserve">格林美股份有限公司 2025 年年度报告全文 — https://disc.static.szse.cn/download/disc/disk03/finalpage/2026-04-22/b4675097-7e47-4cc6-898b-281ace34ff8f.PDF?utm_source=openai</w:t>
      </w:r>
    </w:p>
    <w:p>
      <w:pPr>
        <w:spacing w:after="200"/>
      </w:pPr>
      <w:r>
        <w:rPr>
          <w:i/>
          <w:iCs/>
          <w:color w:val="595959"/>
          <w:sz w:val="18"/>
          <w:szCs w:val="18"/>
        </w:rPr>
        <w:t xml:space="preserve">格林美(002340)_公司公告_格林美：2026年半年度报告新浪财经_新浪网 — https://money.finance.sina.com.cn/corp/view/vCB_AllBulletinDetail.php?id=12572469&amp;stockid=002340</w:t>
      </w:r>
    </w:p>
    <w:p>
      <w:pPr>
        <w:spacing w:after="200"/>
      </w:pPr>
      <w:r>
        <w:rPr>
          <w:i/>
          <w:iCs/>
          <w:color w:val="595959"/>
          <w:sz w:val="18"/>
          <w:szCs w:val="18"/>
        </w:rPr>
        <w:t xml:space="preserve">格林美(002340) 最新动态_F10_同花顺金融服务网 — https://basic.10jqka.com.cn/002340/</w:t>
      </w:r>
    </w:p>
    <w:p>
      <w:pPr>
        <w:spacing w:after="200"/>
      </w:pPr>
      <w:r>
        <w:rPr>
          <w:i/>
          <w:iCs/>
          <w:color w:val="595959"/>
          <w:sz w:val="18"/>
          <w:szCs w:val="18"/>
        </w:rPr>
        <w:t xml:space="preserve">格林美(002340)_历史上榜数据 — https://quote.cfi.cn/cfi_lhb_stock.aspx?client=pc&amp;stockcode=002340&amp;utm_source=openai</w:t>
      </w:r>
    </w:p>
    <w:p>
      <w:pPr>
        <w:spacing w:after="200"/>
      </w:pPr>
      <w:r>
        <w:rPr>
          <w:i/>
          <w:iCs/>
          <w:color w:val="595959"/>
          <w:sz w:val="18"/>
          <w:szCs w:val="18"/>
        </w:rPr>
        <w:t xml:space="preserve">格林美(002340)大宗交易|资金流向 - 理杏仁 — https://www.lixinger.com/equity/company/detail/sz/002340/2340/capital-flow/block-deal?utm_source=openai</w:t>
      </w:r>
    </w:p>
    <w:p>
      <w:pPr>
        <w:spacing w:after="200"/>
      </w:pPr>
      <w:r>
        <w:rPr>
          <w:i/>
          <w:iCs/>
          <w:color w:val="595959"/>
          <w:sz w:val="18"/>
          <w:szCs w:val="18"/>
        </w:rPr>
        <w:t xml:space="preserve">格林美(002340)股票走势图_今日行情走势实时分析_英为财情Investing.com — https://cn.investing.com/equities/green-hitech-a-chart?utm_source=openai</w:t>
      </w:r>
    </w:p>
    <w:p>
      <w:pPr>
        <w:spacing w:after="200"/>
      </w:pPr>
      <w:r>
        <w:rPr>
          <w:i/>
          <w:iCs/>
          <w:color w:val="595959"/>
          <w:sz w:val="18"/>
          <w:szCs w:val="18"/>
        </w:rPr>
        <w:t xml:space="preserve">格林美 (002340) - 历史交易数据 | 打板客网 — https://dabanke.com/hangqing-002340.html</w:t>
      </w:r>
    </w:p>
    <w:p>
      <w:pPr>
        <w:spacing w:after="200"/>
      </w:pPr>
      <w:r>
        <w:rPr>
          <w:i/>
          <w:iCs/>
          <w:color w:val="595959"/>
          <w:sz w:val="18"/>
          <w:szCs w:val="18"/>
        </w:rPr>
        <w:t xml:space="preserve">格林美(002340)股票行情走势技术分析_未来预测_买卖操作建议_英为财情Investing.com — https://cn.investing.com/equities/green-hitech-a-technical?utm_source=openai</w:t>
      </w:r>
    </w:p>
    <w:p>
      <w:pPr>
        <w:spacing w:after="200"/>
      </w:pPr>
      <w:r>
        <w:rPr>
          <w:i/>
          <w:iCs/>
          <w:color w:val="595959"/>
          <w:sz w:val="18"/>
          <w:szCs w:val="18"/>
        </w:rPr>
        <w:t xml:space="preserve">本报告由AI基于公开渠道信息自动检索、整理并生成，信息截至 截至2026年9月11日收盘；均线、MACD及RSI数据截至2026年9月11日06:50 GMT，股东结构数据截至2026年6月30日。，可能存在时效性差异，具体数据请以公司正式公告及权威数据终端为准。本报告仅为信息整理与研究参考，不构成任何投资建议，投资者应独立判断并自行承担投资风险。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2026-09-13T12:39:16.889Z</dcterms:created>
  <dcterms:modified xsi:type="dcterms:W3CDTF">2026-09-13T12:39:16.889Z</dcterms:modified>
</cp:coreProperties>
</file>

<file path=docProps/custom.xml><?xml version="1.0" encoding="utf-8"?>
<Properties xmlns="http://schemas.openxmlformats.org/officeDocument/2006/custom-properties" xmlns:vt="http://schemas.openxmlformats.org/officeDocument/2006/docPropsVTypes"/>
</file>