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北京大北农科技集团股份有限公司（大北农，002385） (002385)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行业：农林牧渔：饲料、种业、生猪养殖与动保</w:t>
      </w:r>
    </w:p>
    <w:p>
      <w:pPr>
        <w:jc w:val="center"/>
      </w:pPr>
      <w:r>
        <w:rPr>
          <w:color w:val="595959"/>
          <w:sz w:val="22"/>
          <w:szCs w:val="22"/>
        </w:rPr>
        <w:t xml:space="preserve">报告日期：2026年9月13日</w:t>
      </w:r>
    </w:p>
    <w:p>
      <w:pPr>
        <w:jc w:val="center"/>
      </w:pPr>
      <w:r>
        <w:rPr>
          <w:color w:val="595959"/>
          <w:sz w:val="20"/>
          <w:szCs w:val="20"/>
        </w:rPr>
        <w:t xml:space="preserve">行情数据截至2026年9月11日收盘；部分技术指标为截至2026年9月10日公开页面快照，部分均线与布林带为基于2026年8月14日至9月11日公开收盘价的估算。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大北农2026年上半年营业收入138.11亿元，同比增长1.86%，但归母净利润亏损6.77亿元，扣非归母净利润亏损6.56亿元，经营活动现金流净额为-12.25亿元，业绩由盈转亏的核心原因是商品猪销售均价同比下降约30%，生猪养殖业务明显承压。截至2026年9月11日，公司股价为3.37元，处于亏损状态，传统市盈率暂不具备有效估值解释意义。</w:t>
      </w:r>
    </w:p>
    <w:p>
      <w:pPr>
        <w:spacing w:after="160" w:line="300"/>
      </w:pPr>
      <w:r>
        <w:rPr>
          <w:sz w:val="22"/>
          <w:szCs w:val="22"/>
        </w:rPr>
        <w:t xml:space="preserve">公司收入结构仍以饲料和生猪养殖为主。2025年饲料业务收入184.85亿元，占营业收入63.48%，生猪养殖收入65.90亿元，占22.63%；种业及植保业务合计收入17.56亿元，种业产品毛利率达到37.22%，但当前规模尚不足以抵消生猪业务波动及资产减值影响。2025年公司归母净利润亏损6.42亿元，综合毛利率约12.75%，经营质量较2024年明显回落。</w:t>
      </w:r>
    </w:p>
    <w:p>
      <w:pPr>
        <w:spacing w:after="160" w:line="300"/>
      </w:pPr>
      <w:r>
        <w:rPr>
          <w:sz w:val="22"/>
          <w:szCs w:val="22"/>
        </w:rPr>
        <w:t xml:space="preserve">公司的中长期增长逻辑主要来自饲料销量与成本控制、养殖成本下降，以及种质资源、转基因性状和生物育种业务的商业化放量。2026年上半年饲料动保业务收入95.09亿元，同比增长8.51%，但生猪养殖业务收入29.92亿元，同比下降11.99%；2026年1—8月商品肥猪销量同比增长23.20%，销售收入却同比下降12.08%，显示目前增量尚未转化为收入和利润改善。</w:t>
      </w:r>
    </w:p>
    <w:p>
      <w:pPr>
        <w:spacing w:after="160" w:line="300"/>
      </w:pPr>
      <w:r>
        <w:rPr>
          <w:sz w:val="22"/>
          <w:szCs w:val="22"/>
        </w:rPr>
        <w:t xml:space="preserve">股权与短期交易结构仍处于变化阶段。原实际控制人股份继承过户后，莫云成为控股股东、实际控制人，但其于2026年9月质押所持公司股份的100%，公司重要股东累计质押股份约占总股本11.81%。股价在9月初快速拉升后回落至3.37元，低于多条短期均线，资金净流出且成交量收缩，短线仍需观察3.30—3.40元支撑及3.50—3.63元压力区的有效突破或失守。</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002385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大北农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1994年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截至日期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2026年9月13日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最新完整年度资料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公司2025年年度报告，于2026年4月披露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主营范围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饲料、种业、生猪养殖、疫苗、兽药及动物保健等</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饲料业务：生产猪饲料、反刍饲料、水产饲料和禽饲料，2025年收入184.85亿元，占营业收入63.48%；销售量555.34万吨，同比增长2.74%；产品毛利率12.11%。</w:t>
      </w:r>
    </w:p>
    <w:p>
      <w:pPr>
        <w:pStyle w:val="ListParagraph"/>
        <w:numPr>
          <w:ilvl w:val="0"/>
          <w:numId w:val="2"/>
        </w:numPr>
        <w:spacing w:after="80" w:line="280"/>
      </w:pPr>
      <w:r>
        <w:rPr>
          <w:sz w:val="22"/>
          <w:szCs w:val="22"/>
        </w:rPr>
        <w:t xml:space="preserve">生猪养殖业务：采用“自繁自养”试点与“公司+生态农场”相结合的模式，2025年养猪产品收入65.90亿元，占营业收入22.63%；控股公司生猪销售量445.96万头，期末存栏265.75万头。</w:t>
      </w:r>
    </w:p>
    <w:p>
      <w:pPr>
        <w:pStyle w:val="ListParagraph"/>
        <w:numPr>
          <w:ilvl w:val="0"/>
          <w:numId w:val="2"/>
        </w:numPr>
        <w:spacing w:after="80" w:line="280"/>
      </w:pPr>
      <w:r>
        <w:rPr>
          <w:sz w:val="22"/>
          <w:szCs w:val="22"/>
        </w:rPr>
        <w:t xml:space="preserve">种业业务：覆盖常规育种、生物育种、玉米、水稻、大豆种业及相关植保业务，2025年种子产品收入15.28亿元，占营业收入5.25%；种子植保业务合计收入17.56亿元，占营业收入6.03%。</w:t>
      </w:r>
    </w:p>
    <w:p>
      <w:pPr>
        <w:pStyle w:val="ListParagraph"/>
        <w:numPr>
          <w:ilvl w:val="0"/>
          <w:numId w:val="2"/>
        </w:numPr>
        <w:spacing w:after="80" w:line="280"/>
      </w:pPr>
      <w:r>
        <w:rPr>
          <w:sz w:val="22"/>
          <w:szCs w:val="22"/>
        </w:rPr>
        <w:t xml:space="preserve">疫苗、兽药和动保业务：包括动物疫苗、兽药、诊断制品和动物保健产品，2025年疫苗收入1.48亿元、兽药收入1.96亿元；截至2025年末拥有国家新兽药证书41项。</w:t>
      </w:r>
    </w:p>
    <w:p>
      <w:pPr>
        <w:pStyle w:val="ListParagraph"/>
        <w:numPr>
          <w:ilvl w:val="0"/>
          <w:numId w:val="2"/>
        </w:numPr>
        <w:spacing w:after="80" w:line="280"/>
      </w:pPr>
      <w:r>
        <w:rPr>
          <w:sz w:val="22"/>
          <w:szCs w:val="22"/>
        </w:rPr>
        <w:t xml:space="preserve">公司形成“作物科技+动物科技”双主线布局，向上延伸至种质资源和生物育种，向下延伸至生猪养殖和动物保健。</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大北农是以饲料为收入基础、向上布局种质资源和生物育种、向下延伸至生猪养殖及动保疫苗的综合农牧科技企业。其产业链位置横跨中游规模化加工、农业生物技术和下游养殖服务。</w:t>
      </w:r>
    </w:p>
    <w:p>
      <w:pPr>
        <w:pStyle w:val="ListParagraph"/>
        <w:numPr>
          <w:ilvl w:val="0"/>
          <w:numId w:val="2"/>
        </w:numPr>
        <w:spacing w:after="80" w:line="280"/>
      </w:pPr>
      <w:r>
        <w:rPr>
          <w:sz w:val="22"/>
          <w:szCs w:val="22"/>
        </w:rPr>
        <w:t xml:space="preserve">饲料业务主要采购玉米、小麦等能量原料，豆粕、鱼粉等蛋白原料，以及维生素、氨基酸等添加剂原料。2025年饲料产品营业成本中，原料成本153.00亿元，占饲料产品营业成本94.17%。</w:t>
      </w:r>
    </w:p>
    <w:p>
      <w:pPr>
        <w:pStyle w:val="ListParagraph"/>
        <w:numPr>
          <w:ilvl w:val="0"/>
          <w:numId w:val="2"/>
        </w:numPr>
        <w:spacing w:after="80" w:line="280"/>
      </w:pPr>
      <w:r>
        <w:rPr>
          <w:sz w:val="22"/>
          <w:szCs w:val="22"/>
        </w:rPr>
        <w:t xml:space="preserve">种业业务上游包括种质资源、育种材料和技术平台；养殖业务还涉及仔猪、种猪、兽药、疫苗及养殖设备。2025年种业产品原料成本占种业产品营业成本92.60%。</w:t>
      </w:r>
    </w:p>
    <w:p>
      <w:pPr>
        <w:pStyle w:val="ListParagraph"/>
        <w:numPr>
          <w:ilvl w:val="0"/>
          <w:numId w:val="2"/>
        </w:numPr>
        <w:spacing w:after="80" w:line="280"/>
      </w:pPr>
      <w:r>
        <w:rPr>
          <w:sz w:val="22"/>
          <w:szCs w:val="22"/>
        </w:rPr>
        <w:t xml:space="preserve">公司对玉米、豆粕、小麦、生猪等大宗品类整体缺乏明显定价权，更接近原料价格接受者；公司通过集中采购、多元化采购、现货与期货结合、套期保值等方式应对价格波动，并推进低蛋白日粮、单细胞蛋白、微生态制剂和非豆粕蛋白等技术。</w:t>
      </w:r>
    </w:p>
    <w:p>
      <w:pPr>
        <w:pStyle w:val="ListParagraph"/>
        <w:numPr>
          <w:ilvl w:val="0"/>
          <w:numId w:val="2"/>
        </w:numPr>
        <w:spacing w:after="80" w:line="280"/>
      </w:pPr>
      <w:r>
        <w:rPr>
          <w:sz w:val="22"/>
          <w:szCs w:val="22"/>
        </w:rPr>
        <w:t xml:space="preserve">2025年公司前五大供应商采购额52.89亿元，占总采购额21.50%；单一最大供应商占比8.74%。供应商集中度低于公司对大宗原料市场价格的依赖。</w:t>
      </w:r>
    </w:p>
    <w:p>
      <w:pPr>
        <w:pStyle w:val="ListParagraph"/>
        <w:numPr>
          <w:ilvl w:val="0"/>
          <w:numId w:val="2"/>
        </w:numPr>
        <w:spacing w:after="80" w:line="280"/>
      </w:pPr>
      <w:r>
        <w:rPr>
          <w:sz w:val="22"/>
          <w:szCs w:val="22"/>
        </w:rPr>
        <w:t xml:space="preserve">公司2024年年报披露饲料业务覆盖全国28个省、自治区和直辖市，建有超过100个生产基地，年产能超过1000万吨；2025年年报未重新披露设计产能，该产能数据应视为2024年披露口径。</w:t>
      </w:r>
    </w:p>
    <w:p>
      <w:pPr>
        <w:pStyle w:val="ListParagraph"/>
        <w:numPr>
          <w:ilvl w:val="0"/>
          <w:numId w:val="2"/>
        </w:numPr>
        <w:spacing w:after="80" w:line="280"/>
      </w:pPr>
      <w:r>
        <w:rPr>
          <w:sz w:val="22"/>
          <w:szCs w:val="22"/>
        </w:rPr>
        <w:t xml:space="preserve">饲料业务下游包括规模化生猪养殖企业、家庭农场、合作生态农场、禽类、反刍和水产养殖户，以及经销商和区域养殖服务网络。</w:t>
      </w:r>
    </w:p>
    <w:p>
      <w:pPr>
        <w:pStyle w:val="ListParagraph"/>
        <w:numPr>
          <w:ilvl w:val="0"/>
          <w:numId w:val="2"/>
        </w:numPr>
        <w:spacing w:after="80" w:line="280"/>
      </w:pPr>
      <w:r>
        <w:rPr>
          <w:sz w:val="22"/>
          <w:szCs w:val="22"/>
        </w:rPr>
        <w:t xml:space="preserve">生猪养殖业务下游主要为生猪贸易商、中间商、屠宰企业和食品加工企业；公司年报披露商品代肥猪通常销售给中间商，再由中间商销往屠宰场或食品加工企业。</w:t>
      </w:r>
    </w:p>
    <w:p>
      <w:pPr>
        <w:pStyle w:val="ListParagraph"/>
        <w:numPr>
          <w:ilvl w:val="0"/>
          <w:numId w:val="2"/>
        </w:numPr>
        <w:spacing w:after="80" w:line="280"/>
      </w:pPr>
      <w:r>
        <w:rPr>
          <w:sz w:val="22"/>
          <w:szCs w:val="22"/>
        </w:rPr>
        <w:t xml:space="preserve">种业业务下游包括种植户、区域经销商、种业合作企业、农场和农业经营主体。公司旗下性状产品合作的种业企业数量超过200家，采用“性状研发+合作种企推广”的轻资产扩张模式。</w:t>
      </w:r>
    </w:p>
    <w:p>
      <w:pPr>
        <w:pStyle w:val="ListParagraph"/>
        <w:numPr>
          <w:ilvl w:val="0"/>
          <w:numId w:val="2"/>
        </w:numPr>
        <w:spacing w:after="80" w:line="280"/>
      </w:pPr>
      <w:r>
        <w:rPr>
          <w:sz w:val="22"/>
          <w:szCs w:val="22"/>
        </w:rPr>
        <w:t xml:space="preserve">2025年公司直销收入154.34亿元，占营业收入53.00%；经销渠道收入136.85亿元，占47.00%，直销与经销相对均衡。</w:t>
      </w:r>
    </w:p>
    <w:p>
      <w:pPr>
        <w:pStyle w:val="ListParagraph"/>
        <w:numPr>
          <w:ilvl w:val="0"/>
          <w:numId w:val="2"/>
        </w:numPr>
        <w:spacing w:after="80" w:line="280"/>
      </w:pPr>
      <w:r>
        <w:rPr>
          <w:sz w:val="22"/>
          <w:szCs w:val="22"/>
        </w:rPr>
        <w:t xml:space="preserve">2025年前五大客户合计销售额16.14亿元，占年度销售总额5.54%；第一大客户占比1.73%。2024年前五大客户占比为5.87%。客户较为分散，但饲料销售仍受区域竞争、技术服务、赊销和养殖户经营状况影响，未体现出绝对的下游议价权。</w:t>
      </w:r>
    </w:p>
    <w:p>
      <w:pPr>
        <w:pStyle w:val="ListParagraph"/>
        <w:numPr>
          <w:ilvl w:val="0"/>
          <w:numId w:val="2"/>
        </w:numPr>
        <w:spacing w:after="80" w:line="280"/>
      </w:pPr>
      <w:r>
        <w:rPr>
          <w:sz w:val="22"/>
          <w:szCs w:val="22"/>
        </w:rPr>
        <w:t xml:space="preserve">饲料行业的价格传导能力受同行竞争、原料价格和养殖景气度影响；生猪养殖业务则受猪价和猪周期影响，种业业务的商业化能力取决于性状授权、品种推广和种质资源转化。</w:t>
      </w:r>
    </w:p>
    <w:p>
      <w:pPr>
        <w:pStyle w:val="ListParagraph"/>
        <w:numPr>
          <w:ilvl w:val="0"/>
          <w:numId w:val="2"/>
        </w:numPr>
        <w:spacing w:after="80" w:line="280"/>
      </w:pPr>
      <w:r>
        <w:rPr>
          <w:sz w:val="22"/>
          <w:szCs w:val="22"/>
        </w:rPr>
        <w:t xml:space="preserve">截至2025年末，应收账款11.77亿元，占总资产4.01%；2025年营业收入291.19亿元，期末应收账款约占年度收入4.04%。公开财务指标整理显示，2025年应收账款周转率约26.76次、周转天数约13.45天，但该周转率及周转天数应以公司审计报表计算口径最终核验。公司2025年经营活动现金流净额为8.29亿元，同比下降66.62%，主要因购买商品和接受劳务支付的现金增加，表明原料采购、存货和应付款项变化仍会影响现金流。</w:t>
      </w:r>
    </w:p>
    <w:p>
      <w:pPr>
        <w:pStyle w:val="ListParagraph"/>
        <w:numPr>
          <w:ilvl w:val="0"/>
          <w:numId w:val="2"/>
        </w:numPr>
        <w:spacing w:after="80" w:line="280"/>
      </w:pPr>
      <w:r>
        <w:rPr>
          <w:sz w:val="22"/>
          <w:szCs w:val="22"/>
        </w:rPr>
        <w:t xml:space="preserve">客户集中度数据为公司2025年年报口径，前五大客户占比5.54%，2024年为5.87%；供应商集中度为2025年年报口径，前五大供应商占比21.50%、单一最大供应商占比8.74%。公司披露客户和供应商名称采用匿名方式，无法据此判断具体客户质量、客户类型或供应商是否为大宗原料龙头；2024年与2025年生猪规模数据还存在统计口径差异，不能直接作同比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生猪养殖处于周期低位，养猪业务盈利能力较弱；饲料业务受到原料价格上涨和竞争影响，综合毛利率承压。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生猪价格和养殖盈利较2021年修复，但豆粕等原料价格上涨压缩饲料毛利率；饲料产品毛利率约11.52%，养猪产品毛利率约19.99%。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9.63%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-7.71%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生猪价格低迷，养猪产品毛利率降至负值；饲料业务无法完全对冲养猪业务亏损。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养猪产品毛利率恢复至19.80%，饲料产品毛利率为12.49%、种业产品毛利率为33.18%；生猪价格修复和产品结构改善推动综合毛利率上升。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饲料产品毛利率降至12.11%，生猪养殖毛利率降至8.99%；种业产品毛利率仍为37.22%，但收入规模不足以抵消生猪业务和资产减值压力，归母净利润亏损6.42亿元。</w:t>
            </w:r>
          </w:p>
        </w:tc>
      </w:tr>
    </w:tbl>
    <w:p>
      <w:pPr>
        <w:spacing w:before="200"/>
      </w:pPr>
    </w:p>
    <w:p>
      <w:pPr>
        <w:spacing w:after="160" w:line="300"/>
      </w:pPr>
      <w:r>
        <w:rPr>
          <w:sz w:val="22"/>
          <w:szCs w:val="22"/>
        </w:rPr>
        <w:t xml:space="preserve">大北农处于“中游规模制造+上游农业生物技术+下游养殖服务”的复合位置：饲料是规模化中游业务，整体受大宗原料价格影响、定价权有限；种业和生物育种属于技术型中上游环节，潜在毛利率较高；生猪养殖则放大猪周期波动。未来利润率改善主要取决于饲料原料成本控制、猪料结构升级、生猪养殖成本下降，以及转基因种业和生物育种产品的商业化放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138.11亿元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归属于上市公司股东的净利润-6.77亿元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-387.52%，由盈转亏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291.19亿元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归属于上市公司股东的净利润-6.42亿元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-285.53%，由盈转亏</w:t>
            </w:r>
          </w:p>
        </w:tc>
      </w:tr>
    </w:tbl>
    <w:p>
      <w:pPr>
        <w:spacing w:after="200"/>
      </w:pPr>
      <w:r>
        <w:rPr>
          <w:i/>
          <w:iCs/>
          <w:color w:val="595959"/>
          <w:sz w:val="18"/>
          <w:szCs w:val="18"/>
        </w:rPr>
        <w:t xml:space="preserve">2026年上半年财务数据截至2026年6月30日；2025年度数据来自公司2025年年度报告。2026年上半年扣除非经常性损益后的归母净利润为-6.56亿元，上年同期为1.71亿元；基本每股收益为-0.16元，上年同期为0.05元。2025年扣非归母净利润为-7.76亿元，基本每股收益为-0.15元。</w:t>
      </w:r>
    </w:p>
    <w:p>
      <w:pPr>
        <w:spacing w:after="160" w:line="300"/>
      </w:pPr>
      <w:r>
        <w:rPr>
          <w:sz w:val="22"/>
          <w:szCs w:val="22"/>
        </w:rPr>
        <w:t xml:space="preserve">2026年上半年公司营业收入小幅增长，但归母净利润由上年同期盈利2.35亿元转为亏损6.77亿元。业绩恶化主要由于商品猪销售均价同比下降约30%，生猪养殖业务及整体经营业绩受到明显拖累。饲料动保业务收入95.09亿元，同比增长8.51%；生猪养殖业务收入29.92亿元，同比下降11.99%。2025年公司已出现年度亏损，除猪价及养殖盈利下降外，还受到长期股权投资、生物资产及商誉等减值因素影响。需要注意，财报中的“同比下降387.52%”是在上年盈利、本期亏损情况下的统计口径，实际含义为利润由正转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主要预测来源为华安证券2026年9月2日研报，属于单一券商预测，不代表多机构一致预期。对应收入同比增速分别约为8.1%、7.2%和3.8%。华安证券预计公司生猪出栏量为：2026年约870万头、2027年913.5万头、2028年959.2万头。国信证券2025年11月预测2025—2027年归母净利润分别为2.6亿元、2.9亿元和4.1亿元，对应EPS分别为0.06元、0.07元和0.09元，并给予“优于大市”评级。由于国信证券预测早于2026年半年报，现阶段应谨慎使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314.7亿元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归母净利润-7.78亿元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-0.18元（按约42.8亿股总股本由归母净利润推算，非研报直接披露值）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337.4亿元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归母净利润11.89亿元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+252.7%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0.28元（按约42.8亿股总股本由归母净利润推算，非研报直接披露值）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350.2亿元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归母净利润12.04亿元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0.28元（按约42.8亿股总股本由归母净利润推算，非研报直接披露值）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维持“大北农”“买入”评级；预计2026年全年仍亏损、2027年盈利修复。报告未明确披露目标价。核心判断包括生猪完全成本下降至12元/公斤以下，以及转基因性状业务仍具优势。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2025年11月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预测2026年和2027年归母净利润分别为2.9亿元和4.1亿元，但预测明显早于2026年半年报，现阶段应谨慎使用。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机构综合数据</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截至2026年4月7日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媒体引用的机构综合目标价约为5.46元，共有7家机构发表盈利预测；该数据为机构预测聚合，不等同于单一券商最新独立研报目标价。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约2名分析师给出平均12个月目标价4.90元。具体分析师名单、预测口径和更新时间有限，可靠性低于券商原始研报。</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2024年10月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较早研报目标价为5.56元，非当前最新目标价。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较早研报目标价为5.12元，非当前最新目标价。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日期未明确</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相关观点曾给出约6元目标价，非当前最新目标价。</w:t>
            </w:r>
          </w:p>
        </w:tc>
      </w:tr>
    </w:tbl>
    <w:p>
      <w:pPr>
        <w:spacing w:before="200"/>
      </w:pPr>
    </w:p>
    <w:p>
      <w:pPr>
        <w:spacing w:after="160" w:line="300"/>
      </w:pPr>
      <w:r>
        <w:rPr>
          <w:sz w:val="22"/>
          <w:szCs w:val="22"/>
        </w:rPr>
        <w:t xml:space="preserve">截至2026年9月11日收盘，公司股价为3.37元，总市值约144.25亿元，总股本约42.80亿股，TTM每股收益约-0.36元。由于公司最近12个月处于亏损状态，动态市盈率和静态市盈率均无有效数值，当前不适合使用传统PE估值。平台显示市净率约1.69—2.11倍；按2026年6月30日归属于母公司股东权益约68.64亿元及总股本约42.80亿股计算，每股净资产约1.60元，对应PB约2.10倍。按2026年9月11日市值及2026年上半年营业收入年化计算，市销率约0.52倍。若2027年归母净利润达到华安证券预测的11.89亿元，则当前市值对应2027年预测PE约12.1倍；若采用国信证券预测的4.1亿元，则对应2027年预测PE约35.2倍。历史公开目标价大致集中在5.1—6.0元区间，但多数形成时间早于2026年半年报，且部分来自目标价聚合平台，不能视为当前统一市场共识。当前估值吸引力主要取决于2027年利润能否恢复至10亿元以上，关键验证指标包括生猪销售均价及完全成本、季度养殖利润、饲料销量及毛利率、转基因种子销售进度、资产减值风险和经营现金流恢复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原实际控制人股份继承过户继续推进，莫云承接控制权</w:t>
      </w:r>
    </w:p>
    <w:p>
      <w:pPr>
        <w:spacing w:after="160" w:line="300"/>
      </w:pPr>
      <w:r>
        <w:rPr>
          <w:sz w:val="22"/>
          <w:szCs w:val="22"/>
        </w:rPr>
        <w:t xml:space="preserve">2026年9月9日，公司披露《关于原实际控制人股份继承过户事项的进展公告》。邵根伙先生于2026年2月3日因病逝世。本次完成非交易过户的股份数量为428,119,831股，过户至其配偶、公司董事长莫云女士及未成年子女邵某某名下。过户完成后，莫云女士直接持有公司695,816,123股，占总股本16.26%，成为公司控股股东、实际控制人；未成年子女邵某某直接持有160,423,539股，占总股本3.75%。邵根伙先生名下剩余71,515,169股，占总股本1.67%，目前仍处于质押状态，待解除质押后再办理继承过户。公司称，本次股份过户不会对生产经营和财务状况产生重大不利影响。后续需关注剩余质押股份的解除质押及继承过户进展，以及控股股东持股质押比例较高带来的股权稳定性风险。</w:t>
      </w:r>
    </w:p>
    <w:p>
      <w:pPr>
        <w:pStyle w:val="Heading2"/>
        <w:spacing w:after="120" w:before="240"/>
      </w:pPr>
      <w:r>
        <w:rPr>
          <w:b/>
          <w:bCs/>
          <w:color w:val="2E74B5"/>
          <w:sz w:val="24"/>
          <w:szCs w:val="24"/>
        </w:rPr>
        <w:t xml:space="preserve">4.2 控股股东及一致行动人股份质押、解除质押</w:t>
      </w:r>
    </w:p>
    <w:p>
      <w:pPr>
        <w:spacing w:after="160" w:line="300"/>
      </w:pPr>
      <w:r>
        <w:rPr>
          <w:sz w:val="22"/>
          <w:szCs w:val="22"/>
        </w:rPr>
        <w:t xml:space="preserve">2026年9月5日，公司披露《关于控股股东及其一致行动人股份质押及解除质押的公告》。邵根伙先生此前质押的428,119,831股股份已于2026年9月3日解除质押，剩余质押股份约71,515,169股，占公司总股本约1.67%。在股份继承安排落地后，莫云女士于2026年9月2日质押428,119,831股，占其持有公司股份的100%，占公司总股本约10.00%。截至2026年9月11日，公司股东累计质押股份约5.06亿股，质押比例约11.81%。部分质押比例数据来自第三方股权质押数据平台，具体情况应以公司公告及中国结算最终登记数据为准。</w:t>
      </w:r>
    </w:p>
    <w:p>
      <w:pPr>
        <w:pStyle w:val="Heading2"/>
        <w:spacing w:after="120" w:before="240"/>
      </w:pPr>
      <w:r>
        <w:rPr>
          <w:b/>
          <w:bCs/>
          <w:color w:val="2E74B5"/>
          <w:sz w:val="24"/>
          <w:szCs w:val="24"/>
        </w:rPr>
        <w:t xml:space="preserve">4.3 回购股份进展：累计回购101万股，金额303.38万元</w:t>
      </w:r>
    </w:p>
    <w:p>
      <w:pPr>
        <w:spacing w:after="160" w:line="300"/>
      </w:pPr>
      <w:r>
        <w:rPr>
          <w:sz w:val="22"/>
          <w:szCs w:val="22"/>
        </w:rPr>
        <w:t xml:space="preserve">2026年9月3日，公司披露《关于回购股份进展情况的公告》。公司于2026年5月26日审议通过回购方案，计划使用自有资金回购股份，未来拟用于股权激励或员工持股计划。回购资金总额为5,000万元至8,000万元，回购价格不超过5.70元/股，回购期限为董事会审议通过回购方案之日起12个月内。截至2026年8月31日，公司累计回购股份1,010,000股，占总股本约0.02%；最高成交价3.01元/股，最低成交价3.00元/股；累计成交金额3,033,800元，不含交易费用。按资金上限计算，实际使用金额约占回购上限的3.79%；按资金下限计算，约占下限的6.07%。回购仍处于早期阶段。</w:t>
      </w:r>
    </w:p>
    <w:p>
      <w:pPr>
        <w:pStyle w:val="Heading2"/>
        <w:spacing w:after="120" w:before="240"/>
      </w:pPr>
      <w:r>
        <w:rPr>
          <w:b/>
          <w:bCs/>
          <w:color w:val="2E74B5"/>
          <w:sz w:val="24"/>
          <w:szCs w:val="24"/>
        </w:rPr>
        <w:t xml:space="preserve">4.4 回购注销部分限制性股票并减少注册资本</w:t>
      </w:r>
    </w:p>
    <w:p>
      <w:pPr>
        <w:spacing w:after="160" w:line="300"/>
      </w:pPr>
      <w:r>
        <w:rPr>
          <w:sz w:val="22"/>
          <w:szCs w:val="22"/>
        </w:rPr>
        <w:t xml:space="preserve">2026年9月12日，公司披露《关于回购注销部分限制性股票并减少注册资本暨通知债权人的公告》。该事项已经2026年8月25日第七届董事会第三次会议及2026年9月11日2026年第四次临时股东会审议通过。本次拟回购注销安军持有的限制性股票12,000股、徐茂林持有的限制性股票32,000股，合计44,000股。注销完成后，公司股份总数将由4,280,371,965股变更为4,280,327,965股，注册资本将由42.80371965亿元变更为42.80327965亿元。债权人可在2026年9月12日至2026年10月26日期间要求公司清偿债务或提供相应担保。本次注销对总股本和每股收益的影响很小，主要属于历史股权激励事项的收尾处理。</w:t>
      </w:r>
    </w:p>
    <w:p>
      <w:pPr>
        <w:pStyle w:val="Heading2"/>
        <w:spacing w:after="120" w:before="240"/>
      </w:pPr>
      <w:r>
        <w:rPr>
          <w:b/>
          <w:bCs/>
          <w:color w:val="2E74B5"/>
          <w:sz w:val="24"/>
          <w:szCs w:val="24"/>
        </w:rPr>
        <w:t xml:space="preserve">4.5 2026年第四次临时股东会审议通过章程修订及减资事项</w:t>
      </w:r>
    </w:p>
    <w:p>
      <w:pPr>
        <w:spacing w:after="160" w:line="300"/>
      </w:pPr>
      <w:r>
        <w:rPr>
          <w:sz w:val="22"/>
          <w:szCs w:val="22"/>
        </w:rPr>
        <w:t xml:space="preserve">公司于2026年9月12日披露2026年第四次临时股东会决议公告。股东会于2026年9月11日召开，采用现场投票与网络投票相结合方式，未出现否决议案的情形。会议审议通过了修改公司章程相关议案，核心事项包括回购注销部分限制性股票、减少注册资本及相应修订公司章程。目前检索结果未显示该次股东会涉及并购、重大资产重组或新的控制权安排。</w:t>
      </w:r>
    </w:p>
    <w:p>
      <w:pPr>
        <w:pStyle w:val="Heading2"/>
        <w:spacing w:after="120" w:before="240"/>
      </w:pPr>
      <w:r>
        <w:rPr>
          <w:b/>
          <w:bCs/>
          <w:color w:val="2E74B5"/>
          <w:sz w:val="24"/>
          <w:szCs w:val="24"/>
        </w:rPr>
        <w:t xml:space="preserve">4.6 2026年8月份商品肥猪销售数据披露</w:t>
      </w:r>
    </w:p>
    <w:p>
      <w:pPr>
        <w:spacing w:after="160" w:line="300"/>
      </w:pPr>
      <w:r>
        <w:rPr>
          <w:sz w:val="22"/>
          <w:szCs w:val="22"/>
        </w:rPr>
        <w:t xml:space="preserve">2026年9月11日，公司披露《2026年8月份商品肥猪销售情况简报》。2026年8月，公司销售商品肥猪29.86万头，实现销售收入4.01亿元，销售数量环比增长24.99%、同比增长10.55%，销售收入环比增长25.71%、同比下降14.50%，销售均价为10.95元/公斤。2026年1月至8月，累计销售商品肥猪263.91万头，同比增长23.20%；累计销售收入33.99亿元，同比下降12.08%。公告未披露单头盈利、完全成本及具体生猪养殖利润，不能仅凭销售数量判断生猪业务盈利已恢复。</w:t>
      </w:r>
    </w:p>
    <w:p>
      <w:pPr>
        <w:pStyle w:val="Heading2"/>
        <w:spacing w:after="120" w:before="240"/>
      </w:pPr>
      <w:r>
        <w:rPr>
          <w:b/>
          <w:bCs/>
          <w:color w:val="2E74B5"/>
          <w:sz w:val="24"/>
          <w:szCs w:val="24"/>
        </w:rPr>
        <w:t xml:space="preserve">4.7 公司及控股子公司担保进展，担保风险提示延续</w:t>
      </w:r>
    </w:p>
    <w:p>
      <w:pPr>
        <w:spacing w:after="160" w:line="300"/>
      </w:pPr>
      <w:r>
        <w:rPr>
          <w:sz w:val="22"/>
          <w:szCs w:val="22"/>
        </w:rPr>
        <w:t xml:space="preserve">2026年9月11日，公司披露《公司及控股子公司担保进展公告》。公司对合并报表范围外主体的实际担保余额占净资产比例为20.22%；公司及控股子公司对外担保总额超过最近一期经审计净资产的100%；担保金额超过公司最近一期经审计净资产的50%；本次担保涉及多家资产负债率超过70%的被担保对象。截至公告披露日，公司对子公司担保累计逾期金额为0万元，但子公司尚未消除担保责任的对外逾期担保金额为1,613.37万元。后续需关注高负债被担保对象的偿债能力、担保代偿风险及担保额度使用情况。</w:t>
      </w:r>
    </w:p>
    <w:p>
      <w:pPr>
        <w:pStyle w:val="Heading2"/>
        <w:spacing w:after="120" w:before="240"/>
      </w:pPr>
      <w:r>
        <w:rPr>
          <w:b/>
          <w:bCs/>
          <w:color w:val="2E74B5"/>
          <w:sz w:val="24"/>
          <w:szCs w:val="24"/>
        </w:rPr>
        <w:t xml:space="preserve">4.8 2026年半年度业绩预告：预计亏损6亿至6.8亿元</w:t>
      </w:r>
    </w:p>
    <w:p>
      <w:pPr>
        <w:spacing w:after="160" w:line="300"/>
      </w:pPr>
      <w:r>
        <w:rPr>
          <w:sz w:val="22"/>
          <w:szCs w:val="22"/>
        </w:rPr>
        <w:t xml:space="preserve">公司于2026年7月15日披露2026年半年度业绩预告，预计2026年1月至6月归属于上市公司股东的净利润亏损6.00亿元至6.80亿元，扣除非经常性损益后的净利润亏损5.90亿元至6.70亿元，基本每股收益亏损0.14元至0.16元。公司解释称，报告期内种子、饲料及生猪销量同比增长，生猪养殖成本同比下降，但受生猪市场价格低迷影响，商品猪销售均价同比下降约30%，导致生猪养殖业务及整体经营业绩同比由盈转亏。</w:t>
      </w:r>
    </w:p>
    <w:p>
      <w:pPr>
        <w:pStyle w:val="Heading2"/>
        <w:spacing w:after="120" w:before="240"/>
      </w:pPr>
      <w:r>
        <w:rPr>
          <w:b/>
          <w:bCs/>
          <w:color w:val="2E74B5"/>
          <w:sz w:val="24"/>
          <w:szCs w:val="24"/>
        </w:rPr>
        <w:t xml:space="preserve">4.9 半年度报告确认亏损6.77亿元</w:t>
      </w:r>
    </w:p>
    <w:p>
      <w:pPr>
        <w:spacing w:after="160" w:line="300"/>
      </w:pPr>
      <w:r>
        <w:rPr>
          <w:sz w:val="22"/>
          <w:szCs w:val="22"/>
        </w:rPr>
        <w:t xml:space="preserve">公司于2026年8月27日披露2026年半年度报告。报告期内营业收入138.11亿元，同比增长1.86%；归属于上市公司股东的净利润亏损6.7655亿元，上年同期盈利2.3531亿元；扣除非经常性损益后的净利润亏损6.5572亿元，上年同期盈利1.7063亿元；经营活动产生的现金流量净额为-12.2466亿元，上年同期为2,410.25万元；基本每股收益为-0.16元。实际亏损额处于此前业绩预告区间内。</w:t>
      </w:r>
    </w:p>
    <w:p>
      <w:pPr>
        <w:pStyle w:val="Heading2"/>
        <w:spacing w:after="120" w:before="240"/>
      </w:pPr>
      <w:r>
        <w:rPr>
          <w:b/>
          <w:bCs/>
          <w:color w:val="2E74B5"/>
          <w:sz w:val="24"/>
          <w:szCs w:val="24"/>
        </w:rPr>
        <w:t xml:space="preserve">4.10 近期未发现新的重大并购、重大资产重组或监管处罚公告</w:t>
      </w:r>
    </w:p>
    <w:p>
      <w:pPr>
        <w:spacing w:after="160" w:line="300"/>
      </w:pPr>
      <w:r>
        <w:rPr>
          <w:sz w:val="22"/>
          <w:szCs w:val="22"/>
        </w:rPr>
        <w:t xml:space="preserve">截至2026年9月13日，针对“002385/大北农+2026年9月+并购、重大资产重组、监管处罚、政策处罚”等关键词进行检索，未发现公司在2026年9月披露新的重大并购、重大资产重组或监管处罚公告。但“未检索到”不等同于绝对不存在非公告渠道报道或尚未披露事项，且公告披露可能存在滞后。近期公开信息的核心关注点包括实际控制人继承过户及控制权承接尚未完全收尾、回购计划执行进度较低、生猪价格下行导致收入及利润承压、对外担保规模较大并存在1,613.37万元尚未消除的对外逾期担保责任，以及限制性股票回购注销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-1.75%，较前一交易日下跌0.06元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3.40元/3.45元/3.33元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约125.90万手，约1.258亿股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约4.24亿元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约144.25亿元/约116.06亿元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4.76元/2.64元；当前收盘价较高点低约29.2%，较低点高约27.7%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近期价格结构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9月4日至9月8日快速拉升，9月8日盘中高点达3.67元，随后连续回落；9月11日较9月8日收盘价3.61元回撤约6.65%，3.60元附近出现明显抛压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估值口径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动态市盈率为亏损，因滚动及预测口径下净利润为负，PE不具备正常估值解释意义</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均线系统（公开页面，截至2026年9月10日）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MA5约3.46元，MA10约3.53元，MA20约3.55元，MA50约3.44元，MA100约3.34元，MA200约3.18元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截至9月10日收盘价3.43元低于MA5、MA10和MA20，但仍略高于MA100和MA200；9月11日收盘价降至3.37元后，大概率继续位于短期均线下方，中长期趋势尚未完全破坏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自行测算均线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基于2026年8月14日至9月11日20个交易日收盘价估算：MA5约3.50元、MA10约3.44元、MA20约3.36元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与公开页面数据存在约0.02元至0.07元差异，可能来自历史样本、交易日范围、复权处理及更新时间不同，应视为公开收盘价估算而非实时终端指标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MACD(12,26)约0.010，公开页面信号为“买入”；DIF、DEA具体数值未完整展示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9月10日快照仍显示轻微正向信号，但9月10日和9月11日连续下跌，指标可能存在滞后，无法据此确认趋势已经转强，也无法给出9月11日收盘后的精确MACD数值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RSI(14)约41.30，页面信号为“卖出”；StochRSI处于超卖区域；Williams %R约-96，处于超卖区间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市场动能偏弱但尚未达到极端超卖；基于9月4日至9月11日收盘价简单估算的RSI6约38.5，因算法不同不能替代标准终端数据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基于2026年8月14日至9月11日收盘价估算：中轨约3.36元，上轨约3.63元，下轨约3.08元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9月11日收盘价接近估算中轨；若重新站上3.50~3.55元并伴随成交量放大，短线形态可能改善；若跌破3.30元，下方可能逐步测试3.08~3.20元区间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主力资金与融资资金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9月10日主力资金净流出约7320.62万元，另一页面显示净流出约6067.80万元，金额存在口径差异；融资余额约5.84亿元，融资买入额约4098.03万元；9月9日融资余额约6.16亿元，9月8日约6.17亿元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9月8日上涨并放量后，9月9日至10日融资余额和主力资金回落，9月10日主力净流出较明显，显示高位兑现压力；9月11日主力资金精确数值缺乏可靠交叉核实，未纳入结论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2026年9月7日至11日成交额分别约6.80亿元、9.42亿元、7.87亿元、5.94亿元、4.24亿元；换手率分别约5.64%、7.60%、6.34%、4.97%、3.66%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近5个交易日平均成交额约6.85亿元、平均成交量约1.94亿股；9月11日价格下跌伴随成交量萎缩，可能处于调整后的观望阶段，但尚未形成明确缩量止跌信号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股东集中度与筹码结构（截至2026年6月30日）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总数约244,476户；前十大流通股东合计持有约4.93亿股，占流通盘约14.22%；机构持股约2.47亿股，占流通盘约7.12%，其中基金持股约1.62亿股，占流通盘约4.67%，其他机构持股约8493.15万股，占流通盘约2.45%；同花顺评价为“主力控盘度较低”</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数据至少滞后一个季度，不能代表2026年9月11日实时筹码结构；前十大流通股东占比不高，筹码较分散，股价可能对短期资金流和板块情绪较敏感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重要股东质押（截至2026年9月11日）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重要股东质押股份合计约5.06亿股，占A股总股本约11.81%；其中莫云质押约4.28亿股，占公司总股本约10%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应关注质押风险及股权结构变化；研究纪要未进一步提供质押预警线等信息</w:t>
            </w:r>
          </w:p>
        </w:tc>
      </w:tr>
    </w:tbl>
    <w:p>
      <w:pPr>
        <w:spacing w:before="200"/>
      </w:pPr>
    </w:p>
    <w:p>
      <w:pPr>
        <w:spacing w:after="160" w:line="300"/>
      </w:pPr>
      <w:r>
        <w:rPr>
          <w:sz w:val="22"/>
          <w:szCs w:val="22"/>
        </w:rPr>
        <w:t xml:space="preserve">截至2026年9月11日，大北农收于3.37元，短线呈现“快速拉升—高位放量—连续回落”结构。股价已低于公开页面显示的MA5、MA10和MA20，也低于自行估算的MA5和MA10，但仍接近自行估算的20日均线及布林中轨。MACD在9月10日仍显示轻微正向信号，但RSI约41、Williams %R约-96，显示短线动能偏弱且存在超卖特征，技术指标尚不足以确认趋势反转。资金面上，9月10日主力资金净流出，融资余额较9月8日回落；9月11日成交额和换手率进一步下降，价格下跌伴随缩量。综合来看，3.30~3.40元为短线重要观察区域，3.50~3.63元为主要反弹压力区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3.50~3.63元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对应近期成交密集区、公开页面MA5/MA10附近的3.46~3.53元区域及自行测算布林上轨约3.63元。若放量突破3.60~3.63元，短线才可能打开向3.70元附近修复的空间。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3.30~3.40元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对应9月11日最低价3.33元、近期成交密集区及20日均线附近。若在该区间缩量企稳，可能形成震荡整理；若放量跌破3.30元，短线弱势可能延续。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3.08~3.20元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接近自行测算布林下轨约3.08元、8月20日至21日低位成交区域及3.20元整数关口。若该区间失守，下一步可能测试2.96~3.00元附近前期低点区域。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资金和成交量结构的主观启发式权重，不是统计学概率）：价格区间约3.30~3.55元。触发条件为守住3.30~3.40元支撑区，成交额维持约4亿~7亿元，且未出现明显行业利空或大盘快速下跌。若成立，股价可能在前期支撑与3.50元附近压力之间反复波动。</w:t>
      </w:r>
    </w:p>
    <w:p>
      <w:pPr>
        <w:pStyle w:val="ListParagraph"/>
        <w:numPr>
          <w:ilvl w:val="0"/>
          <w:numId w:val="2"/>
        </w:numPr>
        <w:spacing w:after="80" w:line="280"/>
      </w:pPr>
      <w:r>
        <w:rPr>
          <w:sz w:val="22"/>
          <w:szCs w:val="22"/>
        </w:rPr>
        <w:t xml:space="preserve">偏弱下行（权重中等，约三成左右；为主观启发式权重，不是统计学概率）：价格区间约3.08~3.30元。触发条件为有效跌破3.30元，且单日成交额重新放大至7亿元以上但收盘仍偏弱，或农业养殖板块整体走弱、主力资金继续净流出。若3.08~3.20元区域也无法承接，价格可能进一步测试3.00元附近。</w:t>
      </w:r>
    </w:p>
    <w:p>
      <w:pPr>
        <w:pStyle w:val="ListParagraph"/>
        <w:numPr>
          <w:ilvl w:val="0"/>
          <w:numId w:val="2"/>
        </w:numPr>
        <w:spacing w:after="80" w:line="280"/>
      </w:pPr>
      <w:r>
        <w:rPr>
          <w:sz w:val="22"/>
          <w:szCs w:val="22"/>
        </w:rPr>
        <w:t xml:space="preserve">反弹走强（权重偏低，约一成至两成；为主观启发式权重，不是统计学概率）：价格区间约3.50~3.70元。触发条件为重新站上3.50元，并至少连续一个交易日保持在3.55元上方，同时成交额放大至8亿元以上；若进一步突破3.60~3.63元压力区，短线反弹有效性增强。若仅无量反弹至3.50元附近，更可能属于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最近5个交易日平均成交额约6.85亿元、平均成交量约1.94亿股；9月11日成交额约4.24亿元、换手率3.66%，低于9月8日约9.42亿元和7.60%的阶段高位。前十大流通股东数据截至2026年6月30日，合计占流通盘约14.22%，且同花顺评价为主力控盘度较低；该数据至少滞后一个季度，实际筹码结构可能已发生变化。数据反映筹码相对分散，股价可能对短期资金进出和板块情绪较敏感；在成交额下降时，订单承接和价格波动对资金流的敏感度可能上升。</w:t>
      </w:r>
    </w:p>
    <w:p>
      <w:pPr>
        <w:spacing w:after="160" w:line="300"/>
      </w:pPr>
      <w:r>
        <w:rPr>
          <w:sz w:val="22"/>
          <w:szCs w:val="22"/>
        </w:rPr>
        <w:t xml:space="preserve">可检查的量能确认信号是：若未来出现单日成交额连续放大至8亿元以上，并且股价收盘站上3.50~3.55元，可视为短线资金重新介入的确认信号之一；若成交额放大但收盘跌破3.30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观察3.30~3.40元区域能否形成有效支撑，以及跌破3.30元后是否向3.08~3.20元区间运行。以上为观察思路，非操作指令。</w:t>
      </w:r>
    </w:p>
    <w:p>
      <w:pPr>
        <w:pStyle w:val="ListParagraph"/>
        <w:numPr>
          <w:ilvl w:val="0"/>
          <w:numId w:val="2"/>
        </w:numPr>
        <w:spacing w:after="80" w:line="280"/>
      </w:pPr>
      <w:r>
        <w:rPr>
          <w:sz w:val="22"/>
          <w:szCs w:val="22"/>
        </w:rPr>
        <w:t xml:space="preserve">观察3.50~3.63元压力区能否在成交量放大条件下突破。以上为观察思路，非操作指令。</w:t>
      </w:r>
    </w:p>
    <w:p>
      <w:pPr>
        <w:pStyle w:val="ListParagraph"/>
        <w:numPr>
          <w:ilvl w:val="0"/>
          <w:numId w:val="2"/>
        </w:numPr>
        <w:spacing w:after="80" w:line="280"/>
      </w:pPr>
      <w:r>
        <w:rPr>
          <w:sz w:val="22"/>
          <w:szCs w:val="22"/>
        </w:rPr>
        <w:t xml:space="preserve">观察主力资金是否从2026年9月10日净流出状态转为连续净流入，但9月11日主力资金数据尚缺乏可靠交叉核实。以上为观察思路，非操作指令。</w:t>
      </w:r>
    </w:p>
    <w:p>
      <w:pPr>
        <w:pStyle w:val="ListParagraph"/>
        <w:numPr>
          <w:ilvl w:val="0"/>
          <w:numId w:val="2"/>
        </w:numPr>
        <w:spacing w:after="80" w:line="280"/>
      </w:pPr>
      <w:r>
        <w:rPr>
          <w:sz w:val="22"/>
          <w:szCs w:val="22"/>
        </w:rPr>
        <w:t xml:space="preserve">观察成交额能否连续达到8亿元以上，并配合收盘价站上3.50~3.55元。以上为观察思路，非操作指令。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农牧行业包括饲料、生猪养殖和种业等细分领域。饲料行业已进入成熟与整合阶段，竞争重点从单纯产能扩张转向原料采购、配方和动物营养技术、渠道服务、规模化生产及数字化养殖服务；生猪养殖具有明显周期性；种业则以种质资源、育种能力、生物育种和转基因性状、品种审定及推广能力为核心竞争要素。</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2025年全国工业饲料总产量34225.3万吨，同比增长8.6%；猪饲料产量16639.4万吨，同比增长15.6%。年产百万吨以上规模饲料企业集团37家，合计产量占全国饲料总产量57.0%。</w:t>
      </w:r>
    </w:p>
    <w:p>
      <w:pPr>
        <w:pStyle w:val="ListParagraph"/>
        <w:numPr>
          <w:ilvl w:val="0"/>
          <w:numId w:val="2"/>
        </w:numPr>
        <w:spacing w:after="80" w:line="280"/>
      </w:pPr>
      <w:r>
        <w:rPr>
          <w:sz w:val="22"/>
          <w:szCs w:val="22"/>
        </w:rPr>
        <w:t xml:space="preserve">2024年全国工业饲料总产量31503.1万吨，年产百万吨以上企业集团34家，合计产量占全国总产量55.0%。行业集中度提升，但仍存在大量区域性和专业化企业，尚未形成单一龙头绝对垄断。</w:t>
      </w:r>
    </w:p>
    <w:p>
      <w:pPr>
        <w:pStyle w:val="ListParagraph"/>
        <w:numPr>
          <w:ilvl w:val="0"/>
          <w:numId w:val="2"/>
        </w:numPr>
        <w:spacing w:after="80" w:line="280"/>
      </w:pPr>
      <w:r>
        <w:rPr>
          <w:sz w:val="22"/>
          <w:szCs w:val="22"/>
        </w:rPr>
        <w:t xml:space="preserve">生猪养殖核心变量包括能繁母猪存栏、生猪出栏量、猪价、饲料成本、疫病和生物安全。2025年全国生猪出栏71973万头，同比增长2.4%；年末生猪存栏42967万头，同比增长0.5%；能繁母猪存栏3961万头，为正常保有量的101.6%。</w:t>
      </w:r>
    </w:p>
    <w:p>
      <w:pPr>
        <w:pStyle w:val="ListParagraph"/>
        <w:numPr>
          <w:ilvl w:val="0"/>
          <w:numId w:val="2"/>
        </w:numPr>
        <w:spacing w:after="80" w:line="280"/>
      </w:pPr>
      <w:r>
        <w:rPr>
          <w:sz w:val="22"/>
          <w:szCs w:val="22"/>
        </w:rPr>
        <w:t xml:space="preserve">规模猪企在采购、育种、疫病防控、融资和养殖效率方面具有优势，但猪价波动会显著影响利润。大北农的“公司+生态农场”模式资本开支和资产投入可能相对灵活，同时对合作农户管理、生物安全和利益分配机制提出更高要求。</w:t>
      </w:r>
    </w:p>
    <w:p>
      <w:pPr>
        <w:pStyle w:val="ListParagraph"/>
        <w:numPr>
          <w:ilvl w:val="0"/>
          <w:numId w:val="2"/>
        </w:numPr>
        <w:spacing w:after="80" w:line="280"/>
      </w:pPr>
      <w:r>
        <w:rPr>
          <w:sz w:val="22"/>
          <w:szCs w:val="22"/>
        </w:rPr>
        <w:t xml:space="preserve">种业行业技术和合规门槛随生物育种产业化推进而提升。大北农拥有超过10万份保存能力的中长期种质资源库，并储备转基因性状、玉米和水稻品种资源，但种业业务仍处于商业化放量过程中。</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海大集团（002311）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综合饲料龙头，覆盖饲料、养殖服务和水产产业链</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在饲料规模、原料采购、动物营养技术和水产饲料方面优势突出；大北农更偏向猪料、种业、生猪养殖和生物技术。</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新希望（000876）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综合饲料和养殖企业，覆盖禽料、猪料、反刍料、水产料、生猪、禽业、食品和贸易</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规模和产业链完整度较强，整体饲料体量及禽料布局更大；大北农在猪前端料、种业和转基因生物技术储备方面更具特色。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通威股份（600438）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水产饲料、种苗、水产养殖及光伏综合企业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水产产业链属性更强，但在饲料技术、规模化采购和养殖服务领域具有可比性。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唐人神（002567）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以生猪产业链和饲料业务为核心，兼有肉制品业务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与大北农在猪饲料、生猪养殖和区域化产业链方面重合度较高；大北农在种业、生物育种和研发平台方面更具特色。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隆平高科（000998）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以杂交水稻、玉米种业和生物育种为主的种业公司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是评估大北农种业估值和转基因商业化潜力的重要参照；大北农的饲料和生猪业务规模更大，种业是其第二成长曲线。</w:t>
            </w:r>
          </w:p>
        </w:tc>
      </w:tr>
    </w:tbl>
    <w:p>
      <w:pPr>
        <w:spacing w:before="200"/>
      </w:pPr>
    </w:p>
    <w:p>
      <w:pPr>
        <w:spacing w:after="160" w:line="300"/>
      </w:pPr>
      <w:r>
        <w:rPr>
          <w:sz w:val="22"/>
          <w:szCs w:val="22"/>
        </w:rPr>
        <w:t xml:space="preserve">大北农与海大集团、新希望、唐人神同属饲料及养殖综合型企业，但大北农的业务组合更突出猪料、种业和生物育种；与通威股份相比，其水产产业链属性较弱；与隆平高科相比，大北农饲料和生猪业务规模更大，而种业仍处于商业化放量阶段。公司相对优势在于猪前端料、种质资源、转基因性状和“作物科技+动物科技”协同，当前盈利仍主要由饲料和生猪业务决定。</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生猪价格下行风险：2026年上半年商品猪销售均价同比下降约30%，导致归母净利润亏损6.77亿元；2026年8月销售均价为10.95元/公斤，1—8月销量同比增长23.20%但销售收入同比下降12.08%，若价格继续低迷，出栏增长可能无法转化为盈利。</w:t>
      </w:r>
    </w:p>
    <w:p>
      <w:pPr>
        <w:pStyle w:val="ListParagraph"/>
        <w:numPr>
          <w:ilvl w:val="0"/>
          <w:numId w:val="2"/>
        </w:numPr>
        <w:spacing w:after="80" w:line="280"/>
      </w:pPr>
      <w:r>
        <w:rPr>
          <w:sz w:val="22"/>
          <w:szCs w:val="22"/>
        </w:rPr>
        <w:t xml:space="preserve">养殖成本与生物安全风险：公司采用“自繁自养”试点与“公司+生态农场”相结合的模式，2026年上半年虽披露生猪养殖成本同比下降，但未提供具体完全成本和单头盈利；合作农场管理、生物安全和疫病防控若不及预期，可能进一步压缩养殖利润。</w:t>
      </w:r>
    </w:p>
    <w:p>
      <w:pPr>
        <w:pStyle w:val="ListParagraph"/>
        <w:numPr>
          <w:ilvl w:val="0"/>
          <w:numId w:val="2"/>
        </w:numPr>
        <w:spacing w:after="80" w:line="280"/>
      </w:pPr>
      <w:r>
        <w:rPr>
          <w:sz w:val="22"/>
          <w:szCs w:val="22"/>
        </w:rPr>
        <w:t xml:space="preserve">饲料原料成本风险：2025年饲料产品营业成本中原料成本占比94.17%，公司对玉米、豆粕、小麦等大宗原料缺乏明显定价权；若原料价格上涨而饲料价格传导不充分，饲料产品毛利率可能继续承压。</w:t>
      </w:r>
    </w:p>
    <w:p>
      <w:pPr>
        <w:pStyle w:val="ListParagraph"/>
        <w:numPr>
          <w:ilvl w:val="0"/>
          <w:numId w:val="2"/>
        </w:numPr>
        <w:spacing w:after="80" w:line="280"/>
      </w:pPr>
      <w:r>
        <w:rPr>
          <w:sz w:val="22"/>
          <w:szCs w:val="22"/>
        </w:rPr>
        <w:t xml:space="preserve">现金流与减值风险：2026年上半年经营活动现金流净额为-12.25亿元，2025年为8.29亿元且同比下降66.62%；2025年还受到长期股权投资、生物资产及商誉等减值影响，若采购、存货、应付款或资产经营状况恶化，可能继续拖累现金流和净利润。</w:t>
      </w:r>
    </w:p>
    <w:p>
      <w:pPr>
        <w:pStyle w:val="ListParagraph"/>
        <w:numPr>
          <w:ilvl w:val="0"/>
          <w:numId w:val="2"/>
        </w:numPr>
        <w:spacing w:after="80" w:line="280"/>
      </w:pPr>
      <w:r>
        <w:rPr>
          <w:sz w:val="22"/>
          <w:szCs w:val="22"/>
        </w:rPr>
        <w:t xml:space="preserve">种业商业化不及预期风险：种业产品2025年毛利率为37.22%，但种业产品收入仅15.28亿元，种子植保业务合计收入17.56亿元，业务规模仍不足以对冲生猪周期波动；转基因性状授权、合作种企推广、品种审定和市场放量若低于预期，第二成长曲线可能难以兑现。</w:t>
      </w:r>
    </w:p>
    <w:p>
      <w:pPr>
        <w:pStyle w:val="ListParagraph"/>
        <w:numPr>
          <w:ilvl w:val="0"/>
          <w:numId w:val="2"/>
        </w:numPr>
        <w:spacing w:after="80" w:line="280"/>
      </w:pPr>
      <w:r>
        <w:rPr>
          <w:sz w:val="22"/>
          <w:szCs w:val="22"/>
        </w:rPr>
        <w:t xml:space="preserve">控制权承接与股权质押风险：莫云已成为控股股东、实际控制人，但原实际控制人名下仍有约1.67%股份处于质押状态；莫云已质押其持有公司股份的100%，公司重要股东累计质押股份约占总股本11.81%，后续解除质押、继承过户及股价波动可能影响股权稳定性。</w:t>
      </w:r>
    </w:p>
    <w:p>
      <w:pPr>
        <w:pStyle w:val="ListParagraph"/>
        <w:numPr>
          <w:ilvl w:val="0"/>
          <w:numId w:val="2"/>
        </w:numPr>
        <w:spacing w:after="80" w:line="280"/>
      </w:pPr>
      <w:r>
        <w:rPr>
          <w:sz w:val="22"/>
          <w:szCs w:val="22"/>
        </w:rPr>
        <w:t xml:space="preserve">对外担保及偿债风险：公司及控股子公司对外担保总额超过最近一期经审计净资产的100%，对合并报表范围外主体的实际担保余额占净资产比例为20.22%；部分被担保对象资产负债率超过70%，且尚未消除的对外逾期担保责任为1,613.37万元，存在潜在代偿压力。</w:t>
      </w:r>
    </w:p>
    <w:p>
      <w:pPr>
        <w:pStyle w:val="ListParagraph"/>
        <w:numPr>
          <w:ilvl w:val="0"/>
          <w:numId w:val="2"/>
        </w:numPr>
        <w:spacing w:after="80" w:line="280"/>
      </w:pPr>
      <w:r>
        <w:rPr>
          <w:sz w:val="22"/>
          <w:szCs w:val="22"/>
        </w:rPr>
        <w:t xml:space="preserve">短期股价与资金面波动风险：截至2026年9月11日股价为3.37元，低于公开页面显示的MA5、MA10和MA20；9月10日主力资金出现较大净流出，9月11日成交额降至约4.24亿元、换手率降至3.66%，若3.30元附近支撑失守，技术面弱势可能延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大北农的业务基础仍较完整，形成了“饲料+生猪养殖+种业及生物育种+动保”的作物科技与动物科技双主线。饲料业务具备规模和渠道基础，种业及生物育种业务具有较高毛利率和潜在成长空间；但公司当前利润主要仍由饲料和生猪业务决定，猪价、养殖成本和原料价格变化对盈利具有更直接的影响。</w:t>
      </w:r>
    </w:p>
    <w:p>
      <w:pPr>
        <w:spacing w:after="160" w:line="300"/>
      </w:pPr>
      <w:r>
        <w:rPr>
          <w:sz w:val="22"/>
          <w:szCs w:val="22"/>
        </w:rPr>
        <w:t xml:space="preserve">短期业绩修复仍缺乏充分验证。2026年上半年已出现较大亏损和经营现金流转负，8月商品肥猪销售均价为10.95元/公斤，销售数量增长但收入同比下降；因此，后续需重点观察商品猪价格、完全成本、养殖利润、饲料毛利率及经营现金流能否同步改善。华安证券预测公司2026年仍亏损、2027年归母净利润恢复至11.89亿元，但该预测来自单一券商，且其他机构较早预测与最新半年报存在明显差异。</w:t>
      </w:r>
    </w:p>
    <w:p>
      <w:pPr>
        <w:spacing w:after="160" w:line="300"/>
      </w:pPr>
      <w:r>
        <w:rPr>
          <w:sz w:val="22"/>
          <w:szCs w:val="22"/>
        </w:rPr>
        <w:t xml:space="preserve">估值和技术面的改善均依赖盈利预期兑现。公司截至2026年9月11日市值约144.25亿元，因近十二个月亏损无法使用传统PE进行判断；若未来利润恢复，市场关注点将转向生猪业务修复和种业商业化进展。技术上股价接近3.30—3.40元观察区间，但短期均线、资金流和成交量尚未形成明确转强信号，控制权承接、股权质押、对外担保及减值风险也将影响市场对盈利恢复持续性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https://disc.static.szse.cn/disc/disk03/finalpage/2026-04-24/1f964edd-d236-4c27-9c29-d84b3c7d655a.PDF — https://disc.static.szse.cn/disc/disk03/finalpage/2026-04-24/1f964edd-d236-4c27-9c29-d84b3c7d655a.PDF</w:t>
      </w:r>
    </w:p>
    <w:p>
      <w:pPr>
        <w:spacing w:after="200"/>
      </w:pPr>
      <w:r>
        <w:rPr>
          <w:i/>
          <w:iCs/>
          <w:color w:val="595959"/>
          <w:sz w:val="18"/>
          <w:szCs w:val="18"/>
        </w:rPr>
        <w:t xml:space="preserve">公司公告_大北农：2024年年度报告摘要新浪财经_新浪网 — https://vip.stock.finance.sina.com.cn/corp/view/vCB_AllBulletinDetail.php?id=10962502&amp;utm_source=openai</w:t>
      </w:r>
    </w:p>
    <w:p>
      <w:pPr>
        <w:spacing w:after="200"/>
      </w:pPr>
      <w:r>
        <w:rPr>
          <w:i/>
          <w:iCs/>
          <w:color w:val="595959"/>
          <w:sz w:val="18"/>
          <w:szCs w:val="18"/>
        </w:rPr>
        <w:t xml:space="preserve">大北农(002385)的历史市盈率,历史市净率,历史股息率,新闻,财报,研报,数据 - 理财大视野 — https://dashiyetouzi.com/tools/stock.php?stock_id=002385&amp;utm_source=openai</w:t>
      </w:r>
    </w:p>
    <w:p>
      <w:pPr>
        <w:spacing w:after="200"/>
      </w:pPr>
      <w:r>
        <w:rPr>
          <w:i/>
          <w:iCs/>
          <w:color w:val="595959"/>
          <w:sz w:val="18"/>
          <w:szCs w:val="18"/>
        </w:rPr>
        <w:t xml:space="preserve">大北农(002385)_股票行情_证券之星 — https://stock.quote.stockstar.com/002385.shtml?utm_source=openai</w:t>
      </w:r>
    </w:p>
    <w:p>
      <w:pPr>
        <w:spacing w:after="200"/>
      </w:pPr>
      <w:r>
        <w:rPr>
          <w:i/>
          <w:iCs/>
          <w:color w:val="595959"/>
          <w:sz w:val="18"/>
          <w:szCs w:val="18"/>
        </w:rPr>
        <w:t xml:space="preserve">大北农(002385)_公司公告_大北农：2026年半年度报告新浪财经_新浪网 — https://vip.stock.finance.sina.com.cn/corp/view/vCB_AllBulletinDetail.php?id=12547190&amp;stockid=002385&amp;utm_source=openai</w:t>
      </w:r>
    </w:p>
    <w:p>
      <w:pPr>
        <w:spacing w:after="200"/>
      </w:pPr>
      <w:r>
        <w:rPr>
          <w:i/>
          <w:iCs/>
          <w:color w:val="595959"/>
          <w:sz w:val="18"/>
          <w:szCs w:val="18"/>
        </w:rPr>
        <w:t xml:space="preserve">大北农: 2026年半年度业绩预告_股票频道_证券之星 — https://stock.stockstar.com/SN2026071400044862.shtml?utm_source=openai</w:t>
      </w:r>
    </w:p>
    <w:p>
      <w:pPr>
        <w:spacing w:after="200"/>
      </w:pPr>
      <w:r>
        <w:rPr>
          <w:i/>
          <w:iCs/>
          <w:color w:val="595959"/>
          <w:sz w:val="18"/>
          <w:szCs w:val="18"/>
        </w:rPr>
        <w:t xml:space="preserve">大北农(002385)_公司公告_大北农：2025年年度报告摘要新浪财经_新浪网 — https://money.finance.sina.com.cn/corp/view/vCB_AllBulletinDetail.php?id=12172378&amp;stockid=002385&amp;utm_source=openai</w:t>
      </w:r>
    </w:p>
    <w:p>
      <w:pPr>
        <w:spacing w:after="200"/>
      </w:pPr>
      <w:r>
        <w:rPr>
          <w:i/>
          <w:iCs/>
          <w:color w:val="595959"/>
          <w:sz w:val="18"/>
          <w:szCs w:val="18"/>
        </w:rPr>
        <w:t xml:space="preserve">大北农(002385)_公司公告_大北农：2025年年度审计报告新浪财经_新浪网 — https://money.finance.sina.com.cn/corp/view/vCB_AllBulletinDetail.php?id=12172401&amp;stockid=002385&amp;utm_source=openai</w:t>
      </w:r>
    </w:p>
    <w:p>
      <w:pPr>
        <w:spacing w:after="200"/>
      </w:pPr>
      <w:r>
        <w:rPr>
          <w:i/>
          <w:iCs/>
          <w:color w:val="595959"/>
          <w:sz w:val="18"/>
          <w:szCs w:val="18"/>
        </w:rPr>
        <w:t xml:space="preserve">盈利预测 — https://webf10.gw.com.cn/SZ/B16/SZ002385_B16.html?utm_source=openai</w:t>
      </w:r>
    </w:p>
    <w:p>
      <w:pPr>
        <w:spacing w:after="200"/>
      </w:pPr>
      <w:r>
        <w:rPr>
          <w:i/>
          <w:iCs/>
          <w:color w:val="595959"/>
          <w:sz w:val="18"/>
          <w:szCs w:val="18"/>
        </w:rPr>
        <w:t xml:space="preserve">证券研究报告| 2025年11月02日 — https://pdf.dfcfw.com/pdf/H3_AP202511031774257407_1.pdf?1762168123000.pdf=&amp;utm_source=openai</w:t>
      </w:r>
    </w:p>
    <w:p>
      <w:pPr>
        <w:spacing w:after="200"/>
      </w:pPr>
      <w:r>
        <w:rPr>
          <w:i/>
          <w:iCs/>
          <w:color w:val="595959"/>
          <w:sz w:val="18"/>
          <w:szCs w:val="18"/>
        </w:rPr>
        <w:t xml:space="preserve">大北农震荡持平大盘 主力资金净流出 机构目标价5.46元 - 经济观察网 － 专业财经新闻网站 — https://www.eeo.com.cn/2026/0407/829871.shtml?utm_source=openai</w:t>
      </w:r>
    </w:p>
    <w:p>
      <w:pPr>
        <w:spacing w:after="200"/>
      </w:pPr>
      <w:r>
        <w:rPr>
          <w:i/>
          <w:iCs/>
          <w:color w:val="595959"/>
          <w:sz w:val="18"/>
          <w:szCs w:val="18"/>
        </w:rPr>
        <w:t xml:space="preserve">大北农(002385)股票最新价格行情,实时走势图,股价分析预测_英为财情Investing.com — https://cn.investing.com/equities/dabeinong-tech-a?utm_source=openai</w:t>
      </w:r>
    </w:p>
    <w:p>
      <w:pPr>
        <w:spacing w:after="200"/>
      </w:pPr>
      <w:r>
        <w:rPr>
          <w:i/>
          <w:iCs/>
          <w:color w:val="595959"/>
          <w:sz w:val="18"/>
          <w:szCs w:val="18"/>
        </w:rPr>
        <w:t xml:space="preserve">华泰证券-大北农(002385)24Q3同比扭亏，转基因发力可期-241023.pdf — https://pdf.dfcfw.com/pdf/H3_AP202410231640446642_1.pdf?utm_source=openai</w:t>
      </w:r>
    </w:p>
    <w:p>
      <w:pPr>
        <w:spacing w:after="200"/>
      </w:pPr>
      <w:r>
        <w:rPr>
          <w:i/>
          <w:iCs/>
          <w:color w:val="595959"/>
          <w:sz w:val="18"/>
          <w:szCs w:val="18"/>
        </w:rPr>
        <w:t xml:space="preserve">Beijing Dabeinong Technology Group Co Ltd (002385)歷史價格 - Investing.com — https://hk.investing.com/equities/dabeinong-tech-a-historical-data?utm_source=openai</w:t>
      </w:r>
    </w:p>
    <w:p>
      <w:pPr>
        <w:spacing w:after="200"/>
      </w:pPr>
      <w:r>
        <w:rPr>
          <w:i/>
          <w:iCs/>
          <w:color w:val="595959"/>
          <w:sz w:val="18"/>
          <w:szCs w:val="18"/>
        </w:rPr>
        <w:t xml:space="preserve">大北农(002385)_财务分析_证券之星 — https://stock.quote.stockstar.com/finance_002385.shtml?utm_source=openai</w:t>
      </w:r>
    </w:p>
    <w:p>
      <w:pPr>
        <w:spacing w:after="200"/>
      </w:pPr>
      <w:r>
        <w:rPr>
          <w:i/>
          <w:iCs/>
          <w:color w:val="595959"/>
          <w:sz w:val="18"/>
          <w:szCs w:val="18"/>
        </w:rPr>
        <w:t xml:space="preserve">证券简称：大北农           上市地点：深圳证券交易所         股票代码：002385 — https://disc.static.szse.cn/disc/disk03/finalpage/2023-02-24/3cd62b35-995e-436b-a7c4-a9c9bb97412b.PDF?utm_source=openai</w:t>
      </w:r>
    </w:p>
    <w:p>
      <w:pPr>
        <w:spacing w:after="200"/>
      </w:pPr>
      <w:r>
        <w:rPr>
          <w:i/>
          <w:iCs/>
          <w:color w:val="595959"/>
          <w:sz w:val="18"/>
          <w:szCs w:val="18"/>
        </w:rPr>
        <w:t xml:space="preserve">大北农(002385)_公司公告_大北农：关于原实际控制人股份继承过户事项的进展公告新浪财经_新浪网 — https://money.finance.sina.com.cn/corp/view/vCB_AllBulletinDetail.php?id=12591042&amp;stockid=002385&amp;utm_source=openai</w:t>
      </w:r>
    </w:p>
    <w:p>
      <w:pPr>
        <w:spacing w:after="200"/>
      </w:pPr>
      <w:r>
        <w:rPr>
          <w:i/>
          <w:iCs/>
          <w:color w:val="595959"/>
          <w:sz w:val="18"/>
          <w:szCs w:val="18"/>
        </w:rPr>
        <w:t xml:space="preserve">北京大北农科技集团股份有限公司关于控股股东及其一致行动人股份质押及解除质押的公告_新浪财经_新浪网 — https://finance.sina.com.cn/roll/2026-09-05/doc-iniqszsk0921271.shtml?utm_source=openai</w:t>
      </w:r>
    </w:p>
    <w:p>
      <w:pPr>
        <w:spacing w:after="200"/>
      </w:pPr>
      <w:r>
        <w:rPr>
          <w:i/>
          <w:iCs/>
          <w:color w:val="595959"/>
          <w:sz w:val="18"/>
          <w:szCs w:val="18"/>
        </w:rPr>
        <w:t xml:space="preserve">大北农(002385)_公司公告_大北农：关于回购股份进展情况的公告新浪财经_新浪网 — https://money.finance.sina.com.cn/corp/view/vCB_AllBulletinDetail.php?id=12580623&amp;stockid=002385</w:t>
      </w:r>
    </w:p>
    <w:p>
      <w:pPr>
        <w:spacing w:after="200"/>
      </w:pPr>
      <w:r>
        <w:rPr>
          <w:i/>
          <w:iCs/>
          <w:color w:val="595959"/>
          <w:sz w:val="18"/>
          <w:szCs w:val="18"/>
        </w:rPr>
        <w:t xml:space="preserve">大北农(002385)_公司公告_大北农：关于回购注销部分限制性股票并减少注册资本暨通知债权人的公告新浪财经_新浪网 — https://vip.stock.finance.sina.com.cn/corp/view/vCB_AllBulletinDetail.php?id=12598753&amp;stockid=002385&amp;utm_source=openai</w:t>
      </w:r>
    </w:p>
    <w:p>
      <w:pPr>
        <w:spacing w:after="200"/>
      </w:pPr>
      <w:r>
        <w:rPr>
          <w:i/>
          <w:iCs/>
          <w:color w:val="595959"/>
          <w:sz w:val="18"/>
          <w:szCs w:val="18"/>
        </w:rPr>
        <w:t xml:space="preserve">大北农(002385)_公司公告_大北农：2026年第四次临时股东会决议公告新浪财经_新浪网 — https://money.finance.sina.com.cn/corp/view/vCB_AllBulletinDetail.php?id=12598754&amp;stockid=002385&amp;utm_source=openai</w:t>
      </w:r>
    </w:p>
    <w:p>
      <w:pPr>
        <w:spacing w:after="200"/>
      </w:pPr>
      <w:r>
        <w:rPr>
          <w:i/>
          <w:iCs/>
          <w:color w:val="595959"/>
          <w:sz w:val="18"/>
          <w:szCs w:val="18"/>
        </w:rPr>
        <w:t xml:space="preserve">大北农(002385)_公司公告_大北农：2026年8月份商品肥猪销售情况简报新浪财经_新浪网 — https://money.finance.sina.com.cn/corp/view/vCB_AllBulletinDetail.php?id=12593978&amp;stockid=002385&amp;utm_source=openai</w:t>
      </w:r>
    </w:p>
    <w:p>
      <w:pPr>
        <w:spacing w:after="200"/>
      </w:pPr>
      <w:r>
        <w:rPr>
          <w:i/>
          <w:iCs/>
          <w:color w:val="595959"/>
          <w:sz w:val="18"/>
          <w:szCs w:val="18"/>
        </w:rPr>
        <w:t xml:space="preserve">大北农(002385)_公司公告_大北农：公司及控股子公司担保进展公告新浪财经_新浪网 — https://money.finance.sina.com.cn/corp/view/vCB_AllBulletinDetail.php?id=12593979&amp;stockid=002385&amp;utm_source=openai</w:t>
      </w:r>
    </w:p>
    <w:p>
      <w:pPr>
        <w:spacing w:after="200"/>
      </w:pPr>
      <w:r>
        <w:rPr>
          <w:i/>
          <w:iCs/>
          <w:color w:val="595959"/>
          <w:sz w:val="18"/>
          <w:szCs w:val="18"/>
        </w:rPr>
        <w:t xml:space="preserve">大北农(002385)_公司公告_大北农：2026年半年度业绩预告新浪财经_新浪网 — https://money.finance.sina.com.cn/corp/view/vCB_AllBulletinDetail.php?id=12446452&amp;stockid=002385&amp;utm_source=openai</w:t>
      </w:r>
    </w:p>
    <w:p>
      <w:pPr>
        <w:spacing w:after="200"/>
      </w:pPr>
      <w:r>
        <w:rPr>
          <w:i/>
          <w:iCs/>
          <w:color w:val="595959"/>
          <w:sz w:val="18"/>
          <w:szCs w:val="18"/>
        </w:rPr>
        <w:t xml:space="preserve">大北农(002385)_公司公告_大北农：2026年半年度报告摘要新浪财经_新浪网 — https://money.finance.sina.com.cn/corp/view/vCB_AllBulletinDetail.php?id=12547182&amp;stockid=002385&amp;utm_source=openai</w:t>
      </w:r>
    </w:p>
    <w:p>
      <w:pPr>
        <w:spacing w:after="200"/>
      </w:pPr>
      <w:r>
        <w:rPr>
          <w:i/>
          <w:iCs/>
          <w:color w:val="595959"/>
          <w:sz w:val="18"/>
          <w:szCs w:val="18"/>
        </w:rPr>
        <w:t xml:space="preserve">大北农(002385)_股票行情，行情首页_中财网 — https://quote.cfi.cn/quote_002385.html</w:t>
      </w:r>
    </w:p>
    <w:p>
      <w:pPr>
        <w:spacing w:after="200"/>
      </w:pPr>
      <w:r>
        <w:rPr>
          <w:i/>
          <w:iCs/>
          <w:color w:val="595959"/>
          <w:sz w:val="18"/>
          <w:szCs w:val="18"/>
        </w:rPr>
        <w:t xml:space="preserve">Beijing Dabeinong Technology Group Co Ltd圖表 (002385) - Investing.com — https://hk.investing.com/equities/dabeinong-tech-a-chart?utm_source=openai</w:t>
      </w:r>
    </w:p>
    <w:p>
      <w:pPr>
        <w:spacing w:after="200"/>
      </w:pPr>
      <w:r>
        <w:rPr>
          <w:i/>
          <w:iCs/>
          <w:color w:val="595959"/>
          <w:sz w:val="18"/>
          <w:szCs w:val="18"/>
        </w:rPr>
        <w:t xml:space="preserve">Beijing Dabeinong Technology Group Co Ltd (002385)歷史價格 - Investing.com — https://hk.investing.com/equities/dabeinong-tech-a-historical-data</w:t>
      </w:r>
    </w:p>
    <w:p>
      <w:pPr>
        <w:spacing w:after="200"/>
      </w:pPr>
      <w:r>
        <w:rPr>
          <w:i/>
          <w:iCs/>
          <w:color w:val="595959"/>
          <w:sz w:val="18"/>
          <w:szCs w:val="18"/>
        </w:rPr>
        <w:t xml:space="preserve">大北农(002385)股票行情走势技术分析_未来预测_买卖操作建议_英为财情Investing.com — https://cn.investing.com/equities/dabeinong-tech-a-technical?utm_source=openai</w:t>
      </w:r>
    </w:p>
    <w:p>
      <w:pPr>
        <w:spacing w:after="200"/>
      </w:pPr>
      <w:r>
        <w:rPr>
          <w:i/>
          <w:iCs/>
          <w:color w:val="595959"/>
          <w:sz w:val="18"/>
          <w:szCs w:val="18"/>
        </w:rPr>
        <w:t xml:space="preserve">大北农跌4.72%，成交额5.94亿元，今日主力净流入-7320.62万_新浪财经_新浪网 — https://finance.sina.com.cn/stock/aiassist/ggsp/2026-09-10/doc-inirinus8605085.shtml?utm_source=openai</w:t>
      </w:r>
    </w:p>
    <w:p>
      <w:pPr>
        <w:spacing w:after="200"/>
      </w:pPr>
      <w:r>
        <w:rPr>
          <w:i/>
          <w:iCs/>
          <w:color w:val="595959"/>
          <w:sz w:val="18"/>
          <w:szCs w:val="18"/>
        </w:rPr>
        <w:t xml:space="preserve">大北农(002385) 最新动态_F10_同花顺金融服务网 — https://basic.10jqka.com.cn/002385/</w:t>
      </w:r>
    </w:p>
    <w:p>
      <w:pPr>
        <w:spacing w:after="200"/>
      </w:pPr>
      <w:r>
        <w:rPr>
          <w:i/>
          <w:iCs/>
          <w:color w:val="595959"/>
          <w:sz w:val="18"/>
          <w:szCs w:val="18"/>
        </w:rPr>
        <w:t xml:space="preserve">本报告由AI基于公开渠道信息自动检索、整理并生成，信息截至 行情数据截至2026年9月11日收盘；部分技术指标为截至2026年9月10日公开页面快照，部分均线与布林带为基于2026年8月14日至9月11日公开收盘价的估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2026-09-13T16:14:35.910Z</dcterms:created>
  <dcterms:modified xsi:type="dcterms:W3CDTF">2026-09-13T16:14:35.910Z</dcterms:modified>
</cp:coreProperties>
</file>

<file path=docProps/custom.xml><?xml version="1.0" encoding="utf-8"?>
<Properties xmlns="http://schemas.openxmlformats.org/officeDocument/2006/custom-properties" xmlns:vt="http://schemas.openxmlformats.org/officeDocument/2006/docPropsVTypes"/>
</file>