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北京四维图新科技股份有限公司（四维图新） (002405)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行业：软件和信息技术服务业；汽车智能化综合解决方案</w:t>
      </w:r>
    </w:p>
    <w:p>
      <w:pPr>
        <w:jc w:val="center"/>
      </w:pPr>
      <w:r>
        <w:rPr>
          <w:color w:val="595959"/>
          <w:sz w:val="22"/>
          <w:szCs w:val="22"/>
        </w:rPr>
        <w:t xml:space="preserve">报告日期：2026年9月13日</w:t>
      </w:r>
    </w:p>
    <w:p>
      <w:pPr>
        <w:jc w:val="center"/>
      </w:pPr>
      <w:r>
        <w:rPr>
          <w:color w:val="595959"/>
          <w:sz w:val="20"/>
          <w:szCs w:val="20"/>
        </w:rPr>
        <w:t xml:space="preserve">截至2026年9月11日收盘；MA与布林带为基于公开日线收盘数据的近似测算，股东结构数据分别截至2026年6月30日和2026年3月31日，存在季度滞后。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四维图新2026年上半年经营表现明显承压：营业收入17.67亿元，同比增长0.36%，归母净利润亏损4.89亿元，同比扩大57.41%，经营活动现金流净额为-2.67亿元，较上年同期进一步恶化。2025年全年虽实现收入41.25亿元、同比增长17.25%，并实现归母净利润1.04亿元，但扣非归母净利润仍为-14.81亿元，账面扭亏尚未体现为主营业务稳定盈利。</w:t>
      </w:r>
    </w:p>
    <w:p>
      <w:pPr>
        <w:spacing w:after="160" w:line="300"/>
      </w:pPr>
      <w:r>
        <w:rPr>
          <w:sz w:val="22"/>
          <w:szCs w:val="22"/>
        </w:rPr>
        <w:t xml:space="preserve">公司收入结构正进一步向智云业务集中，2025年智云收入29.04亿元，占总收入70.42%；2026年上半年智云收入约12.85亿元，同比增长1.59%，其中数据合规服务收入约6.18亿元，同比增长56%。但数据合规业务的增长尚不足以抵消智芯、智驾及高精地图业务的价格压力、乘用车需求疲软、原材料成本上升及联营企业投资亏损等影响。</w:t>
      </w:r>
    </w:p>
    <w:p>
      <w:pPr>
        <w:spacing w:after="160" w:line="300"/>
      </w:pPr>
      <w:r>
        <w:rPr>
          <w:sz w:val="22"/>
          <w:szCs w:val="22"/>
        </w:rPr>
        <w:t xml:space="preserve">盈利能力持续下滑是当前核心矛盾。2025年综合毛利率由2024年的34.43%降至24.73%，智云、智芯、智驾和智舱毛利率分别为26.02%、27.64%、17.82%和6.99%；2026年上半年营业成本同比增长16.22%，明显高于收入增速，测算毛利率约22.4%。公司预计及多数公开预测显示，2026—2027年仍可能亏损，盈利修复时间和幅度存在较大分歧。</w:t>
      </w:r>
    </w:p>
    <w:p>
      <w:pPr>
        <w:spacing w:after="160" w:line="300"/>
      </w:pPr>
      <w:r>
        <w:rPr>
          <w:sz w:val="22"/>
          <w:szCs w:val="22"/>
        </w:rPr>
        <w:t xml:space="preserve">截至2026年9月11日，股价为6.06元，接近52周低点5.95元，低于MA5、MA10、MA20及测算布林下轨，短期均线呈弱势排列；近10个交易日主力资金按超大单和大单口径净流出约1120万元。技术面尚未形成明确反转信号，市场仍在等待数据合规业务变现、智芯及智驾业务改善和现金流修复的进一步验证。</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002405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2002年12月3日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2010年5月18日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控制权状态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无控股股东、无实际控制人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41.25亿元，同比增长17.25%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2025年业务收入结构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智云29.04亿元，占70.42%；智芯6.59亿元，占15.99%；智驾2.53亿元，占6.13%；智舱2.50亿元，占6.07%；其他业务0.58亿元，占1.39%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最新年度数据口径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主要采用2025年年度报告、2024年年度报告及2022—2023年年度报告数据；2025年年度报告披露日期为2026年4月29日</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智云：导航地图、动态及高精度地图、位置服务、汽车数据合规、数据采集与处理、自动驾驶数据闭环、车路云一体化及云端数据服务</w:t>
      </w:r>
    </w:p>
    <w:p>
      <w:pPr>
        <w:pStyle w:val="ListParagraph"/>
        <w:numPr>
          <w:ilvl w:val="0"/>
          <w:numId w:val="2"/>
        </w:numPr>
        <w:spacing w:after="80" w:line="280"/>
      </w:pPr>
      <w:r>
        <w:rPr>
          <w:sz w:val="22"/>
          <w:szCs w:val="22"/>
        </w:rPr>
        <w:t xml:space="preserve">智芯：由子公司杰发科技承担，主要产品包括汽车电子SoC和MCU，应用于智能座舱、车身控制、电池管理、动力底盘、域控制器、区域控制器和T-Box等场景</w:t>
      </w:r>
    </w:p>
    <w:p>
      <w:pPr>
        <w:pStyle w:val="ListParagraph"/>
        <w:numPr>
          <w:ilvl w:val="0"/>
          <w:numId w:val="2"/>
        </w:numPr>
        <w:spacing w:after="80" w:line="280"/>
      </w:pPr>
      <w:r>
        <w:rPr>
          <w:sz w:val="22"/>
          <w:szCs w:val="22"/>
        </w:rPr>
        <w:t xml:space="preserve">智驾：高级辅助驾驶软硬一体化方案、行泊一体、泊车、城市及高速领航辅助驾驶、自动驾驶算法和域控制器方案</w:t>
      </w:r>
    </w:p>
    <w:p>
      <w:pPr>
        <w:pStyle w:val="ListParagraph"/>
        <w:numPr>
          <w:ilvl w:val="0"/>
          <w:numId w:val="2"/>
        </w:numPr>
        <w:spacing w:after="80" w:line="280"/>
      </w:pPr>
      <w:r>
        <w:rPr>
          <w:sz w:val="22"/>
          <w:szCs w:val="22"/>
        </w:rPr>
        <w:t xml:space="preserve">智舱：车载信息娱乐系统、智能座舱软件、智能座舱软硬一体化方案、多模态交互、AI Agent及舱驾融合产品</w:t>
      </w:r>
    </w:p>
    <w:p>
      <w:pPr>
        <w:pStyle w:val="ListParagraph"/>
        <w:numPr>
          <w:ilvl w:val="0"/>
          <w:numId w:val="2"/>
        </w:numPr>
        <w:spacing w:after="80" w:line="280"/>
      </w:pPr>
      <w:r>
        <w:rPr>
          <w:sz w:val="22"/>
          <w:szCs w:val="22"/>
        </w:rPr>
        <w:t xml:space="preserve">公司定位：从传统导航电子地图供应商转型为面向汽车智能化的“新型Tier1”综合解决方案提供商，形成“智云、智驾、智舱、智芯”四大业务板块</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四维图新位于汽车智能化产业链的中游偏上位置，业务覆盖地图与时空数据、数据合规、云端服务、汽车电子芯片、智能驾驶和智能座舱，尝试向“数据、地图、算法、芯片、座舱和辅助驾驶系统”的综合Tier1升级。其核心资源包括动静态地图数据库、动态数据更新能力、自动驾驶数据处理能力、数据合规体系、车路云项目经验以及车规芯片设计和量产供应链能力。</w:t>
      </w:r>
    </w:p>
    <w:p>
      <w:pPr>
        <w:pStyle w:val="ListParagraph"/>
        <w:numPr>
          <w:ilvl w:val="0"/>
          <w:numId w:val="2"/>
        </w:numPr>
        <w:spacing w:after="80" w:line="280"/>
      </w:pPr>
      <w:r>
        <w:rPr>
          <w:sz w:val="22"/>
          <w:szCs w:val="22"/>
        </w:rPr>
        <w:t xml:space="preserve">云计算和数据处理资源：包括云服务器、存储、计算、网络、安全服务及数据加工服务。2025年智云业务成本中，项目成本占60.35%，运营成本占22.09%，数据加工成本占5.27%，人工成本占5.89%。</w:t>
      </w:r>
    </w:p>
    <w:p>
      <w:pPr>
        <w:pStyle w:val="ListParagraph"/>
        <w:numPr>
          <w:ilvl w:val="0"/>
          <w:numId w:val="2"/>
        </w:numPr>
        <w:spacing w:after="80" w:line="280"/>
      </w:pPr>
      <w:r>
        <w:rPr>
          <w:sz w:val="22"/>
          <w:szCs w:val="22"/>
        </w:rPr>
        <w:t xml:space="preserve">芯片制造供应链：包括晶圆制造、封装测试、车规认证及相关电子元器件。公司主要进行芯片设计，并非完整覆盖晶圆制造环节，因此对晶圆厂、封装测试厂及上游制造能力存在依赖。</w:t>
      </w:r>
    </w:p>
    <w:p>
      <w:pPr>
        <w:pStyle w:val="ListParagraph"/>
        <w:numPr>
          <w:ilvl w:val="0"/>
          <w:numId w:val="2"/>
        </w:numPr>
        <w:spacing w:after="80" w:line="280"/>
      </w:pPr>
      <w:r>
        <w:rPr>
          <w:sz w:val="22"/>
          <w:szCs w:val="22"/>
        </w:rPr>
        <w:t xml:space="preserve">智能座舱和辅助驾驶硬件：包括域控制器、显示、通信、传感器、存储及其他车载电子元器件。2025年智驾业务成本中物料成本占96.66%，智舱业务成本中运营成本占85.67%。</w:t>
      </w:r>
    </w:p>
    <w:p>
      <w:pPr>
        <w:pStyle w:val="ListParagraph"/>
        <w:numPr>
          <w:ilvl w:val="0"/>
          <w:numId w:val="2"/>
        </w:numPr>
        <w:spacing w:after="80" w:line="280"/>
      </w:pPr>
      <w:r>
        <w:rPr>
          <w:sz w:val="22"/>
          <w:szCs w:val="22"/>
        </w:rPr>
        <w:t xml:space="preserve">2025年前五大供应商采购金额为13.37亿元，占年度采购总额34.35%；关联方采购占比7.76%。公司未披露完整供应商名称，仅以“单位1—单位5”列示，具体晶圆厂、封装测试厂或云服务商的单一依赖程度无法进一步核实。</w:t>
      </w:r>
    </w:p>
    <w:p>
      <w:pPr>
        <w:pStyle w:val="ListParagraph"/>
        <w:numPr>
          <w:ilvl w:val="0"/>
          <w:numId w:val="2"/>
        </w:numPr>
        <w:spacing w:after="80" w:line="280"/>
      </w:pPr>
      <w:r>
        <w:rPr>
          <w:sz w:val="22"/>
          <w:szCs w:val="22"/>
        </w:rPr>
        <w:t xml:space="preserve">公司对云资源、芯片制造、封装测试及硬件采购价格的控制力有限，整体更容易受到云资源投入、芯片制造能力和电子元器件价格变化的约束。</w:t>
      </w:r>
    </w:p>
    <w:p>
      <w:pPr>
        <w:pStyle w:val="ListParagraph"/>
        <w:numPr>
          <w:ilvl w:val="0"/>
          <w:numId w:val="2"/>
        </w:numPr>
        <w:spacing w:after="80" w:line="280"/>
      </w:pPr>
      <w:r>
        <w:rPr>
          <w:sz w:val="22"/>
          <w:szCs w:val="22"/>
        </w:rPr>
        <w:t xml:space="preserve">下游客户主要包括国内外整车厂、汽车一级供应商和智能驾驶方案商、云服务平台和系统集成商，以及车路云项目中的政府、交通管理部门和项目总包方。</w:t>
      </w:r>
    </w:p>
    <w:p>
      <w:pPr>
        <w:pStyle w:val="ListParagraph"/>
        <w:numPr>
          <w:ilvl w:val="0"/>
          <w:numId w:val="2"/>
        </w:numPr>
        <w:spacing w:after="80" w:line="280"/>
      </w:pPr>
      <w:r>
        <w:rPr>
          <w:sz w:val="22"/>
          <w:szCs w:val="22"/>
        </w:rPr>
        <w:t xml:space="preserve">公司客户覆盖宝马、丰田、沃尔沃、福特、长城、长安等国内外车企，并与阿里云、亚马逊云、火山引擎等云平台合作。</w:t>
      </w:r>
    </w:p>
    <w:p>
      <w:pPr>
        <w:pStyle w:val="ListParagraph"/>
        <w:numPr>
          <w:ilvl w:val="0"/>
          <w:numId w:val="2"/>
        </w:numPr>
        <w:spacing w:after="80" w:line="280"/>
      </w:pPr>
      <w:r>
        <w:rPr>
          <w:sz w:val="22"/>
          <w:szCs w:val="22"/>
        </w:rPr>
        <w:t xml:space="preserve">2025年前五大客户销售金额为13.90亿元，占年度销售总额33.71%，第一大客户占比11.08%；2024年前五大客户销售额占比36.06%。公司未披露前五大客户真实名称，仅以“单位1—单位5”列示，无法据此确认具体车企或项目客户。</w:t>
      </w:r>
    </w:p>
    <w:p>
      <w:pPr>
        <w:pStyle w:val="ListParagraph"/>
        <w:numPr>
          <w:ilvl w:val="0"/>
          <w:numId w:val="2"/>
        </w:numPr>
        <w:spacing w:after="80" w:line="280"/>
      </w:pPr>
      <w:r>
        <w:rPr>
          <w:sz w:val="22"/>
          <w:szCs w:val="22"/>
        </w:rPr>
        <w:t xml:space="preserve">客户集中度数据分别对应2025年和2024年年度报告口径，客户名称未披露，具体集中风险无法完全核实，最终应以最新年报为准。</w:t>
      </w:r>
    </w:p>
    <w:p>
      <w:pPr>
        <w:pStyle w:val="ListParagraph"/>
        <w:numPr>
          <w:ilvl w:val="0"/>
          <w:numId w:val="2"/>
        </w:numPr>
        <w:spacing w:after="80" w:line="280"/>
      </w:pPr>
      <w:r>
        <w:rPr>
          <w:sz w:val="22"/>
          <w:szCs w:val="22"/>
        </w:rPr>
        <w:t xml:space="preserve">公司对下游车企的议价能力总体有限。汽车行业存在较强降本压力，车企通常通过年度降价、项目竞价和定点后的成本优化向Tier1及软件供应商传导压力。</w:t>
      </w:r>
    </w:p>
    <w:p>
      <w:pPr>
        <w:pStyle w:val="ListParagraph"/>
        <w:numPr>
          <w:ilvl w:val="0"/>
          <w:numId w:val="2"/>
        </w:numPr>
        <w:spacing w:after="80" w:line="280"/>
      </w:pPr>
      <w:r>
        <w:rPr>
          <w:sz w:val="22"/>
          <w:szCs w:val="22"/>
        </w:rPr>
        <w:t xml:space="preserve">公司2023年年报提到汽车供应链产品单价持续下降、市场竞争加剧导致产品毛利受到挤压；2025年年报指出芯片行业竞争激烈、定价策略承压，收入增长伴随毛利率下降。</w:t>
      </w:r>
    </w:p>
    <w:p>
      <w:pPr>
        <w:pStyle w:val="ListParagraph"/>
        <w:numPr>
          <w:ilvl w:val="0"/>
          <w:numId w:val="2"/>
        </w:numPr>
        <w:spacing w:after="80" w:line="280"/>
      </w:pPr>
      <w:r>
        <w:rPr>
          <w:sz w:val="22"/>
          <w:szCs w:val="22"/>
        </w:rPr>
        <w:t xml:space="preserve">智驾业务历史收入可比性可能受到2025年12月公司与鉴智完成深度整合、业务组织和股权结构变化的影响。</w:t>
      </w:r>
    </w:p>
    <w:p>
      <w:pPr>
        <w:pStyle w:val="ListParagraph"/>
        <w:numPr>
          <w:ilvl w:val="0"/>
          <w:numId w:val="2"/>
        </w:numPr>
        <w:spacing w:after="80" w:line="280"/>
      </w:pPr>
      <w:r>
        <w:rPr>
          <w:sz w:val="22"/>
          <w:szCs w:val="22"/>
        </w:rPr>
        <w:t xml:space="preserve">截至2025年12月31日，公司应收账款约13.54亿元，相当于2025年营业收入的约32.82%，显示存在较明显的项目交付和大客户账期占用。公司年报未直接披露完整的应收账款周转天数、账龄结构或按业务分部的现金转换周期，因此该指标仅为营运资金占用的近似证据，不能替代完整账期分析。</w:t>
      </w:r>
    </w:p>
    <w:p>
      <w:pPr>
        <w:pStyle w:val="ListParagraph"/>
        <w:numPr>
          <w:ilvl w:val="0"/>
          <w:numId w:val="2"/>
        </w:numPr>
        <w:spacing w:after="80" w:line="280"/>
      </w:pPr>
      <w:r>
        <w:rPr>
          <w:sz w:val="22"/>
          <w:szCs w:val="22"/>
        </w:rPr>
        <w:t xml:space="preserve">2025年前五大供应商采购占比34.35%，前五大客户销售占比33.71%；2024年前五大客户销售占比36.06%。公司上下游均存在一定集中度，但客户和供应商名称均被披露为“单位1—单位5”，相关数据来源主要为公司年度报告，具体单一客户或供应商依赖程度未能进一步交叉核实。</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综合毛利率49.15%；智云60.65%，智芯53.77%，智舱15.77%，智驾约7.40%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智云和智芯处于较高毛利阶段；智驾仍处于产品导入和初期量产阶段。</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智云43.65%，智芯42.01%，智舱8.87%，智驾5.84%；研究纪要未披露综合毛利率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智云受到业务转型和市场竞争影响，收入下降、成本上升；智芯采取随行就市的降价策略；智舱和智驾受到汽车供应链价格竞争影响。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综合毛利率34.43%；智云40.23%，智芯32.81%，智舱14.10%，智驾18.68%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智云仍为最高毛利业务，但数据合规业务增长带来云资源、数据运营和项目成本增加；智芯受市场竞争影响，物料成本增长快于收入；智舱和智驾毛利率较2023年改善，但收入规模仍偏小。</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综合毛利率24.73%；智云26.02%，智芯27.64%，智驾17.82%，智舱6.99%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智云收入继续增长，但项目成本同比增长108.54%，云资源和数据运营投入增加，毛利率下降14.21个百分点；智芯受市场竞争和价格压力影响，毛利率下降5.17个百分点；智舱收入下降且毛利率降至6.99%。</w:t>
            </w:r>
          </w:p>
        </w:tc>
      </w:tr>
    </w:tbl>
    <w:p>
      <w:pPr>
        <w:spacing w:before="200"/>
      </w:pPr>
    </w:p>
    <w:p>
      <w:pPr>
        <w:spacing w:after="160" w:line="300"/>
      </w:pPr>
      <w:r>
        <w:rPr>
          <w:sz w:val="22"/>
          <w:szCs w:val="22"/>
        </w:rPr>
        <w:t xml:space="preserve">四维图新处于汽车智能化产业链的“数据与软件平台—汽车电子方案”中游，既不是单纯的上游地图数据供应商，也不是单纯的下游汽车电子硬件厂商。其相对高价值环节是地图数据、甲级测绘资质、数据合规、车规芯片出货和方案整合能力；利润改善主要取决于智云数据服务的规模化和标准化、芯片产品结构升级、智驾方案放量，以及降低车企价格压力和项目交付成本。</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17.6676亿元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同比增长0.36%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归母净利润-4.8882亿元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较上年同期-3.1054亿元扩大亏损，同比下降57.41%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8.57亿元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同比增长13.36%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归母净利润约-1.44亿元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未披露同比增速</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41.25亿元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同比增长17.25%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归母净利润1.04亿元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未披露同比增速；实现扭亏为盈</w:t>
            </w:r>
          </w:p>
        </w:tc>
      </w:tr>
    </w:tbl>
    <w:p>
      <w:pPr>
        <w:spacing w:after="200"/>
      </w:pPr>
      <w:r>
        <w:rPr>
          <w:i/>
          <w:iCs/>
          <w:color w:val="595959"/>
          <w:sz w:val="18"/>
          <w:szCs w:val="18"/>
        </w:rPr>
        <w:t xml:space="preserve">2026年上半年扣非归母净利润为-4.8278亿元，较上年同期-3.1721亿元同比下降52.19%；基本每股收益为-0.2093元，较上年同期-0.1330元下降57.37%。经营活动产生的现金流量净额为-2.6726亿元，上年同期为-0.9046亿元，同比恶化195.45%。截至2026年6月30日，归属于上市公司股东的净资产为83.1005亿元，较2025年末89.5471亿元下降7.20%。2025年扣非归母净利润仍为-14.81亿元，账面扭亏不代表主营业务已稳定盈利。</w:t>
      </w:r>
    </w:p>
    <w:p>
      <w:pPr>
        <w:spacing w:after="160" w:line="300"/>
      </w:pPr>
      <w:r>
        <w:rPr>
          <w:sz w:val="22"/>
          <w:szCs w:val="22"/>
        </w:rPr>
        <w:t xml:space="preserve">2026年上半年公司收入基本持平，但亏损明显扩大，营业成本13.7024亿元，同比增长16.22%，显著高于收入增速；中金公司测算毛利率约22.4%，同比下降10.6个百分点。研发投入4.6499亿元，同比下降15.89%，管理费用1.1618亿元，同比下降35.13%。智云业务收入约12.85亿元，同比增长1.59%，其中数据合规服务收入约6.18亿元，同比增长56%；但智芯、智驾及高精地图业务承压，数据合规收入增长尚未充分转化为利润。亏损扩大主要与乘用车需求疲软、车企压缩零部件采购预算、芯片及原材料成本上升以及研发投入刚性较强有关。</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12日，同花顺F10显示近六个月共有3家机构对2026年度业绩作出预测；上述汇总预测为公开页面显示的数值。可直接核实的详细预测主要对应国联民生证券吕伟团队于2026年9月2日发布的半年报点评，不宜完全等同于充分分散的多机构一致预期。2026年EPS预测区间为-0.42元至0.01元，均值约-0.22元；2027年区间为-0.43元至0.02元，均值约-0.18元；2028年目前仅有1家机构预测，样本数量不足。国联民生证券2026年5月曾预测2026—2028年归母净利润分别为0.61亿元、2.49亿元和4.80亿元，9月报告明显下调了盈利判断。</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约48.53亿元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约-5.27亿元（同花顺汇总预测）；国联民生证券详细预测为-5.97亿元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较2025年归母净利润1.04亿元转为亏损；具体预测增速未披露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约-0.22元（同花顺汇总预测）；国联民生证券详细预测约-0.25元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约59.49亿元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约-4.14亿元（同花顺汇总预测）；国联民生证券详细预测为-2.87亿元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具体预测增速未披露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约-0.18元（同花顺汇总预测）；国联民生证券详细预测约-0.12元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约72.77亿元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约0.81亿元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具体预测增速未披露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约0.03元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国联民生证券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推荐（同花顺评级汇总显示为买入/推荐）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预测2026—2028年营业收入分别为48.53亿元、59.49亿元和72.77亿元，归母净利润分别为-5.97亿元、-2.87亿元和0.81亿元；EPS约为-0.25元、-0.12元和0.03元。可访问摘要未明确披露目标价。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将2026年、2027年收入预测下调至41.7亿元、42.4亿元，归母净利润预测下调至-10.0亿元、-10.1亿元；目标价8.4元，采用2026年SOTP估值，并称公司对应2026年市销率约3.6倍。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2026年4月22日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目标价11.89元；预计2025—2027年EPS分别为0.04元、0.01元和0.02元，采用2026年5.6倍PS估值。该预测早于2026年半年度报告，时效性相对较弱。</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公开转载研报</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目标价10.5元；预测2026年收入47.1亿元、归母净利润-8.7亿元，2027年收入53.6亿元、归母净利润-8.0亿元。报告来源为财经平台转载，可靠性和时效性低于券商原始披露。</w:t>
            </w:r>
          </w:p>
        </w:tc>
      </w:tr>
    </w:tbl>
    <w:p>
      <w:pPr>
        <w:spacing w:before="200"/>
      </w:pPr>
    </w:p>
    <w:p>
      <w:pPr>
        <w:spacing w:after="160" w:line="300"/>
      </w:pPr>
      <w:r>
        <w:rPr>
          <w:sz w:val="22"/>
          <w:szCs w:val="22"/>
        </w:rPr>
        <w:t xml:space="preserve">截至2026年9月11日收盘，股价约6.06元，总市值约143.16亿元，市净率约1.75倍；另一数据源截至9月10日显示股价6.17元、总市值146.24亿元、市净率1.76倍，差异源于收盘口径和数据刷新时间。综合来看，公司市值约143—146亿元，PB约1.75—1.76倍。由于滚动净利润及多数预测期净利润为负，动态市盈率和TTM市盈率不具备正常参考意义。按2026年9月11日市值约143.16亿元计算，对应国联民生证券收入预测的2026—2028年PS约为2.95倍、2.41倍和1.97倍；该机构报告采用的PS估值分别为3.1倍、2.5倍和2.1倍，二者大致接近。当前阶段PS和PB较PE更具参考意义，但估值能否兑现取决于数据合规及芯片收入能否转化为毛利和现金流。公开目标价大致为8.4—11.89元，但不同报告发布时间、盈利预测和估值方法差异较大，不能简单视为统一目标价共识。公司2026—2027年盈利预测分歧显著，悲观预测显示归母净利润亏损可能达到约10亿元；后续需重点关注数据合规业务收入及毛利率、智芯业务成本和产品价格、智驾量产交付、研发费用、联营企业亏损及经营活动现金流改善情况。</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2026年9月8日：董秘回应股权激励解锁事项</w:t>
      </w:r>
    </w:p>
    <w:p>
      <w:pPr>
        <w:spacing w:after="160" w:line="300"/>
      </w:pPr>
      <w:r>
        <w:rPr>
          <w:sz w:val="22"/>
          <w:szCs w:val="22"/>
        </w:rPr>
        <w:t xml:space="preserve">公司董秘表示，股权激励计划的解锁条件已在相关公告中明确披露，最终是否解锁以2026年度经审计财务数据是否达到考核指标为准。公司将努力改善经营业绩，但相关表述不构成业绩承诺。由于公司2026年上半年归母净利润亏损，股权激励能否解锁目前尚不能确定，需等待全年经审计业绩结果。该信息来源于深交所互动易投资者问答，不属于新的临时公告。</w:t>
      </w:r>
    </w:p>
    <w:p>
      <w:pPr>
        <w:pStyle w:val="Heading2"/>
        <w:spacing w:after="120" w:before="240"/>
      </w:pPr>
      <w:r>
        <w:rPr>
          <w:b/>
          <w:bCs/>
          <w:color w:val="2E74B5"/>
          <w:sz w:val="24"/>
          <w:szCs w:val="24"/>
        </w:rPr>
        <w:t xml:space="preserve">4.2 2026年9月11日：公司回应各定点项目正常推进</w:t>
      </w:r>
    </w:p>
    <w:p>
      <w:pPr>
        <w:spacing w:after="160" w:line="300"/>
      </w:pPr>
      <w:r>
        <w:rPr>
          <w:sz w:val="22"/>
          <w:szCs w:val="22"/>
        </w:rPr>
        <w:t xml:space="preserve">公司在投资者互动中表示，各定点项目均正常推进。但截至目前，未见公司同步披露新增订单金额、客户名称、项目毛利率或对2026年全年收入利润的量化影响，因此不能据此直接推导业绩改善幅度。</w:t>
      </w:r>
    </w:p>
    <w:p>
      <w:pPr>
        <w:pStyle w:val="Heading2"/>
        <w:spacing w:after="120" w:before="240"/>
      </w:pPr>
      <w:r>
        <w:rPr>
          <w:b/>
          <w:bCs/>
          <w:color w:val="2E74B5"/>
          <w:sz w:val="24"/>
          <w:szCs w:val="24"/>
        </w:rPr>
        <w:t xml:space="preserve">4.3 2026年9月暂无新的重大临时公告</w:t>
      </w:r>
    </w:p>
    <w:p>
      <w:pPr>
        <w:spacing w:after="160" w:line="300"/>
      </w:pPr>
      <w:r>
        <w:rPr>
          <w:sz w:val="22"/>
          <w:szCs w:val="22"/>
        </w:rPr>
        <w:t xml:space="preserve">截至2026年9月13日，公开公告列表显示，公司最近一批正式公告主要集中在2026年8月26日，包括2026年半年度报告、半年度报告摘要、投资者关系活动记录表、募集资金专项报告、董事会决议公告及相关制度修订等。2026年9月1日至9月13日期间，未检索到重大并购、股份回购新方案、控股股东增减持、重大监管处罚或重大资产重组的新正式公告。部分网站可能存在公告收录延迟，最终应以巨潮资讯网披露为准。</w:t>
      </w:r>
    </w:p>
    <w:p>
      <w:pPr>
        <w:pStyle w:val="Heading2"/>
        <w:spacing w:after="120" w:before="240"/>
      </w:pPr>
      <w:r>
        <w:rPr>
          <w:b/>
          <w:bCs/>
          <w:color w:val="2E74B5"/>
          <w:sz w:val="24"/>
          <w:szCs w:val="24"/>
        </w:rPr>
        <w:t xml:space="preserve">4.4 2026年上半年业绩披露：收入基本持平，归母净利润亏损</w:t>
      </w:r>
    </w:p>
    <w:p>
      <w:pPr>
        <w:spacing w:after="160" w:line="300"/>
      </w:pPr>
      <w:r>
        <w:rPr>
          <w:sz w:val="22"/>
          <w:szCs w:val="22"/>
        </w:rPr>
        <w:t xml:space="preserve">公司2026年上半年实现营业收入17.67亿元，同比增长0.36%；归属于上市公司股东的净利润为-4.89亿元，同比下降57.41%；基本每股收益为-0.2093元。公司预计2026年上半年归母净利润亏损35,159.70万元至50,228.14万元，同比变动区间为下降13.22%至61.74%，正式披露结果处于此前业绩预告区间内。业绩承压主要受国内乘用车市场需求疲软、车厂压缩零部件采购预算、智驾及高精地图等产品单价下行、SoC业务受存储芯片涨价及新车型延迟上量影响，以及联营企业投资亏损增加等因素影响。</w:t>
      </w:r>
    </w:p>
    <w:p>
      <w:pPr>
        <w:pStyle w:val="Heading2"/>
        <w:spacing w:after="120" w:before="240"/>
      </w:pPr>
      <w:r>
        <w:rPr>
          <w:b/>
          <w:bCs/>
          <w:color w:val="2E74B5"/>
          <w:sz w:val="24"/>
          <w:szCs w:val="24"/>
        </w:rPr>
        <w:t xml:space="preserve">4.5 数据合规服务保持增长，但三季度及全年业绩仍缺乏明确指引</w:t>
      </w:r>
    </w:p>
    <w:p>
      <w:pPr>
        <w:spacing w:after="160" w:line="300"/>
      </w:pPr>
      <w:r>
        <w:rPr>
          <w:sz w:val="22"/>
          <w:szCs w:val="22"/>
        </w:rPr>
        <w:t xml:space="preserve">2026年上半年，智云业务收入12.85亿元，同比增长1.59%；其中数据合规服务收入6.18亿元，同比增长56%。当前公司呈现“数据合规业务增长、汽车智能化相关业务承压”的分化局面，数据合规业务增长尚不足以完全抵消智驾、车规芯片、高精地图业务的价格压力及投资损失。截至2026年9月13日，公司尚未披露2026年三季度业绩预告或全年业绩预告，全年盈利修复情况仍不明确。</w:t>
      </w:r>
    </w:p>
    <w:p>
      <w:pPr>
        <w:pStyle w:val="Heading2"/>
        <w:spacing w:after="120" w:before="240"/>
      </w:pPr>
      <w:r>
        <w:rPr>
          <w:b/>
          <w:bCs/>
          <w:color w:val="2E74B5"/>
          <w:sz w:val="24"/>
          <w:szCs w:val="24"/>
        </w:rPr>
        <w:t xml:space="preserve">4.6 2026年6月：完成部分限制性股票回购注销</w:t>
      </w:r>
    </w:p>
    <w:p>
      <w:pPr>
        <w:spacing w:after="160" w:line="300"/>
      </w:pPr>
      <w:r>
        <w:rPr>
          <w:sz w:val="22"/>
          <w:szCs w:val="22"/>
        </w:rPr>
        <w:t xml:space="preserve">公司于2026年6月16日在中国证券登记结算有限责任公司深圳分公司完成513,000股限制性股票回购注销，并于6月17日披露公告。本次注销涉及2021年限制性股票激励计划中的部分原激励对象，占公司总股本比例约0.0216%；注销完成后，公司总股本由2,370,648,814股变更为2,370,135,814股。该事项属于限制性股票激励计划实施过程中的常规回购注销，不是面向二级市场的股份回购新计划。</w:t>
      </w:r>
    </w:p>
    <w:p>
      <w:pPr>
        <w:pStyle w:val="Heading2"/>
        <w:spacing w:after="120" w:before="240"/>
      </w:pPr>
      <w:r>
        <w:rPr>
          <w:b/>
          <w:bCs/>
          <w:color w:val="2E74B5"/>
          <w:sz w:val="24"/>
          <w:szCs w:val="24"/>
        </w:rPr>
        <w:t xml:space="preserve">4.7 员工持股计划解锁安排仍受业绩考核影响</w:t>
      </w:r>
    </w:p>
    <w:p>
      <w:pPr>
        <w:spacing w:after="160" w:line="300"/>
      </w:pPr>
      <w:r>
        <w:rPr>
          <w:sz w:val="22"/>
          <w:szCs w:val="22"/>
        </w:rPr>
        <w:t xml:space="preserve">公司于2026年7月3日披露2025年员工持股计划首次授予第一个锁定期届满暨解锁条件成就的公告。相关权益实际分配仍需结合公司层面业绩考核及个人绩效考核结果。结合公司2026年9月8日互动回复，员工持股计划或股权激励相关股份后续能否充分解锁，仍存在业绩考核不达标的风险。截至2026年9月13日，未检索到新的市场化股份回购方案或回购进展公告。</w:t>
      </w:r>
    </w:p>
    <w:p>
      <w:pPr>
        <w:pStyle w:val="Heading2"/>
        <w:spacing w:after="120" w:before="240"/>
      </w:pPr>
      <w:r>
        <w:rPr>
          <w:b/>
          <w:bCs/>
          <w:color w:val="2E74B5"/>
          <w:sz w:val="24"/>
          <w:szCs w:val="24"/>
        </w:rPr>
        <w:t xml:space="preserve">4.8 股东及股权动态：质押比例较低，未发现控制权变化信号</w:t>
      </w:r>
    </w:p>
    <w:p>
      <w:pPr>
        <w:spacing w:after="160" w:line="300"/>
      </w:pPr>
      <w:r>
        <w:rPr>
          <w:sz w:val="22"/>
          <w:szCs w:val="22"/>
        </w:rPr>
        <w:t xml:space="preserve">截至2026年6月30日，公司股东户数为171,241户，较2026年3月31日减少6,183户，降幅为3.48%；该数据并非2026年9月实时数据，不能直接代表9月股东结构变化。截至2026年9月11日，第三方数据披露公司质押股份约3,084.60万股，质押总比例约1.3%，质押笔数为2笔，暂未显示质押风险快速上升迹象，但最终应以公司公告或中国结算披露为准。截至2026年9月13日，未检索到控股股东变更、实际控制权变更、重大协议转让或主要股东大比例减持的新公告。</w:t>
      </w:r>
    </w:p>
    <w:p>
      <w:pPr>
        <w:pStyle w:val="Heading2"/>
        <w:spacing w:after="120" w:before="240"/>
      </w:pPr>
      <w:r>
        <w:rPr>
          <w:b/>
          <w:bCs/>
          <w:color w:val="2E74B5"/>
          <w:sz w:val="24"/>
          <w:szCs w:val="24"/>
        </w:rPr>
        <w:t xml:space="preserve">4.9 智能驾驶监管政策及行业标准动态</w:t>
      </w:r>
    </w:p>
    <w:p>
      <w:pPr>
        <w:spacing w:after="160" w:line="300"/>
      </w:pPr>
      <w:r>
        <w:rPr>
          <w:sz w:val="22"/>
          <w:szCs w:val="22"/>
        </w:rPr>
        <w:t xml:space="preserve">公司在2026年8月26日投资者关系活动记录中提及，2026年7月初发布了国内首部L2级组合驾驶辅助强制性国家标准GB47955-2026，拟自2027年1月1日起对所有新申报车型实施；2026年8月25日公布的《道路交通安全法》修订草案增加了自动驾驶汽车相关章节。相关政策可能提高智能驾驶产品的合规门槛，并强化对辅助驾驶功能边界、产品安全责任及数据合规的监管要求，短期可能增加研发、认证和合规成本，中长期可能有利于具备地图、数据合规、车规芯片和智能驾驶综合能力的企业。上述内容来自公司投资者关系活动记录，不是公司收到的监管文件，也不代表公司已获得相关政策补贴或订单，具体实施细则及商业影响仍存在不确定性。</w:t>
      </w:r>
    </w:p>
    <w:p>
      <w:pPr>
        <w:pStyle w:val="Heading2"/>
        <w:spacing w:after="120" w:before="240"/>
      </w:pPr>
      <w:r>
        <w:rPr>
          <w:b/>
          <w:bCs/>
          <w:color w:val="2E74B5"/>
          <w:sz w:val="24"/>
          <w:szCs w:val="24"/>
        </w:rPr>
        <w:t xml:space="preserve">4.10 公司参与汽车数据标准工作，暂未披露直接业绩贡献</w:t>
      </w:r>
    </w:p>
    <w:p>
      <w:pPr>
        <w:spacing w:after="160" w:line="300"/>
      </w:pPr>
      <w:r>
        <w:rPr>
          <w:sz w:val="22"/>
          <w:szCs w:val="22"/>
        </w:rPr>
        <w:t xml:space="preserve">公司披露，2026年7月成为工信部TC8标准化技术委员会数据标准工作组WG7组长单位。该事项体现公司在汽车数据标准及数据合规领域的行业参与度提升，但目前未披露该身份对公司收入、订单或利润的直接贡献金额，不能将其直接等同于商业订单或业绩增量。</w:t>
      </w:r>
    </w:p>
    <w:p>
      <w:pPr>
        <w:pStyle w:val="Heading2"/>
        <w:spacing w:after="120" w:before="240"/>
      </w:pPr>
      <w:r>
        <w:rPr>
          <w:b/>
          <w:bCs/>
          <w:color w:val="2E74B5"/>
          <w:sz w:val="24"/>
          <w:szCs w:val="24"/>
        </w:rPr>
        <w:t xml:space="preserve">4.11 并购及业务整合：9月未发现新增重大事项</w:t>
      </w:r>
    </w:p>
    <w:p>
      <w:pPr>
        <w:spacing w:after="160" w:line="300"/>
      </w:pPr>
      <w:r>
        <w:rPr>
          <w:sz w:val="22"/>
          <w:szCs w:val="22"/>
        </w:rPr>
        <w:t xml:space="preserve">截至2026年9月13日，未发现公司在2026年9月新增重大并购或资产重组公告。公司2026年半年度报告披露，2025年12月四维图新与鉴智完成深度整合，整合后的“新鉴智”作为公司智驾业务平台，该事项属于此前已完成的业务整合，不是2026年9月新发生的并购事件。截至2026年6月30日，公司长期股权投资涉及30家公司，合计约66.81亿元；目前未发现9月新增重大股权收购或处置公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6.06元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下跌0.11元，跌幅1.78%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开盘6.12元，最高6.16元，最低6.01元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约30.96万手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约1.8769亿元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5.95～11.73元；现价处于区间底部附近</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约143.63亿元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估值与盈利</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PE-TTM因滚动业绩亏损显示为“亏损”或“--”；EPS（TTM）约为-0.03元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 / MA10 / 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约6.21元 / 6.29元 / 6.32元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收盘价6.06元低于三条均线，且MA5＜MA10＜MA20，短期均线向下，呈弱势结构。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中轨约6.32元，上轨约6.54元，下轨约6.10元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收盘价低于测算的布林下轨，短线偏弱且偏离20日均值较大；若不能重新站回6.10～6.20元区间，弱势状态仍可能延续。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缺少截至2026年9月11日可交叉核验的DIF、DEA及柱体具体数值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结合MA5＜MA10＜MA20、股价位于20日均线下方以及近期从6.52元附近回落至6.06元，方向判断偏向空头或弱势区间，但不臆造具体MACD读数。</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约42，按最近约14个价格变动测算</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处于中性偏弱区间，低于50但尚未进入通常意义上的30以下超卖区间；若跌破6.00元且RSI下探至30附近，才更接近技术性超卖状态。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52周位置</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52周最高11.73元，最低5.95元；现价较52周高点回落约48%，较低点高约1.8%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处于52周区间底部附近，近期表现为高位回落后的低位弱势震荡，尚未形成明确反转形态。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9月11日按超大单与大单合计，净流出约131.87万元，净占比约-0.71%；近10个交易日约净流出1120万元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近期资金承接力度偏弱；该数据为第三方按委托单规模划分的统计口径，不等同于真实机构持仓变化。</w:t>
            </w:r>
          </w:p>
        </w:tc>
      </w:tr>
    </w:tbl>
    <w:p>
      <w:pPr>
        <w:spacing w:before="200"/>
      </w:pPr>
    </w:p>
    <w:p>
      <w:pPr>
        <w:spacing w:after="160" w:line="300"/>
      </w:pPr>
      <w:r>
        <w:rPr>
          <w:sz w:val="22"/>
          <w:szCs w:val="22"/>
        </w:rPr>
        <w:t xml:space="preserve">截至2026年9月11日，四维图新收盘6.06元，接近52周低点5.95元。股价低于MA5、MA10、MA20及测算的布林下轨，均线呈MA5＜MA10＜MA20的弱势排列；RSI（14）约42，显示多头动能不足但尚未进入典型超卖区间。短线最直接支撑位在6.00元附近，6.28～6.34元为MA10、MA20及布林中轨构成的压力密集区。近期主力资金近10个交易日按超大单与大单口径约净流出1120万元，技术面与资金面均未显示出明确的持续进攻信号。</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风险提示：以下内容仅为基于截至2026年9月11日收盘数据的主观情景推演，不构成投资建议，也不是确定性价格预测；情景权重为基于当前技术形态和资金流向的主观启发式判断，不是统计概率。</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6.28～6.34元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对应MA10约6.29元、MA20及布林中轨约6.32元。若重新站上该区域，短线弱势结构可能得到修复，下一压力可观察6.38～6.52元。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进一步压力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6.38～6.52元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对应近期反弹高点及9月4日最高价6.52元。若放量突破6.52元，可能打开向6.60～6.80元区域修复的空间；若遇阻，则仍可能回到6.10元附近。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6.00～6.06元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对应9月11日收盘价6.06元、当日最低价6.01元及6.00元整数关口。若收盘有效跌破6.00元，下方支撑将明显减弱。</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5.95～6.00元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对应52周低点5.95元及6.00元整数关口。若有效跌破5.95元，52周低点支撑失效，可能打开进一步寻找新支撑的路径。</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启发式权重，不是统计概率）：参考区间为6.00～6.34元。触发条件包括守住6.00～6.06元、成交额维持约1.8亿～2.6亿元的近期正常区间、主力资金不再连续明显净流出，且向上反抽但暂时无法有效突破6.28～6.34元。若成立，股价可能围绕6.10～6.30元反复波动。</w:t>
      </w:r>
    </w:p>
    <w:p>
      <w:pPr>
        <w:pStyle w:val="ListParagraph"/>
        <w:numPr>
          <w:ilvl w:val="0"/>
          <w:numId w:val="2"/>
        </w:numPr>
        <w:spacing w:after="80" w:line="280"/>
      </w:pPr>
      <w:r>
        <w:rPr>
          <w:sz w:val="22"/>
          <w:szCs w:val="22"/>
        </w:rPr>
        <w:t xml:space="preserve">偏弱下行（权重中等；主观启发式权重，不是统计概率）：参考路径为跌破6.00元并测试5.95元附近。触发条件包括收盘有效跌破6.00元、下跌时成交额明显高于近期约2亿元常态并连续放大至3亿元以上、主力资金连续净流出，或软件、智能驾驶、计算机板块同步走弱。若进一步跌破5.95元，可能进入寻找新低位支撑阶段。</w:t>
      </w:r>
    </w:p>
    <w:p>
      <w:pPr>
        <w:pStyle w:val="ListParagraph"/>
        <w:numPr>
          <w:ilvl w:val="0"/>
          <w:numId w:val="2"/>
        </w:numPr>
        <w:spacing w:after="80" w:line="280"/>
      </w:pPr>
      <w:r>
        <w:rPr>
          <w:sz w:val="22"/>
          <w:szCs w:val="22"/>
        </w:rPr>
        <w:t xml:space="preserve">反弹走强（权重偏低至中等；主观启发式权重，不是统计概率）：参考区间为重新站上6.28～6.34元后观察6.38～6.52元。触发条件包括站上MA10、MA20及布林中轨密集区，单日成交额明显高于近期约2亿元平均水平，主力资金由净流出转为持续净流入，且行业或智能驾驶相关板块同步走强。若放量突破6.52元，技术形态才可能由弱势反弹转向更强修复。</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1.31%，成交额约1.88亿元；近5个交易日成交额约1.64亿～3.83亿元，平均约2.56亿元。9月4日成交额约3.83亿元、换手率2.53%，随后成交额回落，当前成交活跃度较前期高点下降。按超大单与大单口径，近10个交易日主力资金约净流出1120万元。股东结构方面，截至2026年6月30日，前十大流通股东持股约4.30亿股，占流通股约18.25%，平台评价为主力控盘度较低；截至2026年3月31日，前十大流通股东持股约4.32亿股，占流通盘约18.35%，机构合计持仓约占流通盘20.46%，其中基金约占4.06%。上述股东数据存在季度滞后，实际结构截至2026年9月11日可能已经变化。数据表明流通股本较大、股东户数较多且集中度不高，短线行情可能更容易受市场风格、行业情绪和资金流向影响；但仅凭现有数据无法进一步确认实时订单簿厚度或具体滑点水平。</w:t>
      </w:r>
    </w:p>
    <w:p>
      <w:pPr>
        <w:spacing w:after="160" w:line="300"/>
      </w:pPr>
      <w:r>
        <w:rPr>
          <w:sz w:val="22"/>
          <w:szCs w:val="22"/>
        </w:rPr>
        <w:t xml:space="preserve">可检查的成交量确认信号是：若股价重新站上6.28～6.34元，同时单日成交额连续放大至约3亿元以上，并且主力资金连续至少两日净流入，可视为短线资金承接增强的观察信号；若跌破6.00元时成交额也放大至3亿元以上，则更接近放量破位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观察6.00～6.06元支撑区能否守住，以及5.95～6.00元强支撑是否被有效跌破。</w:t>
      </w:r>
    </w:p>
    <w:p>
      <w:pPr>
        <w:pStyle w:val="ListParagraph"/>
        <w:numPr>
          <w:ilvl w:val="0"/>
          <w:numId w:val="2"/>
        </w:numPr>
        <w:spacing w:after="80" w:line="280"/>
      </w:pPr>
      <w:r>
        <w:rPr>
          <w:sz w:val="22"/>
          <w:szCs w:val="22"/>
        </w:rPr>
        <w:t xml:space="preserve">观察股价能否重新站回6.28～6.34元的均线与布林中轨密集区，并进一步面对6.38～6.52元压力区。</w:t>
      </w:r>
    </w:p>
    <w:p>
      <w:pPr>
        <w:pStyle w:val="ListParagraph"/>
        <w:numPr>
          <w:ilvl w:val="0"/>
          <w:numId w:val="2"/>
        </w:numPr>
        <w:spacing w:after="80" w:line="280"/>
      </w:pPr>
      <w:r>
        <w:rPr>
          <w:sz w:val="22"/>
          <w:szCs w:val="22"/>
        </w:rPr>
        <w:t xml:space="preserve">观察突破压力位时成交额能否连续放大至约3亿元以上，以及主力资金是否由近10日净流出转为连续净流入。</w:t>
      </w:r>
    </w:p>
    <w:p>
      <w:pPr>
        <w:pStyle w:val="ListParagraph"/>
        <w:numPr>
          <w:ilvl w:val="0"/>
          <w:numId w:val="2"/>
        </w:numPr>
        <w:spacing w:after="80" w:line="280"/>
      </w:pPr>
      <w:r>
        <w:rPr>
          <w:sz w:val="22"/>
          <w:szCs w:val="22"/>
        </w:rPr>
        <w:t xml:space="preserve">以上均为观察思路，非买入、卖出或持有指令。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四维图新同时处于高精地图和汽车数据服务、智能驾驶和新型Tier1、智能座舱、车路云及汽车电子芯片等交叉行业，不能仅用“软件开发”单一行业进行评价。行业竞争围绕地图资质与数据资源、数据合规、车企定点、算法和算力、芯片产品、软硬件系统集成及项目交付能力展开。</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高精地图和汽车数据服务行业具有测绘资质、数据采集、更新维护、数据安全和车企认证等壁垒，主要参与者包括四维图新、高德、百度、腾讯、华为和中海庭等。</w:t>
      </w:r>
    </w:p>
    <w:p>
      <w:pPr>
        <w:pStyle w:val="ListParagraph"/>
        <w:numPr>
          <w:ilvl w:val="0"/>
          <w:numId w:val="2"/>
        </w:numPr>
        <w:spacing w:after="80" w:line="280"/>
      </w:pPr>
      <w:r>
        <w:rPr>
          <w:sz w:val="22"/>
          <w:szCs w:val="22"/>
        </w:rPr>
        <w:t xml:space="preserve">四维图新的优势在于长期服务汽车前装市场、拥有甲级导航电子地图测绘资质、具备全国性地图生产及数据合规能力，并拥有多家国际车企客户；相对弱点是缺少高德、百度等企业的超大规模C端地图流量和众包数据生态。</w:t>
      </w:r>
    </w:p>
    <w:p>
      <w:pPr>
        <w:pStyle w:val="ListParagraph"/>
        <w:numPr>
          <w:ilvl w:val="0"/>
          <w:numId w:val="2"/>
        </w:numPr>
        <w:spacing w:after="80" w:line="280"/>
      </w:pPr>
      <w:r>
        <w:rPr>
          <w:sz w:val="22"/>
          <w:szCs w:val="22"/>
        </w:rPr>
        <w:t xml:space="preserve">智能驾驶行业正从单点功能和模块供应转向“数据+算法+算力+硬件”的综合交付，参与者包括传统汽车零部件Tier1、软件算法公司、芯片公司、互联网平台和车企自研团队。</w:t>
      </w:r>
    </w:p>
    <w:p>
      <w:pPr>
        <w:pStyle w:val="ListParagraph"/>
        <w:numPr>
          <w:ilvl w:val="0"/>
          <w:numId w:val="2"/>
        </w:numPr>
        <w:spacing w:after="80" w:line="280"/>
      </w:pPr>
      <w:r>
        <w:rPr>
          <w:sz w:val="22"/>
          <w:szCs w:val="22"/>
        </w:rPr>
        <w:t xml:space="preserve">汽车电子芯片竞争者包括恩智浦、英飞凌、瑞萨、意法半导体等国际车规芯片厂商，兆易创新、国芯科技、芯旺微、芯驰科技、旗芯微等国内汽车MCU厂商，以及地平线、黑芝麻智能、芯擎科技、英伟达等智能座舱和自动驾驶SoC厂商。</w:t>
      </w:r>
    </w:p>
    <w:p>
      <w:pPr>
        <w:pStyle w:val="ListParagraph"/>
        <w:numPr>
          <w:ilvl w:val="0"/>
          <w:numId w:val="2"/>
        </w:numPr>
        <w:spacing w:after="80" w:line="280"/>
      </w:pPr>
      <w:r>
        <w:rPr>
          <w:sz w:val="22"/>
          <w:szCs w:val="22"/>
        </w:rPr>
        <w:t xml:space="preserve">杰发科技已形成SoC和MCU双产品线。截至2025年12月31日，芯片全球累计出货量超过3.12亿颗，SoC和MCU出货量均超过1亿颗；2025年MCU出货量同比增长近40%，服务客户超过400家，新增客户近50家。</w:t>
      </w:r>
    </w:p>
    <w:p>
      <w:pPr>
        <w:pStyle w:val="ListParagraph"/>
        <w:numPr>
          <w:ilvl w:val="0"/>
          <w:numId w:val="2"/>
        </w:numPr>
        <w:spacing w:after="80" w:line="280"/>
      </w:pPr>
      <w:r>
        <w:rPr>
          <w:sz w:val="22"/>
          <w:szCs w:val="22"/>
        </w:rPr>
        <w:t xml:space="preserve">公司2025年智云业务收入占比达到70.42%，较2024年的64.08%上升；智芯业务保持增长，智舱收入明显收缩，智驾业务尚未形成足以抵消智舱下降的收入规模。</w:t>
      </w:r>
    </w:p>
    <w:p>
      <w:pPr>
        <w:pStyle w:val="ListParagraph"/>
        <w:numPr>
          <w:ilvl w:val="0"/>
          <w:numId w:val="2"/>
        </w:numPr>
        <w:spacing w:after="80" w:line="280"/>
      </w:pPr>
      <w:r>
        <w:rPr>
          <w:sz w:val="22"/>
          <w:szCs w:val="22"/>
        </w:rPr>
        <w:t xml:space="preserve">四维图新与可比公司的业务重合度不完全一致，研究纪要未提供统一口径的市场份额或估值数据，不能据此形成简单横向排名。</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千方科技（002373）</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智慧交通、车路云、交通数字化和智能网联基础设施</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与四维图新的车路云和智慧交通业务存在较强重合，在交通基础设施和城市级交通项目方面更突出。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经纬恒润（688326）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汽车电子、智能驾驶、智能座舱、车身控制和工程服务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偏汽车电子工程和软硬件系统集成，与四维图新的智驾、智舱业务高度可比。</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中科创达（300496）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智能操作系统、智能座舱、智能驾驶和边缘计算</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软件平台和开发工具能力较强，与四维图新的智舱、智驾软件业务具有可比性。</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德赛西威（002920）</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智能座舱、智能驾驶和车联网等汽车电子Tier1业务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传统汽车电子Tier1，规模化硬件量产能力较强，是四维图新软硬一体化汽车电子方案的重要参照。</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高德、百度、华为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地图、定位、智能驾驶和车路云</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与四维图新存在业务重叠，但多数属于大型互联网或ICT平台企业，资金、生态和C端数据优势明显，不能与四维图新进行简单财务可比。</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国际车规芯片厂商</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汽车电子SoC、MCU及相关车规芯片</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主要包括恩智浦、英飞凌、瑞萨和意法半导体，是杰发科技在汽车电子芯片领域的竞争参照。</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国内汽车芯片厂商</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汽车MCU、智能座舱和自动驾驶SoC</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主要包括兆易创新、国芯科技、芯旺微、芯驰科技、旗芯微、地平线、黑芝麻智能、芯擎科技和英伟达等，业务覆盖并不完全一致。</w:t>
            </w:r>
          </w:p>
        </w:tc>
      </w:tr>
    </w:tbl>
    <w:p>
      <w:pPr>
        <w:spacing w:before="200"/>
      </w:pPr>
    </w:p>
    <w:p>
      <w:pPr>
        <w:spacing w:after="160" w:line="300"/>
      </w:pPr>
      <w:r>
        <w:rPr>
          <w:sz w:val="22"/>
          <w:szCs w:val="22"/>
        </w:rPr>
        <w:t xml:space="preserve">四维图新的可比公司池按照地图、数据服务、车路云、智能驾驶、智能座舱和汽车电子芯片等业务交集建立。相较千方科技，公司更强调地图数据和汽车数据合规；相较经纬恒润、中科创达和德赛西威，公司业务同时覆盖地图、云服务和汽车电子芯片，但在传统汽车电子硬件规模化方面并非完全同类；相较高德、百度和华为，公司缺少超大规模C端流量、生态和资金优势。上述比较仅反映业务重叠，不代表收入结构、商业模式或市场份额完全可比。</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盈利修复不及预期风险：2026年上半年归母净利润亏损4.89亿元，扣非归母净利润亏损4.83亿元，且2026—2027年公开预测仍存在亏损可能；2025年归母净利润虽为正，但扣非归母净利润仍亏损14.81亿元。</w:t>
      </w:r>
    </w:p>
    <w:p>
      <w:pPr>
        <w:pStyle w:val="ListParagraph"/>
        <w:numPr>
          <w:ilvl w:val="0"/>
          <w:numId w:val="2"/>
        </w:numPr>
        <w:spacing w:after="80" w:line="280"/>
      </w:pPr>
      <w:r>
        <w:rPr>
          <w:sz w:val="22"/>
          <w:szCs w:val="22"/>
        </w:rPr>
        <w:t xml:space="preserve">数据合规业务变现不足风险：2026年上半年数据合规服务收入同比增长56%，但智云整体收入仅增长1.59%，且数据合规增长尚未充分转化为利润；智云项目成本在2025年同比增长108.54%，云资源、数据运营和项目交付投入可能继续压制毛利率。</w:t>
      </w:r>
    </w:p>
    <w:p>
      <w:pPr>
        <w:pStyle w:val="ListParagraph"/>
        <w:numPr>
          <w:ilvl w:val="0"/>
          <w:numId w:val="2"/>
        </w:numPr>
        <w:spacing w:after="80" w:line="280"/>
      </w:pPr>
      <w:r>
        <w:rPr>
          <w:sz w:val="22"/>
          <w:szCs w:val="22"/>
        </w:rPr>
        <w:t xml:space="preserve">芯片业务价格和成本风险：智芯业务面临激烈竞争和定价压力，2025年毛利率降至27.64%；2026年上半年又受到存储芯片涨价及新车型延迟上量影响，公司对晶圆制造、封装测试及其他车规芯片供应链存在依赖。</w:t>
      </w:r>
    </w:p>
    <w:p>
      <w:pPr>
        <w:pStyle w:val="ListParagraph"/>
        <w:numPr>
          <w:ilvl w:val="0"/>
          <w:numId w:val="2"/>
        </w:numPr>
        <w:spacing w:after="80" w:line="280"/>
      </w:pPr>
      <w:r>
        <w:rPr>
          <w:sz w:val="22"/>
          <w:szCs w:val="22"/>
        </w:rPr>
        <w:t xml:space="preserve">智驾和智舱业务放量不及预期风险：2025年智舱收入下降且毛利率降至6.99%，智驾收入仅占总收入6.13%；与鉴智完成深度整合后，智驾业务仍需通过定点项目实现规模化量产，当前公司未披露新增订单金额、项目毛利率及对全年业绩的量化贡献。</w:t>
      </w:r>
    </w:p>
    <w:p>
      <w:pPr>
        <w:pStyle w:val="ListParagraph"/>
        <w:numPr>
          <w:ilvl w:val="0"/>
          <w:numId w:val="2"/>
        </w:numPr>
        <w:spacing w:after="80" w:line="280"/>
      </w:pPr>
      <w:r>
        <w:rPr>
          <w:sz w:val="22"/>
          <w:szCs w:val="22"/>
        </w:rPr>
        <w:t xml:space="preserve">客户集中及议价风险：2025年前五大客户销售占比33.71%，第一大客户占比11.08%；车企通常通过年度降价、项目竞价和定点后的成本优化向供应商传导压力，若主要客户采购预算继续收缩，可能同时影响收入、毛利率和回款。</w:t>
      </w:r>
    </w:p>
    <w:p>
      <w:pPr>
        <w:pStyle w:val="ListParagraph"/>
        <w:numPr>
          <w:ilvl w:val="0"/>
          <w:numId w:val="2"/>
        </w:numPr>
        <w:spacing w:after="80" w:line="280"/>
      </w:pPr>
      <w:r>
        <w:rPr>
          <w:sz w:val="22"/>
          <w:szCs w:val="22"/>
        </w:rPr>
        <w:t xml:space="preserve">营运资金和现金流风险：截至2025年末应收账款约13.54亿元，约相当于全年收入的32.82%；2026年上半年经营活动现金流净额为-2.67亿元，较上年同期明显恶化，若项目交付或大客户回款延迟，可能进一步加大资金占用。</w:t>
      </w:r>
    </w:p>
    <w:p>
      <w:pPr>
        <w:pStyle w:val="ListParagraph"/>
        <w:numPr>
          <w:ilvl w:val="0"/>
          <w:numId w:val="2"/>
        </w:numPr>
        <w:spacing w:after="80" w:line="280"/>
      </w:pPr>
      <w:r>
        <w:rPr>
          <w:sz w:val="22"/>
          <w:szCs w:val="22"/>
        </w:rPr>
        <w:t xml:space="preserve">联营企业及长期投资损益波动风险：2026年上半年业绩承压因素包括联营企业投资亏损增加；截至2026年6月末，公司长期股权投资涉及30家公司、合计约66.81亿元，相关投资收益或减值变化可能对归母利润造成较大扰动。</w:t>
      </w:r>
    </w:p>
    <w:p>
      <w:pPr>
        <w:pStyle w:val="ListParagraph"/>
        <w:numPr>
          <w:ilvl w:val="0"/>
          <w:numId w:val="2"/>
        </w:numPr>
        <w:spacing w:after="80" w:line="280"/>
      </w:pPr>
      <w:r>
        <w:rPr>
          <w:sz w:val="22"/>
          <w:szCs w:val="22"/>
        </w:rPr>
        <w:t xml:space="preserve">股权激励考核不达标风险：公司已明确股权激励解锁需以2026年度经审计财务数据达到考核指标为准，而2026年上半年已出现较大亏损，相关股份能否解锁目前尚不确定，反映出公司全年业绩考核存在压力。</w:t>
      </w:r>
    </w:p>
    <w:p>
      <w:pPr>
        <w:pStyle w:val="ListParagraph"/>
        <w:numPr>
          <w:ilvl w:val="0"/>
          <w:numId w:val="2"/>
        </w:numPr>
        <w:spacing w:after="80" w:line="280"/>
      </w:pPr>
      <w:r>
        <w:rPr>
          <w:sz w:val="22"/>
          <w:szCs w:val="22"/>
        </w:rPr>
        <w:t xml:space="preserve">技术面和市场流动性风险：截至2026年9月11日股价接近52周低点，低于MA5、MA10、MA20及测算布林下轨，近10个交易日主力资金按相关统计口径净流出约1120万元；若有效跌破5.95元，既有技术支撑可能失效，但技术指标不能保证未来走势。</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中长期增长逻辑主要来自汽车智能化、数据合规及车规芯片业务的协同发展。智云业务具备地图数据、数据合规、云端服务和车路云项目基础；杰发科技已形成SoC和MCU双产品线，累计出货量及客户规模具备一定基础；公司与鉴智完成深度整合后，智驾业务有望通过软硬件一体化方案推进量产。不过，智云规模增长能否转化为利润，取决于数据合规服务的标准化程度、云资源及项目交付成本控制，以及智驾和智芯业务能否改善产品结构和价格压力。</w:t>
      </w:r>
    </w:p>
    <w:p>
      <w:pPr>
        <w:spacing w:after="160" w:line="300"/>
      </w:pPr>
      <w:r>
        <w:rPr>
          <w:sz w:val="22"/>
          <w:szCs w:val="22"/>
        </w:rPr>
        <w:t xml:space="preserve">短期基本面仍处于调整阶段。2026年上半年收入基本持平而亏损扩大，且研发、车企采购预算、芯片及原材料成本和联营企业投资损益均对利润形成影响；截至目前，公司仅表示各定点项目正常推进，尚未披露新增订单金额、客户名称、项目毛利率或全年量化影响。公开预测对2026—2027年盈利判断差异显著，说明业绩修复具有较高不确定性，后续应重点观察数据合规收入及毛利率、智芯成本与出货、智驾量产交付、经营现金流和扣非利润变化。</w:t>
      </w:r>
    </w:p>
    <w:p>
      <w:pPr>
        <w:spacing w:after="160" w:line="300"/>
      </w:pPr>
      <w:r>
        <w:rPr>
          <w:sz w:val="22"/>
          <w:szCs w:val="22"/>
        </w:rPr>
        <w:t xml:space="preserve">估值层面，公司滚动及多数预测期净利润为负，PE缺乏正常参考意义，当前更适合结合PS、PB及未来盈利兑现情况进行观察。技术上，6.00—6.06元和5.95—6.00元分别构成短期及强支撑观察区，6.28—6.34元为均线和布林中轨形成的压力区域；这些价位仅反映截至2026年9月11日的技术状态，不能替代对公司基本面和市场环境的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四维图新(002405)_公司公告_四维图新：2023年年度报告新浪财经_新浪网 — https://money.finance.sina.com.cn/corp/view/vCB_AllBulletinDetail.php?id=10171721&amp;stockid=002405</w:t>
      </w:r>
    </w:p>
    <w:p>
      <w:pPr>
        <w:spacing w:after="200"/>
      </w:pPr>
      <w:r>
        <w:rPr>
          <w:i/>
          <w:iCs/>
          <w:color w:val="595959"/>
          <w:sz w:val="18"/>
          <w:szCs w:val="18"/>
        </w:rPr>
        <w:t xml:space="preserve">https://static.cninfo.com.cn/finalpage/2026-04-29/1225236620.PDF — https://static.cninfo.com.cn/finalpage/2026-04-29/1225236620.PDF</w:t>
      </w:r>
    </w:p>
    <w:p>
      <w:pPr>
        <w:spacing w:after="200"/>
      </w:pPr>
      <w:r>
        <w:rPr>
          <w:i/>
          <w:iCs/>
          <w:color w:val="595959"/>
          <w:sz w:val="18"/>
          <w:szCs w:val="18"/>
        </w:rPr>
        <w:t xml:space="preserve">四维图新(002405)_公司公告_四维图新：2024年年度报告新浪财经_新浪网 — https://money.finance.sina.com.cn/corp/view/vCB_AllBulletinDetail.php?id=11009795&amp;stockid=002405&amp;utm_source=openai</w:t>
      </w:r>
    </w:p>
    <w:p>
      <w:pPr>
        <w:spacing w:after="200"/>
      </w:pPr>
      <w:r>
        <w:rPr>
          <w:i/>
          <w:iCs/>
          <w:color w:val="595959"/>
          <w:sz w:val="18"/>
          <w:szCs w:val="18"/>
        </w:rPr>
        <w:t xml:space="preserve">北京四维图新科技股份有限公司 2022 年年度报告全文 — https://stockn.xueqiu.com/SZ002405/20230421749731.pdf?utm_source=openai</w:t>
      </w:r>
    </w:p>
    <w:p>
      <w:pPr>
        <w:spacing w:after="200"/>
      </w:pPr>
      <w:r>
        <w:rPr>
          <w:i/>
          <w:iCs/>
          <w:color w:val="595959"/>
          <w:sz w:val="18"/>
          <w:szCs w:val="18"/>
        </w:rPr>
        <w:t xml:space="preserve">四维图新(002405)_公司公告_四维图新：2023年年度报告新浪财经_新浪网 — https://money.finance.sina.com.cn/corp/view/vCB_AllBulletinDetail.php?id=10171721&amp;stockid=002405&amp;utm_source=openai</w:t>
      </w:r>
    </w:p>
    <w:p>
      <w:pPr>
        <w:spacing w:after="200"/>
      </w:pPr>
      <w:r>
        <w:rPr>
          <w:i/>
          <w:iCs/>
          <w:color w:val="595959"/>
          <w:sz w:val="18"/>
          <w:szCs w:val="18"/>
        </w:rPr>
        <w:t xml:space="preserve">2025年中国高精地图行业重点企业综合竞争力排名（图）-中商情报网 — https://m.askci.com/news/20250401/103436274347487536217325.shtml?utm_source=openai</w:t>
      </w:r>
    </w:p>
    <w:p>
      <w:pPr>
        <w:spacing w:after="200"/>
      </w:pPr>
      <w:r>
        <w:rPr>
          <w:i/>
          <w:iCs/>
          <w:color w:val="595959"/>
          <w:sz w:val="18"/>
          <w:szCs w:val="18"/>
        </w:rPr>
        <w:t xml:space="preserve">〖最全〗2025年车路协同行业上市公司全方位对比（附业务布局汇总、业绩对比、业务规划等）_行业研究报告 - 前瞻网__财经头条__新浪财经 — https://cj.sina.com.cn/articles/view/7857141524/1d452771401901z38k?froms=ggmp&amp;utm_source=openai</w:t>
      </w:r>
    </w:p>
    <w:p>
      <w:pPr>
        <w:spacing w:after="200"/>
      </w:pPr>
      <w:r>
        <w:rPr>
          <w:i/>
          <w:iCs/>
          <w:color w:val="595959"/>
          <w:sz w:val="18"/>
          <w:szCs w:val="18"/>
        </w:rPr>
        <w:t xml:space="preserve">四维图新(002405)_公司公告_四维图新：2026年半年度报告新浪财经_新浪网 — https://money.finance.sina.com.cn/corp/view/vCB_AllBulletinDetail.php?id=12532806&amp;stockid=002405</w:t>
      </w:r>
    </w:p>
    <w:p>
      <w:pPr>
        <w:spacing w:after="200"/>
      </w:pPr>
      <w:r>
        <w:rPr>
          <w:i/>
          <w:iCs/>
          <w:color w:val="595959"/>
          <w:sz w:val="18"/>
          <w:szCs w:val="18"/>
        </w:rPr>
        <w:t xml:space="preserve">四维图新(002405) 盈利预测_F10_同花顺金融服务网 — https://basic.10jqka.com.cn/002405/worth.html</w:t>
      </w:r>
    </w:p>
    <w:p>
      <w:pPr>
        <w:spacing w:after="200"/>
      </w:pPr>
      <w:r>
        <w:rPr>
          <w:i/>
          <w:iCs/>
          <w:color w:val="595959"/>
          <w:sz w:val="18"/>
          <w:szCs w:val="18"/>
        </w:rPr>
        <w:t xml:space="preserve">四维图新(002405)：数据合规支撑增长 盈利能力承压_公司研究_新浪财经_新浪网 — https://stock.finance.sina.com.cn/stock/go.php/vReport_Show/kind/company/rptid/841431707632/index.phtml</w:t>
      </w:r>
    </w:p>
    <w:p>
      <w:pPr>
        <w:spacing w:after="200"/>
      </w:pPr>
      <w:r>
        <w:rPr>
          <w:i/>
          <w:iCs/>
          <w:color w:val="595959"/>
          <w:sz w:val="18"/>
          <w:szCs w:val="18"/>
        </w:rPr>
        <w:t xml:space="preserve">四维图新(002405)：受益于智能汽车渗透率提升 打造“数据、芯片”双轮增长格局__新浪财经_新浪网 — https://stock.finance.sina.com.cn/stock/go.php/vReport_Show/kind/lastest/rptid/830189043806/index.phtml</w:t>
      </w:r>
    </w:p>
    <w:p>
      <w:pPr>
        <w:spacing w:after="200"/>
      </w:pPr>
      <w:r>
        <w:rPr>
          <w:i/>
          <w:iCs/>
          <w:color w:val="595959"/>
          <w:sz w:val="18"/>
          <w:szCs w:val="18"/>
        </w:rPr>
        <w:t xml:space="preserve">四维图新(002405)：智云智芯驱动增长 盈利能力短期承压_财富号_东方财富网 — https://caifuhao.eastmoney.com/news/20260503045631106017690</w:t>
      </w:r>
    </w:p>
    <w:p>
      <w:pPr>
        <w:spacing w:after="200"/>
      </w:pPr>
      <w:r>
        <w:rPr>
          <w:i/>
          <w:iCs/>
          <w:color w:val="595959"/>
          <w:sz w:val="18"/>
          <w:szCs w:val="18"/>
        </w:rPr>
        <w:t xml:space="preserve">四维图新 sz002405 的股票股价,行情,直播,新闻,财报,数据 - 爱股票 — https://stock.aigupiao.com/code/sz002405?utm_source=openai</w:t>
      </w:r>
    </w:p>
    <w:p>
      <w:pPr>
        <w:spacing w:after="200"/>
      </w:pPr>
      <w:r>
        <w:rPr>
          <w:i/>
          <w:iCs/>
          <w:color w:val="595959"/>
          <w:sz w:val="18"/>
          <w:szCs w:val="18"/>
        </w:rPr>
        <w:t xml:space="preserve">四维图新(002405)股票信息 - 数据平台 — https://data.agoer.com/cms/Index/detail?id=002405&amp;utm_source=openai</w:t>
      </w:r>
    </w:p>
    <w:p>
      <w:pPr>
        <w:spacing w:after="200"/>
      </w:pPr>
      <w:r>
        <w:rPr>
          <w:i/>
          <w:iCs/>
          <w:color w:val="595959"/>
          <w:sz w:val="18"/>
          <w:szCs w:val="18"/>
        </w:rPr>
        <w:t xml:space="preserve">四维图新(002405)_股票行情，行情首页_中财网 — https://quotewh.cfi.cn/quote10937_002405.html</w:t>
      </w:r>
    </w:p>
    <w:p>
      <w:pPr>
        <w:spacing w:after="200"/>
      </w:pPr>
      <w:r>
        <w:rPr>
          <w:i/>
          <w:iCs/>
          <w:color w:val="595959"/>
          <w:sz w:val="18"/>
          <w:szCs w:val="18"/>
        </w:rPr>
        <w:t xml:space="preserve">四維圖新(002405.SZ) 走勢圖 - Yahoo股市 — https://tw.stock.yahoo.com/quote/002405.SZ?utm_source=openai</w:t>
      </w:r>
    </w:p>
    <w:p>
      <w:pPr>
        <w:spacing w:after="200"/>
      </w:pPr>
      <w:r>
        <w:rPr>
          <w:i/>
          <w:iCs/>
          <w:color w:val="595959"/>
          <w:sz w:val="18"/>
          <w:szCs w:val="18"/>
        </w:rPr>
        <w:t xml:space="preserve">四维图新 (002405) - 历史交易数据 | 打板客网 — https://dabanke.com/hangqing-002405.html?utm_source=openai</w:t>
      </w:r>
    </w:p>
    <w:p>
      <w:pPr>
        <w:spacing w:after="200"/>
      </w:pPr>
      <w:r>
        <w:rPr>
          <w:i/>
          <w:iCs/>
          <w:color w:val="595959"/>
          <w:sz w:val="18"/>
          <w:szCs w:val="18"/>
        </w:rPr>
        <w:t xml:space="preserve">Seewayai(002405)股票行情走势技术分析_未来预测_买卖操作建议_英为财情Investing.com — https://cn.investing.com/equities/navinfo-a-technical?utm_source=openai</w:t>
      </w:r>
    </w:p>
    <w:p>
      <w:pPr>
        <w:spacing w:after="200"/>
      </w:pPr>
      <w:r>
        <w:rPr>
          <w:i/>
          <w:iCs/>
          <w:color w:val="595959"/>
          <w:sz w:val="18"/>
          <w:szCs w:val="18"/>
        </w:rPr>
        <w:t xml:space="preserve">四维图新(002405) 最新动态_F10_同花顺金融服务网 — https://basic.10jqka.com.cn/002405/index.html</w:t>
      </w:r>
    </w:p>
    <w:p>
      <w:pPr>
        <w:spacing w:after="200"/>
      </w:pPr>
      <w:r>
        <w:rPr>
          <w:i/>
          <w:iCs/>
          <w:color w:val="595959"/>
          <w:sz w:val="18"/>
          <w:szCs w:val="18"/>
        </w:rPr>
        <w:t xml:space="preserve">本报告由AI基于公开渠道信息自动检索、整理并生成，信息截至 截至2026年9月11日收盘；MA与布林带为基于公开日线收盘数据的近似测算，股东结构数据分别截至2026年6月30日和2026年3月31日，存在季度滞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2026-09-13T16:27:16.029Z</dcterms:created>
  <dcterms:modified xsi:type="dcterms:W3CDTF">2026-09-13T16:27:16.029Z</dcterms:modified>
</cp:coreProperties>
</file>

<file path=docProps/custom.xml><?xml version="1.0" encoding="utf-8"?>
<Properties xmlns="http://schemas.openxmlformats.org/officeDocument/2006/custom-properties" xmlns:vt="http://schemas.openxmlformats.org/officeDocument/2006/docPropsVTypes"/>
</file>