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江苏雅克科技股份有限公司（雅克科技，002409） (002409)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行业：电子材料与LNG保温绝热材料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截至2026年9月11日收盘；行情数据主要来自中财网、选股通及Investing.com，部分字段存在平台口径和更新时间差异。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雅克科技2025年实现营业收入86.11亿元，同比增长25.49%，归母净利润10.00亿元，同比增长14.77%；2026年上半年营业收入45.13亿元，同比增长5.12%，归母净利润5.61亿元，同比增长7.29%，但扣非归母净利润仅同比增长0.68%，经营活动现金流净额同比下降12.13%，显示收入和归母利润仍在增长，但利润增速及盈利质量有所承压。公司核心业务为半导体电子材料，同时保有LNG保温绝热板材业务，2025年电子材料收入占比58.99%，LNG保温绝热材料收入占比27.53%。</w:t>
      </w:r>
    </w:p>
    <w:p>
      <w:pPr>
        <w:spacing w:after="160" w:line="300"/>
      </w:pPr>
      <w:r>
        <w:rPr>
          <w:sz w:val="22"/>
          <w:szCs w:val="22"/>
        </w:rPr>
        <w:t xml:space="preserve">公司增长逻辑主要来自半导体材料国产化、存储行业景气及前驱体等产品的产能扩张。公司披露，韩国UPChemical生产基地基本满产，江苏先科尚未达到满产，计划在中国和韩国继续扩产，新增产能预计于2027年年底前建成；但相关内容属于公司经营判断和发展计划，并非业绩承诺，仍取决于客户认证、产能建设进度及存储行业景气持续性。</w:t>
      </w:r>
    </w:p>
    <w:p>
      <w:pPr>
        <w:spacing w:after="160" w:line="300"/>
      </w:pPr>
      <w:r>
        <w:rPr>
          <w:sz w:val="22"/>
          <w:szCs w:val="22"/>
        </w:rPr>
        <w:t xml:space="preserve">业务结构中，前驱体和电子特气具有较高技术与认证壁垒，2025年半导体化学材料毛利率为44.79%，电子特种气体毛利率为30.22%；但光刻胶及配套试剂毛利率降至16.72%，同比明显下降，化学材料整体毛利率也降至29.77%。同时，公司应收账款14.43亿元、存货22.32亿元，扩张伴随较高营运资金占用，2025年前五大客户销售占比达到44.00%，客户集中度和回款情况仍需关注。</w:t>
      </w:r>
    </w:p>
    <w:p>
      <w:pPr>
        <w:spacing w:after="160" w:line="300"/>
      </w:pPr>
      <w:r>
        <w:rPr>
          <w:sz w:val="22"/>
          <w:szCs w:val="22"/>
        </w:rPr>
        <w:t xml:space="preserve">截至2026年9月11日，公司股价约130元，较8月17日阶段高点约159.01元回落约18.25%，低于MA10、MA20、MA50、MA100和MA200，技术指标综合评价偏弱，主力资金按超大单和大单口径合计净流出约2.35亿元。对应TTM市盈率约59.6倍、PB约7.73倍，市场估值已包含较强成长预期；公司已通过2026年中期分红方案，拟每10股派发3.50元现金股利，分红金额约占上半年归母净利润的29.7%。</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002409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雅克科技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2010年在深圳证券交易所上市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注册地及主要经营基地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江苏宜兴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最新完整年度资料</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《2025年年度报告》，数据截至2025年12月31日，报告披露日期为2026年4月28日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86.11亿元，同比增长25.49%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10.00亿元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2025年境外收入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21.23亿元，占总收入24.66%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销售模式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全部采用直销模式</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半导体电子材料：包括半导体前驱体材料、光刻胶及配套试剂、电子特种气体、电子湿化学品、半导体封装填充料及电子粉体材料、半导体材料输送系统（LDS）等。</w:t>
      </w:r>
    </w:p>
    <w:p>
      <w:pPr>
        <w:pStyle w:val="ListParagraph"/>
        <w:numPr>
          <w:ilvl w:val="0"/>
          <w:numId w:val="2"/>
        </w:numPr>
        <w:spacing w:after="80" w:line="280"/>
      </w:pPr>
      <w:r>
        <w:rPr>
          <w:sz w:val="22"/>
          <w:szCs w:val="22"/>
        </w:rPr>
        <w:t xml:space="preserve">LNG保温绝热板材及工程服务：生产LNG液货舱和储运设备所需的低温保温绝热板材，并提供部分工程安装服务，应用于大型LNG运输船、燃料船、陆上储罐及LNG接收站等场景。</w:t>
      </w:r>
    </w:p>
    <w:p>
      <w:pPr>
        <w:pStyle w:val="ListParagraph"/>
        <w:numPr>
          <w:ilvl w:val="0"/>
          <w:numId w:val="2"/>
        </w:numPr>
        <w:spacing w:after="80" w:line="280"/>
      </w:pPr>
      <w:r>
        <w:rPr>
          <w:sz w:val="22"/>
          <w:szCs w:val="22"/>
        </w:rPr>
        <w:t xml:space="preserve">阻燃剂：主要应用于塑料、橡胶、涂料等高分子材料。2025年生产逐步集中至滨海雅克工厂，宜兴阻燃剂工厂基本停止生产，业务定位趋于辅助化。</w:t>
      </w:r>
    </w:p>
    <w:p>
      <w:pPr>
        <w:pStyle w:val="ListParagraph"/>
        <w:numPr>
          <w:ilvl w:val="0"/>
          <w:numId w:val="2"/>
        </w:numPr>
        <w:spacing w:after="80" w:line="280"/>
      </w:pPr>
      <w:r>
        <w:rPr>
          <w:sz w:val="22"/>
          <w:szCs w:val="22"/>
        </w:rPr>
        <w:t xml:space="preserve">2025年收入结构：电子材料收入50.80亿元，占比58.99%；化学材料收入26.58亿元，占比30.87%；租赁及工程服务收入6.82亿元，占比7.92%。</w:t>
      </w:r>
    </w:p>
    <w:p>
      <w:pPr>
        <w:pStyle w:val="ListParagraph"/>
        <w:numPr>
          <w:ilvl w:val="0"/>
          <w:numId w:val="2"/>
        </w:numPr>
        <w:spacing w:after="80" w:line="280"/>
      </w:pPr>
      <w:r>
        <w:rPr>
          <w:sz w:val="22"/>
          <w:szCs w:val="22"/>
        </w:rPr>
        <w:t xml:space="preserve">2025年主要产品收入：半导体化学材料21.11亿元，占24.51%；光刻胶及配套试剂19.60亿元，占22.76%；电子特种气体4.17亿元，占4.85%；硅微粉2.88亿元，占3.35%；LDS设备3.04亿元，占3.53%；LNG保温绝热材料23.70亿元，占27.53%；阻燃剂2.88亿元，占3.34%。</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雅克科技位于半导体和显示产业链的上游材料环节，同时在LNG储运装备产业链中处于关键保温绝热材料供应商位置。公司不是资源采掘型企业，也不是终端品牌企业，而是以电子材料为核心、LNG保温绝热板材为重要补充的中上游新材料平台公司。</w:t>
      </w:r>
    </w:p>
    <w:p>
      <w:pPr>
        <w:pStyle w:val="ListParagraph"/>
        <w:numPr>
          <w:ilvl w:val="0"/>
          <w:numId w:val="2"/>
        </w:numPr>
        <w:spacing w:after="80" w:line="280"/>
      </w:pPr>
      <w:r>
        <w:rPr>
          <w:sz w:val="22"/>
          <w:szCs w:val="22"/>
        </w:rPr>
        <w:t xml:space="preserve">电子材料业务实际涉及的投入包括：半导体前驱体所需的高纯金属、硅基及其他特种化学原料；电子特气所需的高纯气体原料、含氟化学品及气体纯化和包装材料；光刻胶及配套试剂所需的树脂、光敏组分、溶剂、颜料及其他功能助剂；电子湿化学品所需的相关高纯化学品。</w:t>
      </w:r>
    </w:p>
    <w:p>
      <w:pPr>
        <w:pStyle w:val="ListParagraph"/>
        <w:numPr>
          <w:ilvl w:val="0"/>
          <w:numId w:val="2"/>
        </w:numPr>
        <w:spacing w:after="80" w:line="280"/>
      </w:pPr>
      <w:r>
        <w:rPr>
          <w:sz w:val="22"/>
          <w:szCs w:val="22"/>
        </w:rPr>
        <w:t xml:space="preserve">球形硅微粉涉及高纯硅基原料、天然气、液氧等生产辅助资源；LNG板材涉及聚氨酯泡沫体系、复合材料及相关发泡和结构材料；阻燃剂涉及含磷、含卤或其他功能化学原料。</w:t>
      </w:r>
    </w:p>
    <w:p>
      <w:pPr>
        <w:pStyle w:val="ListParagraph"/>
        <w:numPr>
          <w:ilvl w:val="0"/>
          <w:numId w:val="2"/>
        </w:numPr>
        <w:spacing w:after="80" w:line="280"/>
      </w:pPr>
      <w:r>
        <w:rPr>
          <w:sz w:val="22"/>
          <w:szCs w:val="22"/>
        </w:rPr>
        <w:t xml:space="preserve">公司年报未按产品逐项披露主要原材料采购金额、单吨成本、供应商名称及具体原材料占比，上述投入类别部分基于产品和生产工艺对应，不能据此推导具体材料成本占比。</w:t>
      </w:r>
    </w:p>
    <w:p>
      <w:pPr>
        <w:pStyle w:val="ListParagraph"/>
        <w:numPr>
          <w:ilvl w:val="0"/>
          <w:numId w:val="2"/>
        </w:numPr>
        <w:spacing w:after="80" w:line="280"/>
      </w:pPr>
      <w:r>
        <w:rPr>
          <w:sz w:val="22"/>
          <w:szCs w:val="22"/>
        </w:rPr>
        <w:t xml:space="preserve">2025年前五大供应商采购金额合计11.84亿元，占年度采购总额14.29%；单一最大供应商占采购总额4.37%。供应商集中度整体不高，但不同子公司和产品线可能存在单项原料或设备供应商集中风险，年报未作更细分披露。</w:t>
      </w:r>
    </w:p>
    <w:p>
      <w:pPr>
        <w:pStyle w:val="ListParagraph"/>
        <w:numPr>
          <w:ilvl w:val="0"/>
          <w:numId w:val="2"/>
        </w:numPr>
        <w:spacing w:after="80" w:line="280"/>
      </w:pPr>
      <w:r>
        <w:rPr>
          <w:sz w:val="22"/>
          <w:szCs w:val="22"/>
        </w:rPr>
        <w:t xml:space="preserve">公司不是典型资源垄断型企业。部分基础化工原料、气体和能源具有商品化属性，公司对上游成本不具备全面控制力；前驱体、先进光刻胶和LNG保温板材的技术、认证及稳定供货能力，则能够在一定程度上增强其对下游的议价能力。</w:t>
      </w:r>
    </w:p>
    <w:p>
      <w:pPr>
        <w:pStyle w:val="ListParagraph"/>
        <w:numPr>
          <w:ilvl w:val="0"/>
          <w:numId w:val="2"/>
        </w:numPr>
        <w:spacing w:after="80" w:line="280"/>
      </w:pPr>
      <w:r>
        <w:rPr>
          <w:sz w:val="22"/>
          <w:szCs w:val="22"/>
        </w:rPr>
        <w:t xml:space="preserve">半导体材料下游主要包括存储、逻辑和特色工艺晶圆制造企业、显示面板厂商、半导体封装及电子制造企业；LNG板材下游包括大型LNG运输船、燃料船、储罐和接收站装备制造商；阻燃剂下游包括塑料、橡胶和涂料等高分子材料用户。</w:t>
      </w:r>
    </w:p>
    <w:p>
      <w:pPr>
        <w:pStyle w:val="ListParagraph"/>
        <w:numPr>
          <w:ilvl w:val="0"/>
          <w:numId w:val="2"/>
        </w:numPr>
        <w:spacing w:after="80" w:line="280"/>
      </w:pPr>
      <w:r>
        <w:rPr>
          <w:sz w:val="22"/>
          <w:szCs w:val="22"/>
        </w:rPr>
        <w:t xml:space="preserve">2025年前五大客户销售金额37.92亿元，占年度销售总额44.00%；第一大客户占比12.35%。上述数据为2025年度口径，年报以“客户一至客户五”匿名列示，无法仅凭年报核实具体客户名称；该数据来源于年报，具体以最新年报为准。</w:t>
      </w:r>
    </w:p>
    <w:p>
      <w:pPr>
        <w:pStyle w:val="ListParagraph"/>
        <w:numPr>
          <w:ilvl w:val="0"/>
          <w:numId w:val="2"/>
        </w:numPr>
        <w:spacing w:after="80" w:line="280"/>
      </w:pPr>
      <w:r>
        <w:rPr>
          <w:sz w:val="22"/>
          <w:szCs w:val="22"/>
        </w:rPr>
        <w:t xml:space="preserve">半导体材料下游具有客户集中度高、验证周期长、认证壁垒高和持续供货要求高等特点。大型晶圆厂和显示面板厂采购规模及议价能力较强，但材料更换可能影响工艺稳定性和良率，供应商导入后具有一定黏性。</w:t>
      </w:r>
    </w:p>
    <w:p>
      <w:pPr>
        <w:pStyle w:val="ListParagraph"/>
        <w:numPr>
          <w:ilvl w:val="0"/>
          <w:numId w:val="2"/>
        </w:numPr>
        <w:spacing w:after="80" w:line="280"/>
      </w:pPr>
      <w:r>
        <w:rPr>
          <w:sz w:val="22"/>
          <w:szCs w:val="22"/>
        </w:rPr>
        <w:t xml:space="preserve">雅克科技主要下游并非普遍存在汽车零部件行业的“年降”模式。半导体材料更接近“长期认证+工艺绑定+持续供货”；LNG板材则具有认证和项目制特征，收入受船舶建造、交付及储运基础设施项目节奏影响。</w:t>
      </w:r>
    </w:p>
    <w:p>
      <w:pPr>
        <w:pStyle w:val="ListParagraph"/>
        <w:numPr>
          <w:ilvl w:val="0"/>
          <w:numId w:val="2"/>
        </w:numPr>
        <w:spacing w:after="80" w:line="280"/>
      </w:pPr>
      <w:r>
        <w:rPr>
          <w:sz w:val="22"/>
          <w:szCs w:val="22"/>
        </w:rPr>
        <w:t xml:space="preserve">LNG板材业务已向陆上LNG接收站和储罐场景拓展，并完成MARK III/FLEX+聚氨酯模块等产品的GTT认证。公司关于“国内首家”及行业领先的表述主要为年报自述，未找到独立第三方市场份额数据交叉验证。</w:t>
      </w:r>
    </w:p>
    <w:p>
      <w:pPr>
        <w:pStyle w:val="ListParagraph"/>
        <w:numPr>
          <w:ilvl w:val="0"/>
          <w:numId w:val="2"/>
        </w:numPr>
        <w:spacing w:after="80" w:line="280"/>
      </w:pPr>
      <w:r>
        <w:rPr>
          <w:sz w:val="22"/>
          <w:szCs w:val="22"/>
        </w:rPr>
        <w:t xml:space="preserve">截至2025年12月31日，应收账款14.43亿元，占全年营业收入约16.75%，约相当于归母净利润10.00亿元的144.21%；存货22.32亿元，占营业收入约25.92%；预付款项2.90亿元，占营业收入约3.36%。2025年经营活动现金流净额10.31亿元，高于2024年的6.04亿元；但应收账款由2024年末11.35亿元增至2025年末14.43亿元，增幅约27.15%，略高于营业收入增幅25.49%。其中，2025年预付款项有2.89亿元为LNG保温复合材料相关预付款，年报解释为材料供货周期较长导致增加。上述数据表明业务扩张伴随一定营运资金占用，不能仅凭认证壁垒和客户集中度断言公司对下游拥有很强议价权。</w:t>
      </w:r>
    </w:p>
    <w:p>
      <w:pPr>
        <w:pStyle w:val="ListParagraph"/>
        <w:numPr>
          <w:ilvl w:val="0"/>
          <w:numId w:val="2"/>
        </w:numPr>
        <w:spacing w:after="80" w:line="280"/>
      </w:pPr>
      <w:r>
        <w:rPr>
          <w:sz w:val="22"/>
          <w:szCs w:val="22"/>
        </w:rPr>
        <w:t xml:space="preserve">采购端：2025年前五大供应商占年度采购总额14.29%，单一最大供应商占4.37%，整体较分散；销售端：2025年前五大客户占年度销售总额44.00%，第一大客户占12.35%。客户和供应商均以匿名方式披露，无法核实具体企业及单一客户对应产品；客户集中度数据仅明确覆盖2025年度，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半导体化学材料（前驱体）约50.26%；光刻胶及配套试剂约18.12%；电子特种气体约36.87%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电子材料业务主要依靠前驱体和电子特种气体贡献较高利润，前驱体技术、客户认证和产品结构带来的附加值明显高于普通化工材料。</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电子材料整体33.80%；化学材料26.40%；半导体化学材料约50.16%；光刻胶及配套试剂约19.47%；电子特种气体约36.75%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电子材料毛利率总体稳定，前驱体仍是高毛利核心；化学材料受LNG板材收入增长带动，但整体毛利率低于前驱体。</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电子材料约32.23%；化学材料约31.51%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电子材料收入45.07亿元，占比67.72%；化学材料收入19.09亿元，占比23.90%。LNG保温绝热材料收入16.35亿元，同比增长89.18%，业务结构变化及LNG板材、阻燃剂相对较低的综合毛利率对整体利润率形成影响。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电子材料31.01%；化学材料29.77%；半导体化学材料44.79%；光刻胶及配套试剂16.72%；电子特种气体30.22%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按归母净利润10.00亿元和营业收入86.11亿元计算约11.61%，纪要未直接披露净利率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驱体毛利率同比提升9.40个百分点，电子特种气体同比提升10.52个百分点；光刻胶毛利率同比下降25.97个百分点，收入增长伴随明显成本和价格压力；LNG及化学材料收入增长较快，但化学材料整体毛利率同比下降5.55个百分点。不同年度业务分类和披露口径存在变化，不宜机械比较整体毛利率。</w:t>
            </w:r>
          </w:p>
        </w:tc>
      </w:tr>
    </w:tbl>
    <w:p>
      <w:pPr>
        <w:spacing w:before="200"/>
      </w:pPr>
    </w:p>
    <w:p>
      <w:pPr>
        <w:spacing w:after="160" w:line="300"/>
      </w:pPr>
      <w:r>
        <w:rPr>
          <w:sz w:val="22"/>
          <w:szCs w:val="22"/>
        </w:rPr>
        <w:t xml:space="preserve">雅克科技处于中上游高技术材料和关键工艺配套环节：前驱体、部分电子特气和高端电子材料接近微笑曲线左侧的高附加值位置，光刻胶、湿电子化学品、球形硅微粉及LNG板材则处于不同成熟度的工艺材料环节。进一步改善利润率主要取决于前驱体新产线客户认证和批量放量、光刻胶产品结构优化及价格压力缓解、球形硅微粉/湿电子化学品/电子特气产能利用率提升，以及LNG板材向陆上储罐和接收站拓展并提高工程服务和高附加值产品占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45.13亿元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同比增长5.12%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归母净利润5.61亿元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同比增长7.29%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约25.40亿元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同比增长约16.78%，环比增长约28.77%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归母净利润约2.94亿元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同比增长约12.08%，环比增长约10.32%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86.11亿元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同比增长25.49%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归母净利润10.00亿元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同比增长14.77%</w:t>
            </w:r>
          </w:p>
        </w:tc>
      </w:tr>
    </w:tbl>
    <w:p>
      <w:pPr>
        <w:spacing w:after="200"/>
      </w:pPr>
      <w:r>
        <w:rPr>
          <w:i/>
          <w:iCs/>
          <w:color w:val="595959"/>
          <w:sz w:val="18"/>
          <w:szCs w:val="18"/>
        </w:rPr>
        <w:t xml:space="preserve">2026年上半年扣非归母净利润为5.30亿元，同比增长0.68%；基本每股收益1.1786元，上年同期为1.0985元。2025年扣非归母净利润为9.54亿元，同比增长5.91%，基本每股收益2.1018元。</w:t>
      </w:r>
    </w:p>
    <w:p>
      <w:pPr>
        <w:spacing w:after="160" w:line="300"/>
      </w:pPr>
      <w:r>
        <w:rPr>
          <w:sz w:val="22"/>
          <w:szCs w:val="22"/>
        </w:rPr>
        <w:t xml:space="preserve">2026年上半年经营活动产生的现金流量净额为2.55亿元，同比下降12.13%；加权平均净资产收益率为7.07%，同比提高0.10个百分点；销售毛利率约29.87%，销售净利率约14.11%。截至2026年6月30日，公司总资产170.33亿元，归属于上市公司股东的净资产80.00亿元，较2025年末分别增长0.42%和1.69%，按期末净资产和总股本粗略计算每股净资产约16.81元。2025年经营活动现金流量净额为10.31亿元，同比增长70.80%。2026年上半年非经常性损益合计约3100万元，约占归母净利润的5.5%，扣非利润增速明显低于归母净利润增速，盈利质量仍需关注。</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盈利预测页面显示，2026—2028年预测机构数分别为11家、11家和10家；东方财富页面显示分别为9家、9家和7家。不同平台因样本机构数、报告更新时间和股本口径不同，预测值存在小幅差异。研究纪要概括机构普遍预期2026—2028年收入和利润保持增长，2025—2028年归母净利润三年复合增速约25%—30%。</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同花顺汇总约102亿元；东方财富约101.1亿元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同花顺汇总约13.30亿元；东方财富约13.46亿元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年度同比增速未明确披露；机构预测区间约12.52亿—15.04亿元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同花顺约2.80元；东方财富约2.8244元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同花顺汇总约117亿元；东方财富约116.8亿元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同花顺汇总约16.49亿元；东方财富约16.49亿元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年度同比增速未明确披露；机构预测区间约15.45亿—17.44亿元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同花顺约3.47元；东方财富约3.4689元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同花顺汇总约135亿元；东方财富约134.8亿元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同花顺汇总约20.18亿元；东方财富约20.12亿元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年度同比增速未明确披露；机构预测区间约17.37亿—23.59亿元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同花顺约4.24元；东方财富约4.2314元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预计2026—2028年归母净利润分别为12.90亿元、17.21亿元和22.28亿元；对应PE约48倍、36倍和28倍。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中信建投</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预计2026—2028年归母净利润分别为12.95亿元、17.44亿元和23.59亿元；对应PE约52.3倍、38.9倍和28.7倍。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申万宏源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预计2026—2028年归母净利润分别为12.69亿元、16.64亿元和20.93亿元；对应PE约49倍、38倍和30倍。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预计2026—2028年归母净利润分别为12.52亿元、15.56亿元和18.93亿元，EPS分别为2.63元、3.27元和3.98元；对应PE约54.7倍、44.0倍和36.2倍。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买入-A</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预计2026—2028年营业收入分别为98.20亿元、112.50亿元和129.08亿元；归母净利润分别为12.92亿元、15.68亿元和18.38亿元。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研究纪要称2026年8月至9月公开评级为买入，具体盈利预测和报告日期未披露。</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此前评级为增持，具体报告日期和盈利预测未披露。</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此前评级为增持，具体报告日期和盈利预测未披露。</w:t>
            </w:r>
          </w:p>
        </w:tc>
      </w:tr>
    </w:tbl>
    <w:p>
      <w:pPr>
        <w:spacing w:before="200"/>
      </w:pPr>
    </w:p>
    <w:p>
      <w:pPr>
        <w:spacing w:after="160" w:line="300"/>
      </w:pPr>
      <w:r>
        <w:rPr>
          <w:sz w:val="22"/>
          <w:szCs w:val="22"/>
        </w:rPr>
        <w:t xml:space="preserve">截至2026年9月11日收盘，股价约130.44元，总市值约618.66亿元，动态市盈率TTM约59.58倍。按2025年基本每股收益2.1018元、2026年上半年基本每股收益1.1786元及2025年上半年基本每股收益1.0985元估算，TTM EPS约2.1819元，对应PE约59.8倍，与公开行情数据基本一致。按2026年6月30日归母净资产80.00亿元及总市值估算，当前PB约7.73倍。按机构预测利润计算，2026年预测PE约45.5—49.4倍，以同花顺中枢13.30亿元计算约46.5倍；2027年约35.5—39.8倍，以同花顺中枢16.49亿元计算约37.5倍；2028年约26.2—33.7倍，以同花顺中枢20.18亿元计算约30.7倍。部分机构研报给出的PE存在差异，例如中信建投、中银证券和申万宏源给出的2026年PE约为52.3倍、54.7倍和49倍，可能与报告发布时股价、总股本口径或报告日市值有关。目标价方面，第三方评级汇总显示截至2026年8月24日，近三个月约11位分析师的目标价平均值约103.10元，最高约111.20元，最低约95.00元；另一页面显示近180天3家机构一致目标价中位数约103元。以130.44元收盘价计算，103.10元、111.20元和95.00元分别较当前价格低约21%、15%和27%。整体来看，公司业绩仍保持增长，但当前TTM PE约59.6倍、PB约7.73倍，估值已反映较强成长预期。后续估值消化取决于前驱体国产化、国内及韩国新产能投产、电子材料业务放量和毛利率改善；若下游半导体资本开支放缓、产能投放低于预期或毛利率继续承压，则存在较大估值回撤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2026年第二次临时股东会通过中期分红方案</w:t>
      </w:r>
    </w:p>
    <w:p>
      <w:pPr>
        <w:spacing w:after="160" w:line="300"/>
      </w:pPr>
      <w:r>
        <w:rPr>
          <w:sz w:val="22"/>
          <w:szCs w:val="22"/>
        </w:rPr>
        <w:t xml:space="preserve">2026年9月10日，雅克科技召开2026年第二次临时股东会，审议通过《关于2026年中期分红方案的议案》。表决结果为：同意221,711,046股，占出席会议有效表决权股份总数的99.9724%；反对47,200股，占0.0213%；弃权13,900股，占0.0063%。公司拟以总股本475,927,678股为基数，每10股派发现金股利3.50元（含税），预计派发现金红利166,574,687.30元，不送红股、不以资本公积转增股本。拟分红金额约占2026年上半年归母净利润560,905,882.40元的29.7%。截至研究纪要披露时，具体股权登记日、除权除息日和派息日尚未公布，需关注后续权益分派实施公告。该事项属于现金分红安排，不属于股份回购。</w:t>
      </w:r>
    </w:p>
    <w:p>
      <w:pPr>
        <w:pStyle w:val="Heading2"/>
        <w:spacing w:after="120" w:before="240"/>
      </w:pPr>
      <w:r>
        <w:rPr>
          <w:b/>
          <w:bCs/>
          <w:color w:val="2E74B5"/>
          <w:sz w:val="24"/>
          <w:szCs w:val="24"/>
        </w:rPr>
        <w:t xml:space="preserve">4.2 机构调研披露存储半导体材料业务及扩产计划</w:t>
      </w:r>
    </w:p>
    <w:p>
      <w:pPr>
        <w:spacing w:after="160" w:line="300"/>
      </w:pPr>
      <w:r>
        <w:rPr>
          <w:sz w:val="22"/>
          <w:szCs w:val="22"/>
        </w:rPr>
        <w:t xml:space="preserve">2026年9月8日，公司接待泰康资产、中泰证券、长城财富保险等机构调研，并于9月9日披露投资者关系活动记录表。公司表示，受AI需求驱动，半导体存储行业自2025年第四季度进入景气上行周期，公司半导体材料客户主要集中于存储领域，以DRAM晶圆制造厂商为主。公司预计2026年至2027年存储市场供需偏紧，2028年至2030年新增产能逐步释放。公司计划在中国和韩国双生产基地基础上继续推动两个生产基地扩产，新增产能预计于2027年年底前建成。韩国UPChemical生产基地基本满产，江苏先科尚未达到满产状态，公司预计两处生产基地到2027年年底接近满产。上述内容属于公司经营判断和发展计划，并非经审计的财务预测或业绩承诺，产能建设进度、客户认证和下游存储景气持续性仍存在不确定性。</w:t>
      </w:r>
    </w:p>
    <w:p>
      <w:pPr>
        <w:pStyle w:val="Heading2"/>
        <w:spacing w:after="120" w:before="240"/>
      </w:pPr>
      <w:r>
        <w:rPr>
          <w:b/>
          <w:bCs/>
          <w:color w:val="2E74B5"/>
          <w:sz w:val="24"/>
          <w:szCs w:val="24"/>
        </w:rPr>
        <w:t xml:space="preserve">4.3 半年度报告显示收入和归母净利润同比增长</w:t>
      </w:r>
    </w:p>
    <w:p>
      <w:pPr>
        <w:spacing w:after="160" w:line="300"/>
      </w:pPr>
      <w:r>
        <w:rPr>
          <w:sz w:val="22"/>
          <w:szCs w:val="22"/>
        </w:rPr>
        <w:t xml:space="preserve">公司于2026年8月26日披露2026年半年度报告。2026年上半年实现营业收入约45.13亿元，同比增长约5.12%；实现归属于上市公司股东的净利润约5.61亿元，同比增长约7.29%。公司同期披露中期分红方案为每10股派发3.50元现金股利。</w:t>
      </w:r>
    </w:p>
    <w:p>
      <w:pPr>
        <w:pStyle w:val="Heading2"/>
        <w:spacing w:after="120" w:before="240"/>
      </w:pPr>
      <w:r>
        <w:rPr>
          <w:b/>
          <w:bCs/>
          <w:color w:val="2E74B5"/>
          <w:sz w:val="24"/>
          <w:szCs w:val="24"/>
        </w:rPr>
        <w:t xml:space="preserve">4.4 公司称未触及必须披露半年度业绩预告的情形</w:t>
      </w:r>
    </w:p>
    <w:p>
      <w:pPr>
        <w:spacing w:after="160" w:line="300"/>
      </w:pPr>
      <w:r>
        <w:rPr>
          <w:sz w:val="22"/>
          <w:szCs w:val="22"/>
        </w:rPr>
        <w:t xml:space="preserve">2026年8月20日，公司在互动平台回复投资者称，根据深圳证券交易所相关规定，公司未触及需要披露2026年半年度业绩预告的情形，因此未发布相关预告。未披露业绩预告不等于公司对全年业绩作出明确指引，也不代表未来业绩不会出现较大波动；公司未披露2026年全年业绩指引。</w:t>
      </w:r>
    </w:p>
    <w:p>
      <w:pPr>
        <w:pStyle w:val="Heading2"/>
        <w:spacing w:after="120" w:before="240"/>
      </w:pPr>
      <w:r>
        <w:rPr>
          <w:b/>
          <w:bCs/>
          <w:color w:val="2E74B5"/>
          <w:sz w:val="24"/>
          <w:szCs w:val="24"/>
        </w:rPr>
        <w:t xml:space="preserve">4.5 股票交易异常波动公告提示短期交易风险</w:t>
      </w:r>
    </w:p>
    <w:p>
      <w:pPr>
        <w:spacing w:after="160" w:line="300"/>
      </w:pPr>
      <w:r>
        <w:rPr>
          <w:sz w:val="22"/>
          <w:szCs w:val="22"/>
        </w:rPr>
        <w:t xml:space="preserve">公司于2026年8月1日披露股票交易异常波动公告，称股票在2026年7月29日、7月30日和7月31日连续三个交易日收盘价格跌幅偏离值累计超过20%，构成股票交易异常波动。公司核查后表示，前期披露信息不存在需要更正或补充之处，控股股东及实际控制人不存在应披露而未披露的重大事项。公司于2026年6月12日、6月29日、7月2日和8月1日分别披露过股票交易异常波动公告。相关公告主要反映二级市场交易风险，不构成新的经营利好或利空。</w:t>
      </w:r>
    </w:p>
    <w:p>
      <w:pPr>
        <w:pStyle w:val="Heading2"/>
        <w:spacing w:after="120" w:before="240"/>
      </w:pPr>
      <w:r>
        <w:rPr>
          <w:b/>
          <w:bCs/>
          <w:color w:val="2E74B5"/>
          <w:sz w:val="24"/>
          <w:szCs w:val="24"/>
        </w:rPr>
        <w:t xml:space="preserve">4.6 沈阳亦创拟增资9000万元，雅克锡创拟认购3000万元</w:t>
      </w:r>
    </w:p>
    <w:p>
      <w:pPr>
        <w:spacing w:after="160" w:line="300"/>
      </w:pPr>
      <w:r>
        <w:rPr>
          <w:sz w:val="22"/>
          <w:szCs w:val="22"/>
        </w:rPr>
        <w:t xml:space="preserve">公司于2026年6月4日披露，旗下全资子公司江苏雅克锡创半导体科技有限公司的参股公司沈阳亦创精密科技有限公司拟增资人民币9,000万元。其中，雅克锡创按现有持股比例认购新增注册资本人民币3,000万元，外部股东北京亦盛精密半导体有限公司认购人民币6,000万元。该事项属于参股公司增资，不是雅克科技直接收购外部资产。截至研究纪要披露时，该项目仍处于“实施中”状态，后续需关注工商变更、资金到位和业务落地情况。</w:t>
      </w:r>
    </w:p>
    <w:p>
      <w:pPr>
        <w:pStyle w:val="Heading2"/>
        <w:spacing w:after="120" w:before="240"/>
      </w:pPr>
      <w:r>
        <w:rPr>
          <w:b/>
          <w:bCs/>
          <w:color w:val="2E74B5"/>
          <w:sz w:val="24"/>
          <w:szCs w:val="24"/>
        </w:rPr>
        <w:t xml:space="preserve">4.7 三级子公司拟向沈阳亦创提供财务资助</w:t>
      </w:r>
    </w:p>
    <w:p>
      <w:pPr>
        <w:spacing w:after="160" w:line="300"/>
      </w:pPr>
      <w:r>
        <w:rPr>
          <w:sz w:val="22"/>
          <w:szCs w:val="22"/>
        </w:rPr>
        <w:t xml:space="preserve">2026年7月29日公告显示，沈阳亦创后续拟增资9,000万元，雅克锡创拟按持股比例认购3,000万元。此前相关安排中，沈阳亦创拟获得各股东合计约3,877.50万元财务资助，雅克锡创按33.33%持股比例提供约1,292.50万元。公司称沈阳亦创经营和资信状况良好，其他股东按持股比例提供同等条件的资金支持，风险处于可控范围。该事项涉及资金投入、关联交易及对参股公司的资金占用风险，后续需关注借款偿还、项目盈利和资金使用情况。</w:t>
      </w:r>
    </w:p>
    <w:p>
      <w:pPr>
        <w:pStyle w:val="Heading2"/>
        <w:spacing w:after="120" w:before="240"/>
      </w:pPr>
      <w:r>
        <w:rPr>
          <w:b/>
          <w:bCs/>
          <w:color w:val="2E74B5"/>
          <w:sz w:val="24"/>
          <w:szCs w:val="24"/>
        </w:rPr>
        <w:t xml:space="preserve">4.8 华飞电子增资事项构成近期电子材料业务布局背景</w:t>
      </w:r>
    </w:p>
    <w:p>
      <w:pPr>
        <w:spacing w:after="160" w:line="300"/>
      </w:pPr>
      <w:r>
        <w:rPr>
          <w:sz w:val="22"/>
          <w:szCs w:val="22"/>
        </w:rPr>
        <w:t xml:space="preserve">2026年3月，公司全资子公司浙江华飞电子基材有限公司引入投资人，增资金额合计不超过8.50亿元，投资人拟在充分稀释基础上认购不超过45.94%的股权。该事项涉及电子封装粉体材料业务，有助于补充项目资金，但会导致雅克科技对该子公司的持股比例被摊薄。</w:t>
      </w:r>
    </w:p>
    <w:p>
      <w:pPr>
        <w:pStyle w:val="Heading2"/>
        <w:spacing w:after="120" w:before="240"/>
      </w:pPr>
      <w:r>
        <w:rPr>
          <w:b/>
          <w:bCs/>
          <w:color w:val="2E74B5"/>
          <w:sz w:val="24"/>
          <w:szCs w:val="24"/>
        </w:rPr>
        <w:t xml:space="preserve">4.9 近期未检索到新的股份回购公告</w:t>
      </w:r>
    </w:p>
    <w:p>
      <w:pPr>
        <w:spacing w:after="160" w:line="300"/>
      </w:pPr>
      <w:r>
        <w:rPr>
          <w:sz w:val="22"/>
          <w:szCs w:val="22"/>
        </w:rPr>
        <w:t xml:space="preserve">截至2026年9月11日的公告列表，未见公司2026年新发布的股份回购方案、回购进展或回购注销公告。2026年半年度报告披露，以回购股份方式实施的现金分红金额为0元；公司2025年度利润分配公告也披露，2025年度以现金为对价实施的股份回购金额为0元。截至2026年9月12日，公司股东回报主要体现为现金分红，而不是股份回购。</w:t>
      </w:r>
    </w:p>
    <w:p>
      <w:pPr>
        <w:pStyle w:val="Heading2"/>
        <w:spacing w:after="120" w:before="240"/>
      </w:pPr>
      <w:r>
        <w:rPr>
          <w:b/>
          <w:bCs/>
          <w:color w:val="2E74B5"/>
          <w:sz w:val="24"/>
          <w:szCs w:val="24"/>
        </w:rPr>
        <w:t xml:space="preserve">4.10 近期未检索到控股股东或实际控制人减持、增持及质押公告</w:t>
      </w:r>
    </w:p>
    <w:p>
      <w:pPr>
        <w:spacing w:after="160" w:line="300"/>
      </w:pPr>
      <w:r>
        <w:rPr>
          <w:sz w:val="22"/>
          <w:szCs w:val="22"/>
        </w:rPr>
        <w:t xml:space="preserve">截至2026年9月11日的近期公告列表，未发现控股股东或实际控制人新披露的减持计划、增持计划或股份质押公告。截至2026年6月30日，公司股东户数约159,458户，较前期增加61,539户；但股东户数变化不等于控股股东或实际控制人发生股份买卖，不能据此判断核心股东增减持。</w:t>
      </w:r>
    </w:p>
    <w:p>
      <w:pPr>
        <w:pStyle w:val="Heading2"/>
        <w:spacing w:after="120" w:before="240"/>
      </w:pPr>
      <w:r>
        <w:rPr>
          <w:b/>
          <w:bCs/>
          <w:color w:val="2E74B5"/>
          <w:sz w:val="24"/>
          <w:szCs w:val="24"/>
        </w:rPr>
        <w:t xml:space="preserve">4.11 未检索到公司受到监管处罚或立案调查的公告</w:t>
      </w:r>
    </w:p>
    <w:p>
      <w:pPr>
        <w:spacing w:after="160" w:line="300"/>
      </w:pPr>
      <w:r>
        <w:rPr>
          <w:sz w:val="22"/>
          <w:szCs w:val="22"/>
        </w:rPr>
        <w:t xml:space="preserve">截至2026年9月11日的公开公告列表，未检索到雅克科技受到交易所纪律处分、证监会立案调查或重大监管处罚的公告。</w:t>
      </w:r>
    </w:p>
    <w:p>
      <w:pPr>
        <w:pStyle w:val="Heading2"/>
        <w:spacing w:after="120" w:before="240"/>
      </w:pPr>
      <w:r>
        <w:rPr>
          <w:b/>
          <w:bCs/>
          <w:color w:val="2E74B5"/>
          <w:sz w:val="24"/>
          <w:szCs w:val="24"/>
        </w:rPr>
        <w:t xml:space="preserve">4.12 异常波动公告提示电子材料行业周期性及竞争风险</w:t>
      </w:r>
    </w:p>
    <w:p>
      <w:pPr>
        <w:spacing w:after="160" w:line="300"/>
      </w:pPr>
      <w:r>
        <w:rPr>
          <w:sz w:val="22"/>
          <w:szCs w:val="22"/>
        </w:rPr>
        <w:t xml:space="preserve">公司在异常波动公告中提示，电子材料业务受产业政策、客户需求、产能供给、宏观经济、市场供需、竞争格局和原材料价格等因素影响，未来经营业绩可能出现波动；短期股价大幅上涨或下跌后存在快速回落风险。公司在9月机构调研中交流的存储行业景气、DRAM晶圆厂扩产、前驱体产能建设和客户导入等内容，主要属于公司对行业和自身业务的判断，不等同于政府政策文件，也不等同于已签署并披露金额的订单。</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股票代码及简称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002409.SZ，雅克科技；江苏雅克科技股份有限公司，深圳证券交易所上市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129.99元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-3.49元/-2.61%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130.00元/131.33元/125.30元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约1777万股，约17.77万手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约22.87亿元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约5.58%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约4.76亿股/约3.19亿股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约618.7亿元/约414.0亿元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中财网显示约59.58倍，更接近TTM口径；严格动态PE未能从多个可靠来源交叉核实，暂以TTM市盈率约59.6倍作为估值参考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52周最高价246.44元，最低价56.66元；该统计值来自行情平台，部分平台低点显示为58.53元，可能存在复权、更新时间或行情源差异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2026年8月17日阶段高点约159.01元，至2026年9月11日收盘129.99元，区间跌幅约18.25%；股价处于冲高回落后的中期调整阶段</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128.16元；页面信号为买入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现价129.99元略高于MA5，短线存在一定止跌或反抽迹象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131.22元；页面信号为卖出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高于现价，构成短线上方压力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131.79元；页面信号为卖出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与MA50共同形成约131.7至132.0元的短线均线压力带</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131.92元；页面信号为卖出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高于现价，显示短期至中期趋势仍偏弱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136.72元；页面信号为卖出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中期均线明显高于现价，若后续反弹，该位置附近可能构成进一步压力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142.56元；页面信号为卖出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长期均线高于现价，中期趋势尚未转强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46.216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处于中性区间，既未进入超卖区，也未显示明显超买，更接近弱势震荡而非极端恐慌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约47左右；根据近期收盘价序列简化估算，非平台正式披露值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仅作计算参考，不能与完整历史数据及特定平滑算法计算的正式指标等同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-0.83；页面信号为卖出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短线动能仍偏空，但并非极端负值；若价格重新站回MA10和MA20，存在修复可能</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2.6107；页面评价为低波动</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页面显示近期波动水平相对较低，但单日仍存在较明显价格波动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技术指标综合评价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买入信号0个，中性信号3个，卖出信号8个；综合评价偏弱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多项技术指标仍偏空，尚未形成明确趋势反转信号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移动平均线综合评价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买入信号2个，卖出信号10个；综合评价偏弱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均线系统整体对股价形成压制</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中轨约138.02元，上轨约157.4元，下轨约118.6元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基于2026年8月12日至9月11日20个交易日收盘价、20日简单移动平均及2倍标准差自行估算；现价位于中轨下方且尚未触及估算下轨，不能仅凭接近下轨推断必然反弹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近10个交易日成交量</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约1040万至2180万股；更早部分交易日曾达到2700万至2900万股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近期成交活跃度高于普通低波动状态，但未重新达到8月中旬快速下跌阶段的极端放量水平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2026年9月11日超大单净流入-1.527亿元，大单净流入-0.827亿元，中单-0.003亿元，小单+2.386亿元；超大单与大单合计净流出约2.35亿元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呈现大资金流出、散户承接特征；该数据来自第三方资金分类模型，不等同于交易所直接披露的机构成交数据，应作为辅助指标</w:t>
            </w:r>
          </w:p>
        </w:tc>
      </w:tr>
    </w:tbl>
    <w:p>
      <w:pPr>
        <w:spacing w:before="200"/>
      </w:pPr>
    </w:p>
    <w:p>
      <w:pPr>
        <w:spacing w:after="160" w:line="300"/>
      </w:pPr>
      <w:r>
        <w:rPr>
          <w:sz w:val="22"/>
          <w:szCs w:val="22"/>
        </w:rPr>
        <w:t xml:space="preserve">截至2026年9月11日，雅克科技收盘129.99元，较8月17日阶段高点约159.01元回落约18.25%，处于冲高回落后的中期调整阶段。股价略高于MA5，但低于MA10、MA20、MA50、MA100及MA200，131.7至132.0元附近均线压力较集中；RSI(14)约46.2处于中性区间，MACD为负，技术面整体偏弱但尚未进入极端超卖状态。9月11日主力资金按超大单和大单口径合计净流出约2.35亿元，而小单净流入约2.39亿元，短线资金结构偏谨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131.7~133.5元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对应MA10约131.22元、MA20约131.79元、MA50约131.92元及9月10日收盘价133.48元。若有效放量站上133.5元，短线可观察136.0~137.0元附近，即MA100约136.72元一带。</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125.0~127.0元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对应2026年9月11日最低价125.30元、9月4日低点附近及近期盘中成交密集区域。若跌破125元且成交额继续放大，可观察122~124元一带的下一支撑。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118.5~121.5元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接近自行估算的布林带下轨约118.6元，是中期调整下方的技术缓冲区域。若有效跌破，需警惕向52周低点方向进一步寻找支撑，但不意味着一定触及52周低点。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至六成；不是统计概率）：观察区间为125~133.5元。触发条件是股价守住125元附近，成交额回落至约15亿~23亿元的近期常态区间，且未能有效突破131.7~133.5元压力带。RSI(14)中性、MA5略高于现价但MA10至MA50形成压制，叠加9月11日主力净流出，短线可能表现为弱势横盘或区间反复。</w:t>
      </w:r>
    </w:p>
    <w:p>
      <w:pPr>
        <w:pStyle w:val="ListParagraph"/>
        <w:numPr>
          <w:ilvl w:val="0"/>
          <w:numId w:val="2"/>
        </w:numPr>
        <w:spacing w:after="80" w:line="280"/>
      </w:pPr>
      <w:r>
        <w:rPr>
          <w:sz w:val="22"/>
          <w:szCs w:val="22"/>
        </w:rPr>
        <w:t xml:space="preserve">偏弱下行（主观启发式权重中等，约三成；不是统计概率）：观察区间为118.5~125元。触发条件是股价放量跌破125元，单日成交额持续超过25亿元，同时超大单和大单继续净流出。若跌破125元后未能快速收回，布林带下轨估算值约118.6元可作为下一观察位置。</w:t>
      </w:r>
    </w:p>
    <w:p>
      <w:pPr>
        <w:pStyle w:val="ListParagraph"/>
        <w:numPr>
          <w:ilvl w:val="0"/>
          <w:numId w:val="2"/>
        </w:numPr>
        <w:spacing w:after="80" w:line="280"/>
      </w:pPr>
      <w:r>
        <w:rPr>
          <w:sz w:val="22"/>
          <w:szCs w:val="22"/>
        </w:rPr>
        <w:t xml:space="preserve">反弹走强（主观启发式权重偏低至中等，约两成；不是统计概率）：观察区间为133.5~137元，强势情况下观察142元附近。触发条件是股价重新站上131.7~133.5元均线压力区，单日成交额稳定放大至25亿元以上，且主力资金由净流出转为连续净流入；若进一步突破MA100约136.72元，反弹强度观察意义有所增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5.58%，成交额约22.87亿元；近10个交易日成交额大致约15亿~29亿元，成交量约1040万~2180万股，整体属于成交活跃、流动性较好的中大市值股票，通常不存在小盘股式极端薄盘口问题，但下跌过程中成交额仍超过20亿元，短线筹码交换和滑点风险仍需关注。股东数据方面，截至2026年8月10日股东户数为156,978户；截至2026年6月30日半年报前十大股东合计持股约49.20%，其中沈琦、沈馥、沈锡强三名自然人合计约44.10%，集中度主要由控股股东及家族成员贡献。前十大股东中同时包含半导体材料设备ETF、香港中央结算、中国人寿保险资金及国家集成电路产业投资基金等机构或法人投资者；根据截至2026年8月25日的半年报整理，共有108个机构投资者披露持有，合计约3510.90万股、占总股本约7.38%，前十大机构投资者合计约6.29%。上述股东户数及半年报前十大股东数据具有滞后性，2026年8月10日之后的最新股东户数和9月11日实时筹码结构本次未能核实，不能直接视为当前实时状态。实际含义是长期股权结构较集中，但二级市场流通筹码仍受到普通股东和机构交易影响，不能据此推断短线筹码高度锁定。</w:t>
      </w:r>
    </w:p>
    <w:p>
      <w:pPr>
        <w:spacing w:after="160" w:line="300"/>
      </w:pPr>
      <w:r>
        <w:rPr>
          <w:sz w:val="22"/>
          <w:szCs w:val="22"/>
        </w:rPr>
        <w:t xml:space="preserve">可检查的量能确认信号是：若后续单日成交额连续达到25亿元以上，且股价同时重新站上131.7~133.5元，可作为短线资金回流的观察信号；若成交额放大但股价继续跌破125元，则更可能反映抛压释放，而非有效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观察125~127元支撑区能否有效守住；若跌破125元，关注成交额是否同步放大以及122~124元一带的支撑表现。以上为观察思路，非操作指令。</w:t>
      </w:r>
    </w:p>
    <w:p>
      <w:pPr>
        <w:pStyle w:val="ListParagraph"/>
        <w:numPr>
          <w:ilvl w:val="0"/>
          <w:numId w:val="2"/>
        </w:numPr>
        <w:spacing w:after="80" w:line="280"/>
      </w:pPr>
      <w:r>
        <w:rPr>
          <w:sz w:val="22"/>
          <w:szCs w:val="22"/>
        </w:rPr>
        <w:t xml:space="preserve">观察131.7~133.5元均线及前一交易日收盘压力能否被放量突破；突破后再关注136.0~137.0元附近。以上为观察思路，非操作指令。</w:t>
      </w:r>
    </w:p>
    <w:p>
      <w:pPr>
        <w:pStyle w:val="ListParagraph"/>
        <w:numPr>
          <w:ilvl w:val="0"/>
          <w:numId w:val="2"/>
        </w:numPr>
        <w:spacing w:after="80" w:line="280"/>
      </w:pPr>
      <w:r>
        <w:rPr>
          <w:sz w:val="22"/>
          <w:szCs w:val="22"/>
        </w:rPr>
        <w:t xml:space="preserve">观察主力资金是否由2026年9月11日的净流出转为连续净流入。以上为观察思路，非操作指令。</w:t>
      </w:r>
    </w:p>
    <w:p>
      <w:pPr>
        <w:pStyle w:val="ListParagraph"/>
        <w:numPr>
          <w:ilvl w:val="0"/>
          <w:numId w:val="2"/>
        </w:numPr>
        <w:spacing w:after="80" w:line="280"/>
      </w:pPr>
      <w:r>
        <w:rPr>
          <w:sz w:val="22"/>
          <w:szCs w:val="22"/>
        </w:rPr>
        <w:t xml:space="preserve">观察成交额是否连续放大至25亿元以上，并与价格重新站上压力区同步。以上为观察思路，非操作指令。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横跨半导体电子材料和LNG保温绝热板材两个主要细分行业。半导体电子材料位于晶圆制造、显示面板和先进封装产业链上游，技术、认证和稳定供货壁垒较高，国内市场机会主要来自供应链本土化、进口替代和晶圆厂扩产。LNG保温绝热板材是液化天然气船舶和储运设备的重要配套材料，供应商导入及认证周期较长，收入受大型船舶建造、天然气储运基础设施投资和项目交付节奏影响。</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半导体电子材料不是单一产品市场，前驱体、光刻胶、电子特气、湿电子化学品、封装填充料和LDS设备的竞争者并不完全相同。行业竞争正从“能否生产”转向“能否稳定批量供货、进入先进制程、降低缺陷率并提升良率”。</w:t>
      </w:r>
    </w:p>
    <w:p>
      <w:pPr>
        <w:pStyle w:val="ListParagraph"/>
        <w:numPr>
          <w:ilvl w:val="0"/>
          <w:numId w:val="2"/>
        </w:numPr>
        <w:spacing w:after="80" w:line="280"/>
      </w:pPr>
      <w:r>
        <w:rPr>
          <w:sz w:val="22"/>
          <w:szCs w:val="22"/>
        </w:rPr>
        <w:t xml:space="preserve">全球高端电子材料市场长期由国际材料和气体企业占据，国内企业主要受益于半导体供应链本土化、进口替代和国内晶圆厂扩产。</w:t>
      </w:r>
    </w:p>
    <w:p>
      <w:pPr>
        <w:pStyle w:val="ListParagraph"/>
        <w:numPr>
          <w:ilvl w:val="0"/>
          <w:numId w:val="2"/>
        </w:numPr>
        <w:spacing w:after="80" w:line="280"/>
      </w:pPr>
      <w:r>
        <w:rPr>
          <w:sz w:val="22"/>
          <w:szCs w:val="22"/>
        </w:rPr>
        <w:t xml:space="preserve">雅克科技产品线较宽，同时覆盖前驱体、光刻胶、电子特气、湿电子化学品、球形硅微粉和输送系统，但不同业务技术成熟度和盈利能力差异较大，部分产能利用率仍偏低。</w:t>
      </w:r>
    </w:p>
    <w:p>
      <w:pPr>
        <w:pStyle w:val="ListParagraph"/>
        <w:numPr>
          <w:ilvl w:val="0"/>
          <w:numId w:val="2"/>
        </w:numPr>
        <w:spacing w:after="80" w:line="280"/>
      </w:pPr>
      <w:r>
        <w:rPr>
          <w:sz w:val="22"/>
          <w:szCs w:val="22"/>
        </w:rPr>
        <w:t xml:space="preserve">LNG保温绝热板材行业具有认证周期长、供应商导入壁垒高、需要与船厂船东及储罐厂商长期协同等特点；产品交付与大型船舶建造周期相关，收入存在项目波动。</w:t>
      </w:r>
    </w:p>
    <w:p>
      <w:pPr>
        <w:pStyle w:val="ListParagraph"/>
        <w:numPr>
          <w:ilvl w:val="0"/>
          <w:numId w:val="2"/>
        </w:numPr>
        <w:spacing w:after="80" w:line="280"/>
      </w:pPr>
      <w:r>
        <w:rPr>
          <w:sz w:val="22"/>
          <w:szCs w:val="22"/>
        </w:rPr>
        <w:t xml:space="preserve">雅克科技年报称其为国内首家LNG保温绝热板材供应商，拥有自有技术、生产工艺和智能化产线，并获得GTT相关认证、持续向国内大型船厂供货；但未找到完整独立的第三方市场份额数据交叉验证，不宜将该表述等同于明确的国内市场份额第一。</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南大光电（300346）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半导体前驱体、MO源和电子特气</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与雅克科技在前驱体和电子特气领域存在重叠；雅克科技差异化体现在前驱体产品国际客户基础、产品类型和电子材料平台化程度。</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华特气体（688268）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电子特种气体、普通工业气体、气体设备及工程服务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在高纯四氟化碳等电子气体产品上与雅克科技存在交集；华特气体更聚焦特种气体品类、气体供应服务和客户覆盖，雅克科技业务范围更宽。</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上海新阳（300236）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光刻胶、湿电子化学品、清洗液、蚀刻液及先进封装材料</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与雅克科技在光刻胶和湿电子化学品方面可比；上海新阳更偏向晶圆制造工艺材料和先进光刻胶研发，雅克科技光刻胶业务同时覆盖显示面板相关产品。</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江化微（603078）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超净高纯湿电子化学品及光刻胶配套湿电子化学品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产品包括显影液、蚀刻液、清洗剂、稀释剂等，与雅克科技电子湿化学品业务直接重叠；江化微业务集中度更高，雅克科技业务更加多元。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联瑞新材（688300）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球形硅微粉、先进电子填充材料和功能粉体</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与雅克科技在球形硅微粉、半导体封装填充料和电子粉体材料方面可比；雅克科技相关业务仍处于扩产和客户验证阶段，不能简单视为相对专业粉体企业已形成全面优势。</w:t>
            </w:r>
          </w:p>
        </w:tc>
      </w:tr>
    </w:tbl>
    <w:p>
      <w:pPr>
        <w:spacing w:before="200"/>
      </w:pPr>
    </w:p>
    <w:p>
      <w:pPr>
        <w:spacing w:after="160" w:line="300"/>
      </w:pPr>
      <w:r>
        <w:rPr>
          <w:sz w:val="22"/>
          <w:szCs w:val="22"/>
        </w:rPr>
        <w:t xml:space="preserve">雅克科技并不存在一个覆盖全部业务的完全可比公司，竞争格局应按产品线观察。公司相较于单一细分材料企业的特点是产品平台较宽，覆盖前驱体、光刻胶、电子特气、湿电子化学品、球形硅微粉、LDS及LNG保温绝热板材；相应地，不同业务的客户认证阶段、产能利用率和利润率差异较大。其产业链地位的核心支撑是前驱体等高附加值材料的技术与认证能力，以及LNG板材的认证和项目协同能力；主要约束则是部分产品仍面临价格压力、客户集中度较高、营运资金占用较大，且部分新增产能尚需客户批量导入。</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半导体材料业务存在客户集中和导入不确定性：2025年前五大客户销售额占比44.00%，第一大客户占比12.35%；客户以匿名方式披露，且前驱体、光刻胶、电子特气等产品均依赖较长认证周期，若客户导入、持续供货或采购节奏不及预期，可能影响收入和产能利用率。</w:t>
      </w:r>
    </w:p>
    <w:p>
      <w:pPr>
        <w:pStyle w:val="ListParagraph"/>
        <w:numPr>
          <w:ilvl w:val="0"/>
          <w:numId w:val="2"/>
        </w:numPr>
        <w:spacing w:after="80" w:line="280"/>
      </w:pPr>
      <w:r>
        <w:rPr>
          <w:sz w:val="22"/>
          <w:szCs w:val="22"/>
        </w:rPr>
        <w:t xml:space="preserve">存储行业景气及扩产计划存在兑现风险：公司判断2026—2027年存储市场供需偏紧，并计划在中国和韩国扩产、于2027年年底前形成新增产能，但相关内容并非经审计的财务预测或业绩承诺；若存储需求、DRAM晶圆厂扩产、客户认证或基地建设进度低于预期，新增产能可能无法及时转化为收入和利润。</w:t>
      </w:r>
    </w:p>
    <w:p>
      <w:pPr>
        <w:pStyle w:val="ListParagraph"/>
        <w:numPr>
          <w:ilvl w:val="0"/>
          <w:numId w:val="2"/>
        </w:numPr>
        <w:spacing w:after="80" w:line="280"/>
      </w:pPr>
      <w:r>
        <w:rPr>
          <w:sz w:val="22"/>
          <w:szCs w:val="22"/>
        </w:rPr>
        <w:t xml:space="preserve">产品价格和毛利率承压风险已在部分业务体现：2025年光刻胶及配套试剂毛利率为16.72%，同比明显下降；化学材料整体毛利率为29.77%，同比下降5.55个百分点。若光刻胶、湿电子化学品或其他产品继续面临价格竞争、原材料成本上涨或产品结构不利变化，公司整体盈利能力可能进一步承压。</w:t>
      </w:r>
    </w:p>
    <w:p>
      <w:pPr>
        <w:pStyle w:val="ListParagraph"/>
        <w:numPr>
          <w:ilvl w:val="0"/>
          <w:numId w:val="2"/>
        </w:numPr>
        <w:spacing w:after="80" w:line="280"/>
      </w:pPr>
      <w:r>
        <w:rPr>
          <w:sz w:val="22"/>
          <w:szCs w:val="22"/>
        </w:rPr>
        <w:t xml:space="preserve">营运资金占用和现金流波动风险较为突出：截至2025年末，应收账款14.43亿元，同比增长约27.15%，略高于收入增幅；存货22.32亿元，且2025年LNG保温复合材料相关预付款约2.89亿元。2026年上半年经营活动现金流净额同比下降12.13%，若项目交付、客户回款或材料供应周期发生变化，可能加大资金占用压力。</w:t>
      </w:r>
    </w:p>
    <w:p>
      <w:pPr>
        <w:pStyle w:val="ListParagraph"/>
        <w:numPr>
          <w:ilvl w:val="0"/>
          <w:numId w:val="2"/>
        </w:numPr>
        <w:spacing w:after="80" w:line="280"/>
      </w:pPr>
      <w:r>
        <w:rPr>
          <w:sz w:val="22"/>
          <w:szCs w:val="22"/>
        </w:rPr>
        <w:t xml:space="preserve">LNG保温绝热材料业务具有项目制和交付周期波动风险：该业务收入与大型LNG运输船、储罐、接收站等项目的建造及交付节奏相关，虽然公司已取得相关GTT认证并拓展陆上场景，但行业市场份额缺乏独立第三方数据交叉验证，项目进度或订单节奏变化可能导致收入波动。</w:t>
      </w:r>
    </w:p>
    <w:p>
      <w:pPr>
        <w:pStyle w:val="ListParagraph"/>
        <w:numPr>
          <w:ilvl w:val="0"/>
          <w:numId w:val="2"/>
        </w:numPr>
        <w:spacing w:after="80" w:line="280"/>
      </w:pPr>
      <w:r>
        <w:rPr>
          <w:sz w:val="22"/>
          <w:szCs w:val="22"/>
        </w:rPr>
        <w:t xml:space="preserve">估值回撤风险较高：截至2026年9月11日前后，公司TTM市盈率约59.6倍、PB约7.73倍，机构预测对应的2026年预测市盈率仍约45.5至49.4倍。若实际利润增速低于市场预期、毛利率继续下降或产能释放不及预期，较高估值可能面临较大调整压力。</w:t>
      </w:r>
    </w:p>
    <w:p>
      <w:pPr>
        <w:pStyle w:val="ListParagraph"/>
        <w:numPr>
          <w:ilvl w:val="0"/>
          <w:numId w:val="2"/>
        </w:numPr>
        <w:spacing w:after="80" w:line="280"/>
      </w:pPr>
      <w:r>
        <w:rPr>
          <w:sz w:val="22"/>
          <w:szCs w:val="22"/>
        </w:rPr>
        <w:t xml:space="preserve">技术面和资金面仍偏弱：股价较2026年8月17日阶段高点回落约18.25%，低于多条中长期均线，MACD为负，9月11日超大单和大单合计净流出约2.35亿元。若股价跌破125元附近支撑且成交额继续放大，短期波动和下行压力可能进一步增加；第三方资金流向数据仅为辅助指标，不能直接等同于机构交易数据。</w:t>
      </w:r>
    </w:p>
    <w:p>
      <w:pPr>
        <w:pStyle w:val="ListParagraph"/>
        <w:numPr>
          <w:ilvl w:val="0"/>
          <w:numId w:val="2"/>
        </w:numPr>
        <w:spacing w:after="80" w:line="280"/>
      </w:pPr>
      <w:r>
        <w:rPr>
          <w:sz w:val="22"/>
          <w:szCs w:val="22"/>
        </w:rPr>
        <w:t xml:space="preserve">参股公司投资及财务资助存在资金使用和项目落地风险：沈阳亦创拟增资9000万元，雅克锡创拟按持股比例认购3000万元，并涉及约1292.50万元财务资助安排。若工商变更、资金到位、项目盈利或借款偿还不及预期，可能形成对参股公司的资金占用及投资回报风险；同时，华飞电子引入投资人增资不超过8.50亿元并导致公司持股比例被摊薄，也存在控制权和投资收益变化风险。</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雅克科技具备“半导体电子材料平台+LNG保温绝热材料”的多元业务结构，前驱体、电子特气及部分高端材料的技术、认证和客户黏性，为中长期增长提供支撑。若存储行业景气延续、国内及韩国基地扩产顺利、前驱体新产能完成客户导入并接近满产，电子材料收入和利润率仍有改善空间；LNG板材向陆上储罐、接收站等场景拓展，也可能增强业务补充作用。</w:t>
      </w:r>
    </w:p>
    <w:p>
      <w:pPr>
        <w:spacing w:after="160" w:line="300"/>
      </w:pPr>
      <w:r>
        <w:rPr>
          <w:sz w:val="22"/>
          <w:szCs w:val="22"/>
        </w:rPr>
        <w:t xml:space="preserve">短期看，公司2026年上半年收入和归母利润保持增长，但扣非利润增速较低，光刻胶毛利率下降、化学材料毛利率承压，经营现金流回落，说明增长向利润和现金流的转化仍需验证。机构对2026—2028年收入和利润总体保持增长的预期较高，但实际兑现仍取决于下游半导体资本开支、客户认证、产能利用率及产品价格变化。</w:t>
      </w:r>
    </w:p>
    <w:p>
      <w:pPr>
        <w:spacing w:after="160" w:line="300"/>
      </w:pPr>
      <w:r>
        <w:rPr>
          <w:sz w:val="22"/>
          <w:szCs w:val="22"/>
        </w:rPr>
        <w:t xml:space="preserve">公司当前估值和技术面均体现较高预期与较大波动性，后续需要重点观察电子材料毛利率能否企稳、前驱体产能能否按计划释放、应收账款和存货能否得到有效管理，以及股价能否修复均线压力。基本面增长、现金流改善和估值消化之间的匹配程度，将决定公司后续业绩表现与市场表现的稳定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公司公告_雅克科技：2025年年度报告摘要新浪财经_新浪网 — https://vip.stock.finance.sina.com.cn/corp/view/vCB_AllBulletinDetail.php?id=12232829&amp;utm_source=openai</w:t>
      </w:r>
    </w:p>
    <w:p>
      <w:pPr>
        <w:spacing w:after="200"/>
      </w:pPr>
      <w:r>
        <w:rPr>
          <w:i/>
          <w:iCs/>
          <w:color w:val="595959"/>
          <w:sz w:val="18"/>
          <w:szCs w:val="18"/>
        </w:rPr>
        <w:t xml:space="preserve">https://disc.static.szse.cn/disc/disk03/finalpage/2026-04-28/ca7939f4-757b-4c6d-a09f-41e7c3ac02c9.PDF — https://disc.static.szse.cn/disc/disk03/finalpage/2026-04-28/ca7939f4-757b-4c6d-a09f-41e7c3ac02c9.PDF</w:t>
      </w:r>
    </w:p>
    <w:p>
      <w:pPr>
        <w:spacing w:after="200"/>
      </w:pPr>
      <w:r>
        <w:rPr>
          <w:i/>
          <w:iCs/>
          <w:color w:val="595959"/>
          <w:sz w:val="18"/>
          <w:szCs w:val="18"/>
        </w:rPr>
        <w:t xml:space="preserve">https://static.cninfo.com.cn/finalpage/2026-04-28/1225216877.PDF — https://static.cninfo.com.cn/finalpage/2026-04-28/1225216877.PDF</w:t>
      </w:r>
    </w:p>
    <w:p>
      <w:pPr>
        <w:spacing w:after="200"/>
      </w:pPr>
      <w:r>
        <w:rPr>
          <w:i/>
          <w:iCs/>
          <w:color w:val="595959"/>
          <w:sz w:val="18"/>
          <w:szCs w:val="18"/>
        </w:rPr>
        <w:t xml:space="preserve">2022年雅克科技(002409)总资产、总负债、营业收入、营业成本及净利润统计_华经情报网_华经产业研究院 — https://www.huaon.com/channel/comdata/930397.html?utm_source=openai</w:t>
      </w:r>
    </w:p>
    <w:p>
      <w:pPr>
        <w:spacing w:after="200"/>
      </w:pPr>
      <w:r>
        <w:rPr>
          <w:i/>
          <w:iCs/>
          <w:color w:val="595959"/>
          <w:sz w:val="18"/>
          <w:szCs w:val="18"/>
        </w:rPr>
        <w:t xml:space="preserve">江苏雅克科技股份有限公司2023年年度报告全文 — https://stockn.xueqiu.com/SZ002409/20240425558627.pdf?utm_source=openai</w:t>
      </w:r>
    </w:p>
    <w:p>
      <w:pPr>
        <w:spacing w:after="200"/>
      </w:pPr>
      <w:r>
        <w:rPr>
          <w:i/>
          <w:iCs/>
          <w:color w:val="595959"/>
          <w:sz w:val="18"/>
          <w:szCs w:val="18"/>
        </w:rPr>
        <w:t xml:space="preserve">雅克科技2024年年报解读：营收净利双增，研发与市场拓展并进|现金_新浪财经_新浪网 — https://finance.sina.com.cn/stock/aigc/stockfs/2025-04-28/doc-ineustaw9149413.shtml?utm_source=openai</w:t>
      </w:r>
    </w:p>
    <w:p>
      <w:pPr>
        <w:spacing w:after="200"/>
      </w:pPr>
      <w:r>
        <w:rPr>
          <w:i/>
          <w:iCs/>
          <w:color w:val="595959"/>
          <w:sz w:val="18"/>
          <w:szCs w:val="18"/>
        </w:rPr>
        <w:t xml:space="preserve">南大光电(300346)_公司公告_南大光电：2024年年度报告新浪财经_新浪网 — https://money.finance.sina.com.cn/corp/view/vCB_AllBulletinDetail.php?id=10845383&amp;stockid=300346&amp;utm_source=openai</w:t>
      </w:r>
    </w:p>
    <w:p>
      <w:pPr>
        <w:spacing w:after="200"/>
      </w:pPr>
      <w:r>
        <w:rPr>
          <w:i/>
          <w:iCs/>
          <w:color w:val="595959"/>
          <w:sz w:val="18"/>
          <w:szCs w:val="18"/>
        </w:rPr>
        <w:t xml:space="preserve">广东华特气体股份有限公司官方网站|工业气体|特种气体|电子气体|医疗气体|高纯气体|华特气体|华特股份 — https://www.huategas.com/BusinessProfile/index.aspx?utm_source=openai</w:t>
      </w:r>
    </w:p>
    <w:p>
      <w:pPr>
        <w:spacing w:after="200"/>
      </w:pPr>
      <w:r>
        <w:rPr>
          <w:i/>
          <w:iCs/>
          <w:color w:val="595959"/>
          <w:sz w:val="18"/>
          <w:szCs w:val="18"/>
        </w:rPr>
        <w:t xml:space="preserve">上海新阳半导体材料股份有限公司 2024 年年度报告摘要 — https://disc.static.szse.cn/disc/disk03/finalpage/2025-04-17/7e44a5d0-46b3-4222-8a46-03bd6b2afaa5.PDF?utm_source=openai</w:t>
      </w:r>
    </w:p>
    <w:p>
      <w:pPr>
        <w:spacing w:after="200"/>
      </w:pPr>
      <w:r>
        <w:rPr>
          <w:i/>
          <w:iCs/>
          <w:color w:val="595959"/>
          <w:sz w:val="18"/>
          <w:szCs w:val="18"/>
        </w:rPr>
        <w:t xml:space="preserve">江阴江化微电子材料股份有限公司 — https://www.jianghuamem.com/cn/about.html?utm_source=openai</w:t>
      </w:r>
    </w:p>
    <w:p>
      <w:pPr>
        <w:spacing w:after="200"/>
      </w:pPr>
      <w:r>
        <w:rPr>
          <w:i/>
          <w:iCs/>
          <w:color w:val="595959"/>
          <w:sz w:val="18"/>
          <w:szCs w:val="18"/>
        </w:rPr>
        <w:t xml:space="preserve">雅克科技(002409)_公司公告_雅克科技：2026年半年度报告新浪财经_新浪网 — https://money.finance.sina.com.cn/corp/view/vCB_AllBulletinDetail.php?id=12536266&amp;stockid=002409</w:t>
      </w:r>
    </w:p>
    <w:p>
      <w:pPr>
        <w:spacing w:after="200"/>
      </w:pPr>
      <w:r>
        <w:rPr>
          <w:i/>
          <w:iCs/>
          <w:color w:val="595959"/>
          <w:sz w:val="18"/>
          <w:szCs w:val="18"/>
        </w:rPr>
        <w:t xml:space="preserve">雅克科技(002409) 盈利预测_F10_同花顺金融服务网 — https://basic.10jqka.com.cn/002409/worth.html</w:t>
      </w:r>
    </w:p>
    <w:p>
      <w:pPr>
        <w:spacing w:after="200"/>
      </w:pPr>
      <w:r>
        <w:rPr>
          <w:i/>
          <w:iCs/>
          <w:color w:val="595959"/>
          <w:sz w:val="18"/>
          <w:szCs w:val="18"/>
        </w:rPr>
        <w:t xml:space="preserve">雅克科技
电子｜证券研究报告—调整盈利预测  
2026年5月8日
002409.SZ  
买入 — https://pdf.dfcfw.com/pdf/H3_AP202605081822068007_1.pdf?1778253042000.pdf=&amp;utm_source=openai</w:t>
      </w:r>
    </w:p>
    <w:p>
      <w:pPr>
        <w:spacing w:after="200"/>
      </w:pPr>
      <w:r>
        <w:rPr>
          <w:i/>
          <w:iCs/>
          <w:color w:val="595959"/>
          <w:sz w:val="18"/>
          <w:szCs w:val="18"/>
        </w:rPr>
        <w:t xml:space="preserve">雅克科技(002409) 盈利预测_F10_同花顺金融服务网 — https://basic.10jqka.com.cn/48/002409/worth.html?utm_source=openai</w:t>
      </w:r>
    </w:p>
    <w:p>
      <w:pPr>
        <w:spacing w:after="200"/>
      </w:pPr>
      <w:r>
        <w:rPr>
          <w:i/>
          <w:iCs/>
          <w:color w:val="595959"/>
          <w:sz w:val="18"/>
          <w:szCs w:val="18"/>
        </w:rPr>
        <w:t xml:space="preserve">雅克科技(002409.SZ)盈利预测-PC_HSF10资料 — https://emweb.eastmoney.com/PC_HSF10/ProfitForecast/index?code=SZ002409&amp;color=b&amp;type=soft&amp;utm_source=openai</w:t>
      </w:r>
    </w:p>
    <w:p>
      <w:pPr>
        <w:spacing w:after="200"/>
      </w:pPr>
      <w:r>
        <w:rPr>
          <w:i/>
          <w:iCs/>
          <w:color w:val="595959"/>
          <w:sz w:val="18"/>
          <w:szCs w:val="18"/>
        </w:rPr>
        <w:t xml:space="preserve">盈利预测 — https://webf10.gw.com.cn/SZ/B16/SZ002409_B16.html</w:t>
      </w:r>
    </w:p>
    <w:p>
      <w:pPr>
        <w:spacing w:after="200"/>
      </w:pPr>
      <w:r>
        <w:rPr>
          <w:i/>
          <w:iCs/>
          <w:color w:val="595959"/>
          <w:sz w:val="18"/>
          <w:szCs w:val="18"/>
        </w:rPr>
        <w:t xml:space="preserve">雅克科技(002409)-机构评级详细 — https://basic.10jqka.com.cn/mobile/002409/ratingn.html?utm_source=openai</w:t>
      </w:r>
    </w:p>
    <w:p>
      <w:pPr>
        <w:spacing w:after="200"/>
      </w:pPr>
      <w:r>
        <w:rPr>
          <w:i/>
          <w:iCs/>
          <w:color w:val="595959"/>
          <w:sz w:val="18"/>
          <w:szCs w:val="18"/>
        </w:rPr>
        <w:t xml:space="preserve">雅克科技 (002409)股票预测和分析师评级 - 富途牛牛 — https://www.futunn.com/stock/002409-SZ/forecast?utm_source=openai</w:t>
      </w:r>
    </w:p>
    <w:p>
      <w:pPr>
        <w:spacing w:after="200"/>
      </w:pPr>
      <w:r>
        <w:rPr>
          <w:i/>
          <w:iCs/>
          <w:color w:val="595959"/>
          <w:sz w:val="18"/>
          <w:szCs w:val="18"/>
        </w:rPr>
        <w:t xml:space="preserve">Jiangsu Yoke Technology Co Ltd (002409)歷史價格 - Investing.com — https://hk.investing.com/equities/yoke-technology-a-historical-data?utm_source=openai</w:t>
      </w:r>
    </w:p>
    <w:p>
      <w:pPr>
        <w:spacing w:after="200"/>
      </w:pPr>
      <w:r>
        <w:rPr>
          <w:i/>
          <w:iCs/>
          <w:color w:val="595959"/>
          <w:sz w:val="18"/>
          <w:szCs w:val="18"/>
        </w:rPr>
        <w:t xml:space="preserve">雅克科技(002409)公司公告_新浪财经_新浪网 — https://money.finance.sina.com.cn/corp/go.php/vCB_AllBulletin/stockid/002409.phtml?utm_source=openai</w:t>
      </w:r>
    </w:p>
    <w:p>
      <w:pPr>
        <w:spacing w:after="200"/>
      </w:pPr>
      <w:r>
        <w:rPr>
          <w:i/>
          <w:iCs/>
          <w:color w:val="595959"/>
          <w:sz w:val="18"/>
          <w:szCs w:val="18"/>
        </w:rPr>
        <w:t xml:space="preserve">雅克科技(002409)_公司公告_雅克科技：2026年第二次临时股东会决议公告新浪财经_新浪网 — https://money.finance.sina.com.cn/corp/view/vCB_AllBulletinDetail.php?id=12595297&amp;stockid=002409&amp;utm_source=openai</w:t>
      </w:r>
    </w:p>
    <w:p>
      <w:pPr>
        <w:spacing w:after="200"/>
      </w:pPr>
      <w:r>
        <w:rPr>
          <w:i/>
          <w:iCs/>
          <w:color w:val="595959"/>
          <w:sz w:val="18"/>
          <w:szCs w:val="18"/>
        </w:rPr>
        <w:t xml:space="preserve">雅克科技(002409)_公司公告_雅克科技：关于2026年中期分红方案的公告新浪财经_新浪网 — https://money.finance.sina.com.cn/corp/view/vCB_AllBulletinDetail.php?id=12536264&amp;stockid=002409&amp;utm_source=openai</w:t>
      </w:r>
    </w:p>
    <w:p>
      <w:pPr>
        <w:spacing w:after="200"/>
      </w:pPr>
      <w:r>
        <w:rPr>
          <w:i/>
          <w:iCs/>
          <w:color w:val="595959"/>
          <w:sz w:val="18"/>
          <w:szCs w:val="18"/>
        </w:rPr>
        <w:t xml:space="preserve">雅克科技(002409)_公司公告_雅克科技：2026年9月8日投资者关系活动记录表新浪财经_新浪网 — https://money.finance.sina.com.cn/corp/view/vCB_AllBulletinDetail.php?id=12591337&amp;stockid=002409&amp;utm_source=openai</w:t>
      </w:r>
    </w:p>
    <w:p>
      <w:pPr>
        <w:spacing w:after="200"/>
      </w:pPr>
      <w:r>
        <w:rPr>
          <w:i/>
          <w:iCs/>
          <w:color w:val="595959"/>
          <w:sz w:val="18"/>
          <w:szCs w:val="18"/>
        </w:rPr>
        <w:t xml:space="preserve">雅克科技_ 个股日历 _ 东方财富网_ 数据频道 — https://data.eastmoney.com/stockcalendar/002409.html?utm_source=openai</w:t>
      </w:r>
    </w:p>
    <w:p>
      <w:pPr>
        <w:spacing w:after="200"/>
      </w:pPr>
      <w:r>
        <w:rPr>
          <w:i/>
          <w:iCs/>
          <w:color w:val="595959"/>
          <w:sz w:val="18"/>
          <w:szCs w:val="18"/>
        </w:rPr>
        <w:t xml:space="preserve">雅克科技：公司未触及需要披露业绩预告的情形_股票频道_证券之星 — https://stock.stockstar.com/RB2026082100007290.shtml?utm_source=openai</w:t>
      </w:r>
    </w:p>
    <w:p>
      <w:pPr>
        <w:spacing w:after="200"/>
      </w:pPr>
      <w:r>
        <w:rPr>
          <w:i/>
          <w:iCs/>
          <w:color w:val="595959"/>
          <w:sz w:val="18"/>
          <w:szCs w:val="18"/>
        </w:rPr>
        <w:t xml:space="preserve">雅克科技(002409)_公司公告_雅克科技：关于公司股票交易异常波动的公告新浪财经_新浪网 — https://money.finance.sina.com.cn/corp/view/vCB_AllBulletinDetail.php?id=12472026&amp;stockid=002409&amp;utm_source=openai</w:t>
      </w:r>
    </w:p>
    <w:p>
      <w:pPr>
        <w:spacing w:after="200"/>
      </w:pPr>
      <w:r>
        <w:rPr>
          <w:i/>
          <w:iCs/>
          <w:color w:val="595959"/>
          <w:sz w:val="18"/>
          <w:szCs w:val="18"/>
        </w:rPr>
        <w:t xml:space="preserve">雅克科技(002409)并购重组_证券之星 — https://stock.quote.stockstar.com/corp/restructure_002409.shtml?utm_source=openai</w:t>
      </w:r>
    </w:p>
    <w:p>
      <w:pPr>
        <w:spacing w:after="200"/>
      </w:pPr>
      <w:r>
        <w:rPr>
          <w:i/>
          <w:iCs/>
          <w:color w:val="595959"/>
          <w:sz w:val="18"/>
          <w:szCs w:val="18"/>
        </w:rPr>
        <w:t xml:space="preserve">证券代码:002409          证券简称:雅克科技          编号:2010-00 — https://static.cninfo.com.cn/finalpage/2026-03-31/1225051826.PDF?utm_source=openai</w:t>
      </w:r>
    </w:p>
    <w:p>
      <w:pPr>
        <w:spacing w:after="200"/>
      </w:pPr>
      <w:r>
        <w:rPr>
          <w:i/>
          <w:iCs/>
          <w:color w:val="595959"/>
          <w:sz w:val="18"/>
          <w:szCs w:val="18"/>
        </w:rPr>
        <w:t xml:space="preserve">雅克科技(002409)_公司公告_雅克科技：关于全资子公司引入投资人暨放弃优先认购权实施增资扩股的公告新浪财经_新浪网 — https://money.finance.sina.com.cn/corp/view/vCB_AllBulletinDetail.php?id=12037354&amp;stockid=002409&amp;utm_source=openai</w:t>
      </w:r>
    </w:p>
    <w:p>
      <w:pPr>
        <w:spacing w:after="200"/>
      </w:pPr>
      <w:r>
        <w:rPr>
          <w:i/>
          <w:iCs/>
          <w:color w:val="595959"/>
          <w:sz w:val="18"/>
          <w:szCs w:val="18"/>
        </w:rPr>
        <w:t xml:space="preserve">雅克科技(002409)公告(全部) - 理杏仁 — https://www.lixinger.com/equity/company/detail/sz/002409/2409/announcement?type=all&amp;utm_source=openai</w:t>
      </w:r>
    </w:p>
    <w:p>
      <w:pPr>
        <w:spacing w:after="200"/>
      </w:pPr>
      <w:r>
        <w:rPr>
          <w:i/>
          <w:iCs/>
          <w:color w:val="595959"/>
          <w:sz w:val="18"/>
          <w:szCs w:val="18"/>
        </w:rPr>
        <w:t xml:space="preserve">雅克科技(002409)_公司公告_雅克科技：2026年半年度报告新浪财经_新浪网 — https://money.finance.sina.com.cn/corp/view/vCB_AllBulletinDetail.php?id=12536266&amp;stockid=002409&amp;utm_source=openai</w:t>
      </w:r>
    </w:p>
    <w:p>
      <w:pPr>
        <w:spacing w:after="200"/>
      </w:pPr>
      <w:r>
        <w:rPr>
          <w:i/>
          <w:iCs/>
          <w:color w:val="595959"/>
          <w:sz w:val="18"/>
          <w:szCs w:val="18"/>
        </w:rPr>
        <w:t xml:space="preserve">证券代码：002409  证券简称：雅克科技  公告编号：2026-028 — https://static.cninfo.com.cn/finalpage/2026-06-29/1225392876.PDF?utm_source=openai</w:t>
      </w:r>
    </w:p>
    <w:p>
      <w:pPr>
        <w:spacing w:after="200"/>
      </w:pPr>
      <w:r>
        <w:rPr>
          <w:i/>
          <w:iCs/>
          <w:color w:val="595959"/>
          <w:sz w:val="18"/>
          <w:szCs w:val="18"/>
        </w:rPr>
        <w:t xml:space="preserve">雅克科技(002409)：业绩符合预期 核心业务持续受益半导体扩产周期__新浪财经_新浪网 — https://stock.finance.sina.com.cn/stock/go.php/vReport_Show/kind/search/rptid/841848180275/index.phtml?utm_source=openai</w:t>
      </w:r>
    </w:p>
    <w:p>
      <w:pPr>
        <w:spacing w:after="200"/>
      </w:pPr>
      <w:r>
        <w:rPr>
          <w:i/>
          <w:iCs/>
          <w:color w:val="595959"/>
          <w:sz w:val="18"/>
          <w:szCs w:val="18"/>
        </w:rPr>
        <w:t xml:space="preserve">本报告由AI基于公开渠道信息自动检索、整理并生成，信息截至 截至2026年9月11日收盘；行情数据主要来自中财网、选股通及Investing.com，部分字段存在平台口径和更新时间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2026-09-13T12:04:00.341Z</dcterms:created>
  <dcterms:modified xsi:type="dcterms:W3CDTF">2026-09-13T12:04:00.341Z</dcterms:modified>
</cp:coreProperties>
</file>

<file path=docProps/custom.xml><?xml version="1.0" encoding="utf-8"?>
<Properties xmlns="http://schemas.openxmlformats.org/officeDocument/2006/custom-properties" xmlns:vt="http://schemas.openxmlformats.org/officeDocument/2006/docPropsVTypes"/>
</file>