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晶澳科技 (002459)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行业：光伏制造（组件一体化）</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截至2026年9月11日收盘；技术指标采用大波浪数据的不复权日线口径。中财网与大波浪数据一致显示收盘价6.64元，英为财情显示6.65元，存在供应商口径差异。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晶澳科技当前仍处于经营亏损与股价低位阶段：2026年上半年实现营业收入174.98亿元，同比下降26.80%，归母净利润亏损26.63亿元，亏损同比扩大3.21%；2024年至2025年归母净利润分别亏损46.56亿元和46.08亿元。公司综合毛利率由上年同期的-3.53%回升至1.29%，但组件毛利率仍为-1.74%，盈利修复尚未完成。</w:t>
      </w:r>
    </w:p>
    <w:p>
      <w:pPr>
        <w:spacing w:after="160" w:line="300"/>
      </w:pPr>
      <w:r>
        <w:rPr>
          <w:sz w:val="22"/>
          <w:szCs w:val="22"/>
        </w:rPr>
        <w:t xml:space="preserve">公司核心竞争力来自光伏硅片、电池、组件垂直一体化、较高的海外销售占比及技术储备。2026年上半年电池组件出货量合计22.25GW，海外出货占比升至68.46%，海外营收同比增长4.21%；电池业务毛利率达到13.34%，TOPCon和BC电池效率分别达到26.73%和28.2%。同时，公司2025年经营活动现金流净额为42.80亿元，连续超过15年为正，显示现金回款和营运资金管理具有一定韧性。</w:t>
      </w:r>
    </w:p>
    <w:p>
      <w:pPr>
        <w:spacing w:after="160" w:line="300"/>
      </w:pPr>
      <w:r>
        <w:rPr>
          <w:sz w:val="22"/>
          <w:szCs w:val="22"/>
        </w:rPr>
        <w:t xml:space="preserve">行业供需失衡、组件价格下跌、出口退税取消及海外贸易壁垒仍是压制业绩的主要因素。2026年上半年公司计提资产减值准备6.86亿元，其中存货跌价损失4.04亿元、固定资产减值1.87亿元，表明价格下行仍在通过存货和产能盈利能力对利润产生影响。公司通过提高海外出货占比、阿曼参股共建产能、发展储能及收缩美国资产来调整业务结构，但储能收入目前占比有限，海外业务亦面临履约、关税和合规压力。</w:t>
      </w:r>
    </w:p>
    <w:p>
      <w:pPr>
        <w:spacing w:after="160" w:line="300"/>
      </w:pPr>
      <w:r>
        <w:rPr>
          <w:sz w:val="22"/>
          <w:szCs w:val="22"/>
        </w:rPr>
        <w:t xml:space="preserve">截至2026年9月11日，公司股价收于6.64元，接近52周低点6.57元，静态PB约1.14倍，亏损状态下PE不具备参考意义。技术面上，股价低于MA5、MA10和MA20，MACD位于零轴下方，且近期呈放量下跌、主力资金净流出特征；RSI6为25.9，显示短线超卖，但尚未形成明确的趋势反转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002459.SZ（晶澳太阳能科技股份有限公司）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上市/更名沿革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前身为天业通联（秦皇岛天业通联重工），2019年11月完成收购晶澳太阳能100%股权，2019年12月13日更名晶澳科技，属借壳回A</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河北省邢台市宁晋县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控股股东与实际控制人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东台市晶泰福科技有限公司持股47.45%（截至2025-09-30）；实控人靳保芳，2025年12月换届后续任董事长兼总经理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约33.1亿股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“太阳能光伏产业链垂直一体化模式”：集光伏硅片、电池、组件、储能系统、电站开发运营及光伏专用装备于一体的新能源全产业链（“一体两翼”：光伏智能制造为主体，能源服务+高端装备为双翼）</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核心终端产品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光伏组件——2025年组件收入450.31亿元、占总营收约91.7%；2025年组件销量66.53GW（同比-8.46%），电池组件出货69.563GW（含自用），海外占比51.29%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海外布局与销售网络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截至2025年末海外设16家销售公司，覆盖180余个国家和地区；2026上半年出货海外占比升至68.46%；阿曼6GW电池+3GW组件项目采用参股24.9%共建模式，一期2026Q1末投产；2026-08-12公告转让美国子公司股权、收缩美国资产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技术资产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2025年研发投入29.58亿元、占营收6.02%；截至2026年6月末累计有效专利2478项（发明专利1320项）；TOPCon电池效率26.73%（iSFH认证）、HyperGen BC电池28.2%（TÜV莱茵），2026年推出DeepBlue 5.0组件（670W/24.8%）</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光伏组件（绝对核心）：2025年收入450.31亿元、占总营收约91.7%，商业模式为拉晶→硅片→电池→组件一体化自产并对外销售组件</w:t>
      </w:r>
    </w:p>
    <w:p>
      <w:pPr>
        <w:pStyle w:val="ListParagraph"/>
        <w:numPr>
          <w:ilvl w:val="0"/>
          <w:numId w:val="2"/>
        </w:numPr>
        <w:spacing w:after="80" w:line="280"/>
      </w:pPr>
      <w:r>
        <w:rPr>
          <w:sz w:val="22"/>
          <w:szCs w:val="22"/>
        </w:rPr>
        <w:t xml:space="preserve">硅片/电池自产与外销：硅片产能约达组件产能80%以上、电池约70%以上，部分自给、部分外购外销</w:t>
      </w:r>
    </w:p>
    <w:p>
      <w:pPr>
        <w:pStyle w:val="ListParagraph"/>
        <w:numPr>
          <w:ilvl w:val="0"/>
          <w:numId w:val="2"/>
        </w:numPr>
        <w:spacing w:after="80" w:line="280"/>
      </w:pPr>
      <w:r>
        <w:rPr>
          <w:sz w:val="22"/>
          <w:szCs w:val="22"/>
        </w:rPr>
        <w:t xml:space="preserve">储能系统（新曲线）：2025年起布局，覆盖大储/工商业/户用（JAPlanet系列），2026年目标吉瓦时级签单；2026-08交付首个光储打包订单（15MW/60MWh+60MW组件），收入占比有限且中报未单独披露</w:t>
      </w:r>
    </w:p>
    <w:p>
      <w:pPr>
        <w:pStyle w:val="ListParagraph"/>
        <w:numPr>
          <w:ilvl w:val="0"/>
          <w:numId w:val="2"/>
        </w:numPr>
        <w:spacing w:after="80" w:line="280"/>
      </w:pPr>
      <w:r>
        <w:rPr>
          <w:sz w:val="22"/>
          <w:szCs w:val="22"/>
        </w:rPr>
        <w:t xml:space="preserve">光伏电站开发运营（收缩中）：截至2025年末并网装机2850MW（含户用），因出售部分电站同比下滑</w:t>
      </w:r>
    </w:p>
    <w:p>
      <w:pPr>
        <w:pStyle w:val="ListParagraph"/>
        <w:numPr>
          <w:ilvl w:val="0"/>
          <w:numId w:val="2"/>
        </w:numPr>
        <w:spacing w:after="80" w:line="280"/>
      </w:pPr>
      <w:r>
        <w:rPr>
          <w:sz w:val="22"/>
          <w:szCs w:val="22"/>
        </w:rPr>
        <w:t xml:space="preserve">光伏专用装备及其他（“一体两翼”之高端装备翼）：收入贡献较小，纪要未单独披露规模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晶澳处于光伏制造微笑曲线的中游加工段（拉晶-硅片-电池-组件组装），属低毛利、重资产环节。上游核心投入为多晶硅料及银浆、玻璃等辅材，公司对大宗原材料多为价格接受者；下游面向全球电站投资商、EPC及分布式经销商，在2024-2026年供过于求背景下组件环节整体处于价格接受者地位。其相对优势不在单一环节毛利，而在全链条垂直一体化自供+海外高毛利市场结构+连续为正的经营现金流；周期底部组件业务仍亏损。</w:t>
      </w:r>
    </w:p>
    <w:p>
      <w:pPr>
        <w:pStyle w:val="ListParagraph"/>
        <w:numPr>
          <w:ilvl w:val="0"/>
          <w:numId w:val="2"/>
        </w:numPr>
        <w:spacing w:after="80" w:line="280"/>
      </w:pPr>
      <w:r>
        <w:rPr>
          <w:sz w:val="22"/>
          <w:szCs w:val="22"/>
        </w:rPr>
        <w:t xml:space="preserve">核心采购品类为多晶硅料（最大单项）及部分外购电池片/硅片；辅料包括银浆、铝浆/焊带、光伏玻璃、铝边框、EVA/POE胶膜、背板、金刚线、石英坩埚、石墨等（历年财报采购模式口径）。</w:t>
      </w:r>
    </w:p>
    <w:p>
      <w:pPr>
        <w:pStyle w:val="ListParagraph"/>
        <w:numPr>
          <w:ilvl w:val="0"/>
          <w:numId w:val="2"/>
        </w:numPr>
        <w:spacing w:after="80" w:line="280"/>
      </w:pPr>
      <w:r>
        <w:rPr>
          <w:sz w:val="22"/>
          <w:szCs w:val="22"/>
        </w:rPr>
        <w:t xml:space="preserve">一体化自给率部分对冲中间品涨价：公司口径硅片产能≥组件产能的80%、电池产能≥组件产能的70%（约≥80GW/≥70GW；2024年末数据，2025年8月投资者交流复述）。</w:t>
      </w:r>
    </w:p>
    <w:p>
      <w:pPr>
        <w:pStyle w:val="ListParagraph"/>
        <w:numPr>
          <w:ilvl w:val="0"/>
          <w:numId w:val="2"/>
        </w:numPr>
        <w:spacing w:after="80" w:line="280"/>
      </w:pPr>
      <w:r>
        <w:rPr>
          <w:sz w:val="22"/>
          <w:szCs w:val="22"/>
        </w:rPr>
        <w:t xml:space="preserve">公司对硅料、银浆（白银）、玻璃等大宗商品均为价格接受者；2025年硅料/电池片采购均价同比下降，但银浆涨价与组件售价更大幅度下跌导致组件毛利率进一步承压。</w:t>
      </w:r>
    </w:p>
    <w:p>
      <w:pPr>
        <w:pStyle w:val="ListParagraph"/>
        <w:numPr>
          <w:ilvl w:val="0"/>
          <w:numId w:val="2"/>
        </w:numPr>
        <w:spacing w:after="80" w:line="280"/>
      </w:pPr>
      <w:r>
        <w:rPr>
          <w:sz w:val="22"/>
          <w:szCs w:val="22"/>
        </w:rPr>
        <w:t xml:space="preserve">供应商集中度不高：2025年前五大供应商合计采购85.47亿元、占总采购额25.08%（来源为查股网转引年报经营分析，属单一聚合来源，未能与年报PDF逐条核对，具体以2025年年报为准）。</w:t>
      </w:r>
    </w:p>
    <w:p>
      <w:pPr>
        <w:pStyle w:val="ListParagraph"/>
        <w:numPr>
          <w:ilvl w:val="0"/>
          <w:numId w:val="2"/>
        </w:numPr>
        <w:spacing w:after="80" w:line="280"/>
      </w:pPr>
      <w:r>
        <w:rPr>
          <w:sz w:val="22"/>
          <w:szCs w:val="22"/>
        </w:rPr>
        <w:t xml:space="preserve">组件客户为国内外光伏电站投资商、EPC工程承包商及分布式光伏系统经销商，以直销+招投标/集采定价为主。</w:t>
      </w:r>
    </w:p>
    <w:p>
      <w:pPr>
        <w:pStyle w:val="ListParagraph"/>
        <w:numPr>
          <w:ilvl w:val="0"/>
          <w:numId w:val="2"/>
        </w:numPr>
        <w:spacing w:after="80" w:line="280"/>
      </w:pPr>
      <w:r>
        <w:rPr>
          <w:sz w:val="22"/>
          <w:szCs w:val="22"/>
        </w:rPr>
        <w:t xml:space="preserve">行业结构性博弈特征是全行业供过于求下的价格接受者地位，而非汽车零部件式“年降”条款：组件集采价直接贴近成本甚至倒挂，2024-2026年组件环节持续承压。</w:t>
      </w:r>
    </w:p>
    <w:p>
      <w:pPr>
        <w:pStyle w:val="ListParagraph"/>
        <w:numPr>
          <w:ilvl w:val="0"/>
          <w:numId w:val="2"/>
        </w:numPr>
        <w:spacing w:after="80" w:line="280"/>
      </w:pPr>
      <w:r>
        <w:rPr>
          <w:sz w:val="22"/>
          <w:szCs w:val="22"/>
        </w:rPr>
        <w:t xml:space="preserve">出口退税取消（自2024-12-01起光伏产品出口退税率13%→0）进一步压薄出口毛利；美国关税、双反等贸易壁垒推高海外合规成本，公司2026-08-12公告转让美国子公司股权、战略收缩美国资产。</w:t>
      </w:r>
    </w:p>
    <w:p>
      <w:pPr>
        <w:pStyle w:val="ListParagraph"/>
        <w:numPr>
          <w:ilvl w:val="0"/>
          <w:numId w:val="2"/>
        </w:numPr>
        <w:spacing w:after="80" w:line="280"/>
      </w:pPr>
      <w:r>
        <w:rPr>
          <w:sz w:val="22"/>
          <w:szCs w:val="22"/>
        </w:rPr>
        <w:t xml:space="preserve">区域毛利率差异极大且是核心利润杠杆：2024年国内组件毛利率-7.98%、欧洲-3.51%、美洲+31.43%；2026上半年海外出货占比68.46%、海外毛利率3.02%（同比+5.44pct）明显优于境内。</w:t>
      </w:r>
    </w:p>
    <w:p>
      <w:pPr>
        <w:pStyle w:val="ListParagraph"/>
        <w:numPr>
          <w:ilvl w:val="0"/>
          <w:numId w:val="2"/>
        </w:numPr>
        <w:spacing w:after="80" w:line="280"/>
      </w:pPr>
      <w:r>
        <w:rPr>
          <w:sz w:val="22"/>
          <w:szCs w:val="22"/>
        </w:rPr>
        <w:t xml:space="preserve">营运资金信号显示回款管控是公司相对同业的强项：2025年末应收账款余额92.08亿元（同比+2.6%），约为当年营收的18.7%（制造业中等水平）；2025年经营活动现金流净额+42.80亿元（同比+27.89%），公司称连续超15年经营性现金流为正；即使2024-2025两年合计亏损超92亿元，现金流仍为正。与此同时，产业链价格下行风险大量以存货/固定资产减值形式由公司自身吸收：2025年末存货账面100.58亿元（占归母净资产45.01%）、存货跌价准备7.45亿元；2024年计提各类资产减值33.29亿元，2026上半年计提6.86亿元（存货跌价4.04亿+固定资产减值1.87亿）。</w:t>
      </w:r>
    </w:p>
    <w:p>
      <w:pPr>
        <w:pStyle w:val="ListParagraph"/>
        <w:numPr>
          <w:ilvl w:val="0"/>
          <w:numId w:val="2"/>
        </w:numPr>
        <w:spacing w:after="80" w:line="280"/>
      </w:pPr>
      <w:r>
        <w:rPr>
          <w:sz w:val="22"/>
          <w:szCs w:val="22"/>
        </w:rPr>
        <w:t xml:space="preserve">客户高度分散且多年稳定：2025年前五大客户合计92.06亿元、占总营收18.73%（第一大客户占7.28%）；2024年为19.59%、2023年为20.48%（数据来源为查股网转引年报经营分析，属单一聚合来源、未能交叉核实年报PDF原文，具体以历年正式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16.36%（综合毛利率）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归母净利率约5.8%（据归母净利润15.07亿元/营收258.47亿元推算）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疫情下海外需求相对稳定+一体化扩产，盈利保持较好水平。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14.63%（综合毛利率）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归母净利率约4.9%（据归母净利润20.39亿元/营收约413.0亿元推算）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硅料价格暴涨挤压中游利润，组件环节被动让利。</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14.78%（综合毛利率）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归母净利率约7.6%（据归母净利润55.33亿元/营收729.89亿元推算）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出货放量+一体化降本对冲硅料高价，净利率明显回升。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约18%（不同来源分别为17.65%/18.13%，存在口径分歧，本表取约18%并标注）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归母净利率约8.6%（据归母净利润70.39亿元/营收约815.6亿元推算）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硅料降价而组件价格仍处相对高位，利润率达历史峰值。注：2023年毛利率两套数字来源分歧未决。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4.48%（综合毛利率）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归母净利率约-6.6%（据归母净利润-46.56亿元/营收701.21亿元推算）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行业价格战，组件均价跌至0.86元/W，计提资产减值33.29亿元，毛利率大幅回落并转亏。</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-2.10%（综合毛利率）；组件毛利率-4.03%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归母净利率约-9.4%（据归母净利润-46.08亿元/营收491.29亿元推算）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量价齐跌，组件售价跌幅大于成本降幅并叠加银浆涨价，减值继续，归母净利润-46.08亿元、仅同比减亏0.48亿元。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1.29%（整体毛利率，上年同期-3.53%）；组件毛利率-1.74%、电池毛利率13.34%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归母净利率约-15.2%（据归母净利润-26.63亿元/营收174.98亿元推算）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海外占比提升（68.46%）+降本推动整体毛利率转正，但计提减值6.86亿元，H1归母净利润-26.63亿元、亏损同比扩大3.21%。</w:t>
            </w:r>
          </w:p>
        </w:tc>
      </w:tr>
    </w:tbl>
    <w:p>
      <w:pPr>
        <w:spacing w:before="200"/>
      </w:pPr>
    </w:p>
    <w:p>
      <w:pPr>
        <w:spacing w:after="160" w:line="300"/>
      </w:pPr>
      <w:r>
        <w:rPr>
          <w:sz w:val="22"/>
          <w:szCs w:val="22"/>
        </w:rPr>
        <w:t xml:space="preserve">晶澳处于光伏制造微笑曲线的中游加工段（拉晶-硅片-电池-组件组装），属低毛利、重资产环节，并非上游资源型或下游品牌型高毛利位置。其相对优势在于全链条垂直一体化自供、海外高毛利市场结构（2026H1海外出货占比68.46%）、TOPCon/BC技术迭代溢价以及连续为正的经营现金流；周期底部组件业务仍亏损。未来毛利修复的主要驱动：①海外出货占比继续提升，中东、欧洲等高毛利区域放量；②行业“反内卷”及2027年1月强制能耗国标落地推动落后产能出清后的组件价格修复；③储能/智慧能源（含AIDC算电融合等）第二曲线改善毛利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701.21亿元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-46.56亿元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由盈转亏（2023年为+70.39亿元）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491.29亿元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-46.08亿元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较2024年减亏约4,768万元/-1.0%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92.16亿元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-13.65%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上年同期为-16.38亿元，同比减亏5.72亿元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2026年二季度（单季拆分）</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82.82亿元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-37.41%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环比、同比亏损均扩大（具体增速未披露）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174.98亿元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-26.80%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-26.63亿元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亏损扩大3.21%（上年同期为-25.80亿元）</w:t>
            </w:r>
          </w:p>
        </w:tc>
      </w:tr>
    </w:tbl>
    <w:p>
      <w:pPr>
        <w:spacing w:after="200"/>
      </w:pPr>
      <w:r>
        <w:rPr>
          <w:i/>
          <w:iCs/>
          <w:color w:val="595959"/>
          <w:sz w:val="18"/>
          <w:szCs w:val="18"/>
        </w:rPr>
        <w:t xml:space="preserve">上表为公司已披露口径；2026年二季度为按季报/半年报披露信息拆分，非单独披露的季度报告。业绩预告对照：2025年度归母预告亏损45–48亿元，实际-46.08亿元；扣非预告亏损48–51亿元，实际-50.27亿元。2026半年度归母预告亏损24–29亿元，实际-26.63亿元；扣非预告亏损27.5–32.5亿元，实际-30.22亿元。EPS方面，2025年全年EPS为-1.41元，2026Q1基本EPS为-0.33元；2026H1 EPS未披露精确值，按33.1亿股估算约-0.80元/股，属推算值。2023年营收约815.5亿元为根据2024年营收推算值，未直接核实。</w:t>
      </w:r>
    </w:p>
    <w:p>
      <w:pPr>
        <w:spacing w:after="160" w:line="300"/>
      </w:pPr>
      <w:r>
        <w:rPr>
          <w:sz w:val="22"/>
          <w:szCs w:val="22"/>
        </w:rPr>
        <w:t xml:space="preserve">2024年由盈转亏，2025年继续亏损46.08亿元，2026年上半年亏损26.63亿元、同比扩大3.21%。收入端延续下滑，2025年同比-29.94%，2026H1同比-26.80%；其中2026Q2营收同比-37.41%，降幅较Q1的-13.65%走阔。盈利质量方面，2026H1综合毛利率1.29%，较上年同期-3.53%转正并提升4.82pct；组件业务毛利率-1.74%（同比+4.24pct），电池业务毛利率13.34%（同比+36.55pct）。出货量方面，2026H1组件/电池出货量合计22.25GW（含自用），组件海外出货占比68.46%；2025年组件销量66.53GW（-8.46%，不含自用），海外出货占比51.29%，全年整体毛利率-2.1%。2025年度经营性现金流净额42.80亿元，公司称连续超过15年为正。</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表采用同花顺F10“盈利预测”口径（截至2026-09-06，6个月以内共8家机构）的净利润/EPS均值；该一致预期未披露营收预测，因此营收字段缺失。纪要另载有国联民生证券（2026-09-01）预测2026–2028年营收为389.27/516.89/641.08亿元。中报后最新单家券商预测方面：光大证券（2026-08-30）预测归母净利润-40.86/+5.78/+16.14亿元；国联民生（2026-09-01）预测-37.72/+11.35/+22.80亿元；东吴证券（2026-09-01）预测约-26/+12/+29亿元；国金证券（2026-08-28）预测-39.3/+8.6/+15.8亿元。2026年一致预期均值虽含+4.68亿元的正值预测，但多为中报前旧预测残留，引用时应注明均值、分歧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数据缺失：一致预期未披露营收预测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-27.10亿元（8家机构一致预期均值；范围-41.46亿~+4.68亿元）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数据缺失：纪要未列一致预期增速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-0.82元（一致预期均值；范围-1.25元~0.14元）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数据缺失：一致预期未披露营收预测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+12.69亿元（一致预期均值；范围5.78亿~24.49亿元）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数据缺失：纪要未列一致预期增速；按预测值由亏转盈</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0.38元（一致预期均值）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数据缺失：一致预期未披露营收预测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+28.32亿元（一致预期均值；范围15.78亿~43.98亿元）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数据缺失：纪要未列一致预期增速；按预测值继续增长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0.86元（一致预期均值）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Jefferies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目标价由13.28元上调至14.04元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S&amp;P Global聚合（8位分析师）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Hold（一致评级）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截至约2026-06-23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平均目标价11.62元，区间6.3~17元；其中含明显过时数据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预测2026–2028年归母净利润-39.3/+8.6/+15.8亿元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预测2026–2028年归母净利润-40.86/+5.78/+16.14亿元；按当前股价对应2027年PE约42倍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预测2026–2028年营收389.27/516.89/641.08亿元，归母净利润-37.72/+11.35/+22.80亿元；对应2027/2028年PE约21x/10x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预测2026–2028年归母净利润约-26/+12/+29亿元（同比口径+43%/+145%/+141%）</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给予2027年25xPE，目标价8.29元；光伏业务阶段性亏损，公司加快光储一体化布局</w:t>
            </w:r>
          </w:p>
        </w:tc>
      </w:tr>
    </w:tbl>
    <w:p>
      <w:pPr>
        <w:spacing w:before="200"/>
      </w:pPr>
    </w:p>
    <w:p>
      <w:pPr>
        <w:spacing w:after="160" w:line="300"/>
      </w:pPr>
      <w:r>
        <w:rPr>
          <w:sz w:val="22"/>
          <w:szCs w:val="22"/>
        </w:rPr>
        <w:t xml:space="preserve">截至2026-09-04收盘，晶澳科技报6.73元（当日+0.30%，该周累计约-7.8%），总市值222.74亿元，流通市值222.55亿元。由于公司2024–2026H1连续亏损，PE为负、不具估值意义：PE(TTM)约-4.75倍，按2025年归母净利润-46.08亿元计算的静态PE约-4.83倍，按2026H1年化的动态PE约-4.18倍。PB更具参考意义：行情口径约1.16倍；按2026-06-30归母净资产197.61亿元、每股净资产约5.97元推算约1.13倍，与行情页基本一致。52周区间6.71–15.54元，当前价贴近一年低位。机构目标价区间约6.3–17元，分歧极大；国内最新目标价为国泰海通2026-09-03给出的8.29元，外资/聚合口径为11.6–14.0元，同花顺口径目标均价存在9.83元与12.16/12.32元冲突，仅可作区间参考。估值的核心前提是2027年起盈利拐点能否兑现，以及PB能否随行业供需与公司盈利修复而重估。</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2026年半年度报告确认归母净利润亏损26.63亿元</w:t>
      </w:r>
    </w:p>
    <w:p>
      <w:pPr>
        <w:spacing w:after="160" w:line="300"/>
      </w:pPr>
      <w:r>
        <w:rPr>
          <w:sz w:val="22"/>
          <w:szCs w:val="22"/>
        </w:rPr>
        <w:t xml:space="preserve">晶澳科技于2026年8月28日披露半年度报告，2026年上半年实现营业收入174.98亿元，归属于上市公司股东的净利润为-26.63亿元，基本符合此前业绩预告区间。报告期末归属于上市公司股东的净资产为197.61亿元，电池组件出货量为22.25GW，其中海外出货占比68.46%。此前公司预计上半年归母净利润亏损24亿元至29亿元、扣非后净利润亏损27.5亿元至32.5亿元、基本每股收益亏损0.73元至0.89元。公司称，亏损主要受光伏主产业链供需失衡、产品价格下降、出口退税政策取消后税负增加、国际贸易环境恶化，以及部分海外订单因地缘冲突和物流受阻产生履约索赔等因素影响。</w:t>
      </w:r>
    </w:p>
    <w:p>
      <w:pPr>
        <w:pStyle w:val="Heading2"/>
        <w:spacing w:after="120" w:before="240"/>
      </w:pPr>
      <w:r>
        <w:rPr>
          <w:b/>
          <w:bCs/>
          <w:color w:val="2E74B5"/>
          <w:sz w:val="24"/>
          <w:szCs w:val="24"/>
        </w:rPr>
        <w:t xml:space="preserve">4.2 2026年半年度计提资产减值准备合计约6.86亿元</w:t>
      </w:r>
    </w:p>
    <w:p>
      <w:pPr>
        <w:spacing w:after="160" w:line="300"/>
      </w:pPr>
      <w:r>
        <w:rPr>
          <w:sz w:val="22"/>
          <w:szCs w:val="22"/>
        </w:rPr>
        <w:t xml:space="preserve">公司于2026年8月28日披露，2026年半年度计提各项资产减值准备合计6.86125亿元。其中，应收票据信用减值损失17.46万元、应收账款信用减值损失6484.77万元、其他应收款信用减值损失3307.04万元、长期应收款信用减值损失249.82万元、存货跌价损失4.035642亿元、固定资产减值损失1.873155亿元。公司称，本次减值主要反映行业价格下跌、存货价值下降及部分固定资产盈利能力承压。</w:t>
      </w:r>
    </w:p>
    <w:p>
      <w:pPr>
        <w:pStyle w:val="Heading2"/>
        <w:spacing w:after="120" w:before="240"/>
      </w:pPr>
      <w:r>
        <w:rPr>
          <w:b/>
          <w:bCs/>
          <w:color w:val="2E74B5"/>
          <w:sz w:val="24"/>
          <w:szCs w:val="24"/>
        </w:rPr>
        <w:t xml:space="preserve">4.3 2026年8月新增担保26.56亿元，担保余额达610.25亿元</w:t>
      </w:r>
    </w:p>
    <w:p>
      <w:pPr>
        <w:spacing w:after="160" w:line="300"/>
      </w:pPr>
      <w:r>
        <w:rPr>
          <w:sz w:val="22"/>
          <w:szCs w:val="22"/>
        </w:rPr>
        <w:t xml:space="preserve">公司于2026年9月4日披露，2026年8月1日至8月31日实际新增担保额26.56亿元，其中向资产负债率70%以上担保对象提供担保18.896779亿元，向资产负债率70%以下担保对象提供担保7.667726亿元。截至2026年8月31日，公司2026年度累计新增担保额220.46亿元，提供担保余额610.25亿元，占公司2025年度经审计归属于上市公司股东净资产的273.09%。其中，合并报表范围内相关担保余额为578.99亿元，合并报表范围外公司担保余额为31.26亿元。公司披露目前无逾期担保、无涉及诉讼的担保，也无因担保被判决败诉而应承担损失的情况。</w:t>
      </w:r>
    </w:p>
    <w:p>
      <w:pPr>
        <w:pStyle w:val="Heading2"/>
        <w:spacing w:after="120" w:before="240"/>
      </w:pPr>
      <w:r>
        <w:rPr>
          <w:b/>
          <w:bCs/>
          <w:color w:val="2E74B5"/>
          <w:sz w:val="24"/>
          <w:szCs w:val="24"/>
        </w:rPr>
        <w:t xml:space="preserve">4.4 暂不向下修正“晶澳转债”转股价格，维持8.90元/股</w:t>
      </w:r>
    </w:p>
    <w:p>
      <w:pPr>
        <w:spacing w:after="160" w:line="300"/>
      </w:pPr>
      <w:r>
        <w:rPr>
          <w:sz w:val="22"/>
          <w:szCs w:val="22"/>
        </w:rPr>
        <w:t xml:space="preserve">公司于2026年9月4日披露，2026年7月30日至9月3日期间，公司股票已有15个交易日收盘价低于“晶澳转债”当期转股价格的85%，已触发转股价格向下修正条款。公司第七届董事会第七次会议决定本次不向下修正转股价格，当前转股价格维持8.90元/股，下一次触发转股价格修正条款的期间自2026年9月4日重新起算。董事会决议表决结果为8票同意、0票反对、0票弃权。</w:t>
      </w:r>
    </w:p>
    <w:p>
      <w:pPr>
        <w:pStyle w:val="Heading2"/>
        <w:spacing w:after="120" w:before="240"/>
      </w:pPr>
      <w:r>
        <w:rPr>
          <w:b/>
          <w:bCs/>
          <w:color w:val="2E74B5"/>
          <w:sz w:val="24"/>
          <w:szCs w:val="24"/>
        </w:rPr>
        <w:t xml:space="preserve">4.5 拟参加2026年半年报业绩说明会及投资者网上集体接待日</w:t>
      </w:r>
    </w:p>
    <w:p>
      <w:pPr>
        <w:spacing w:after="160" w:line="300"/>
      </w:pPr>
      <w:r>
        <w:rPr>
          <w:sz w:val="22"/>
          <w:szCs w:val="22"/>
        </w:rPr>
        <w:t xml:space="preserve">公司于2026年9月11日公告，将于2026年9月16日15:30至17:00参加“2026年度河北辖区上市公司投资者网上集体接待日暨2026年半年报业绩说明会”，公司董事及高级管理人员将就业绩、公司治理、发展战略、经营状况和可持续发展等问题与投资者交流。截至研究纪要出具日，说明会尚未举行，管理层关于下半年出货、盈利拐点、产能调整、海外风险及现金流安排的进一步表态尚未形成可核实公告结论。</w:t>
      </w:r>
    </w:p>
    <w:p>
      <w:pPr>
        <w:pStyle w:val="Heading2"/>
        <w:spacing w:after="120" w:before="240"/>
      </w:pPr>
      <w:r>
        <w:rPr>
          <w:b/>
          <w:bCs/>
          <w:color w:val="2E74B5"/>
          <w:sz w:val="24"/>
          <w:szCs w:val="24"/>
        </w:rPr>
        <w:t xml:space="preserve">4.6 2026年9月暂未检索到新增股份回购方案或进展公告</w:t>
      </w:r>
    </w:p>
    <w:p>
      <w:pPr>
        <w:spacing w:after="160" w:line="300"/>
      </w:pPr>
      <w:r>
        <w:rPr>
          <w:sz w:val="22"/>
          <w:szCs w:val="22"/>
        </w:rPr>
        <w:t xml:space="preserve">截至2026年9月13日，未检索到晶澳科技在2026年9月新披露的股份回购方案或回购进展公告。此前公司于2025年8月制定回购方案，拟使用不低于2亿元、不超过4亿元资金回购公司A股，用于员工持股计划或股权激励；公司于2026年3月3日披露回购实施完毕，累计回购15,404,377股，占当时公司总股本约0.47%，最高成交价14.236元/股，最低成交价13.33元/股，成交总金额2.171995亿元，不含交易费用。</w:t>
      </w:r>
    </w:p>
    <w:p>
      <w:pPr>
        <w:pStyle w:val="Heading2"/>
        <w:spacing w:after="120" w:before="240"/>
      </w:pPr>
      <w:r>
        <w:rPr>
          <w:b/>
          <w:bCs/>
          <w:color w:val="2E74B5"/>
          <w:sz w:val="24"/>
          <w:szCs w:val="24"/>
        </w:rPr>
        <w:t xml:space="preserve">4.7 重要股东质押股份合计约1639.82万股，暂未检索到9月新增大额增减持公告</w:t>
      </w:r>
    </w:p>
    <w:p>
      <w:pPr>
        <w:spacing w:after="160" w:line="300"/>
      </w:pPr>
      <w:r>
        <w:rPr>
          <w:sz w:val="22"/>
          <w:szCs w:val="22"/>
        </w:rPr>
        <w:t xml:space="preserve">截至2026年9月4日，公开资料显示公司重要股东质押股份合计约1639.82万股，占A股总股本约0.50%。其中，北京华建盈富实业合伙企业（有限合伙）质押约1057万股，占其持股比例约75.14%，占公司总股本约0.32%。截至目前，未检索到2026年9月控股股东、实际控制人或董事高管新增大额增持、减持公告。部分机构投资者截至2026年6月30日的持股变动属于季度末持股变化，不等同于2026年9月即时交易行为，相关数据的准确性和时效性低于正式权益变动公告。</w:t>
      </w:r>
    </w:p>
    <w:p>
      <w:pPr>
        <w:pStyle w:val="Heading2"/>
        <w:spacing w:after="120" w:before="240"/>
      </w:pPr>
      <w:r>
        <w:rPr>
          <w:b/>
          <w:bCs/>
          <w:color w:val="2E74B5"/>
          <w:sz w:val="24"/>
          <w:szCs w:val="24"/>
        </w:rPr>
        <w:t xml:space="preserve">4.8 2026年9月暂未检索到重大资产重组或大型并购公告</w:t>
      </w:r>
    </w:p>
    <w:p>
      <w:pPr>
        <w:spacing w:after="160" w:line="300"/>
      </w:pPr>
      <w:r>
        <w:rPr>
          <w:sz w:val="22"/>
          <w:szCs w:val="22"/>
        </w:rPr>
        <w:t xml:space="preserve">截至2026年9月13日，未检索到公司在2026年9月新披露重大资产重组或大型并购公告。2026年半年度报告披露，2026年4月晶澳（无锡）光伏科技有限公司收购沈良持有的浙江晶澳新材料科技有限公司25%股权，支付对价150万元，交易完成后集团持有浙江晶澳新材料100%股权。2026年6月，晶澳太阳能有限公司引入深圳市捷佳伟创新能源装备股份有限公司、中国东方资产管理股份有限公司及扬州经开高质股权投资基金（有限合伙）增资，金额分别为1.5亿元、5亿元和3亿元；广东科隆威智能装备股份有限公司及楷德电子工程设计有限公司分别以5500万元和4000万元应收账款债权认购股权。增资完成后，晶澳太阳能仍为公司合并报表范围内的控股子公司；截至半年报批准报出日，相关注册资本工商变更尚未完成。</w:t>
      </w:r>
    </w:p>
    <w:p>
      <w:pPr>
        <w:pStyle w:val="Heading2"/>
        <w:spacing w:after="120" w:before="240"/>
      </w:pPr>
      <w:r>
        <w:rPr>
          <w:b/>
          <w:bCs/>
          <w:color w:val="2E74B5"/>
          <w:sz w:val="24"/>
          <w:szCs w:val="24"/>
        </w:rPr>
        <w:t xml:space="preserve">4.9 公司继续提示行业供需、贸易壁垒及技术迭代等风险</w:t>
      </w:r>
    </w:p>
    <w:p>
      <w:pPr>
        <w:spacing w:after="160" w:line="300"/>
      </w:pPr>
      <w:r>
        <w:rPr>
          <w:sz w:val="22"/>
          <w:szCs w:val="22"/>
        </w:rPr>
        <w:t xml:space="preserve">公司2026年半年度报告提示，国内光伏行业存在供需失衡和产能过剩，新能源上网电价市场化改革可能影响项目收益率，出口退税政策取消将带来新增税负；美国及其他市场对中国及东南亚光伏产品的反倾销、反补贴、反规避等贸易壁垒，以及海外市场本地化制造、碳足迹、强迫劳动和供应链合规要求，可能影响公司经营。此外，TOPCon、BC及钙钛矿等技术路线切换可能带来资产减值和技术迭代风险。报告称，截至2025年底，中国多晶硅、硅片、电池和组件产能均超过1100GW；2026年3月美国国际贸易委员会启动的337调查涉及TOPCon技术专利争端，可能影响中国光伏企业在美国市场的经营。上述内容属于公司风险提示，不等同于公司已收到新的监管处罚或已确认损失。</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晶澳科技（002459）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交易所及所属方向</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深圳证券交易所；电力设备、光伏设备、光伏电池组件</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-0.19元/-2.78%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6.79元/6.82元/6.57元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365,955手，约3,659.55万股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2.4286亿元/1.11%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约33.10亿股/约33.07亿股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6.57~15.54元；52周高点出现在2025年11月11日，52周低点出现在2026年9月11日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股价区间位置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收盘价较52周高点下跌约57.3%，较52周低点约高1.1%，处于近一年价格区间的低位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按收盘价及股本估算，约219.8亿元/约219.6亿元；为计算值，非单一行情页面直接披露值</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估值背景</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动态市盈率因亏损无有效PE值；截至2026年6月30日每股净资产约5.82元，按6.64元收盘价计算静态PB约1.14倍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6.83元/6.84元/7.09元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收盘价6.64元低于三条均线，较MA5、MA10、MA20分别低约2.75%、2.91%、6.32%；均线呈MA5低于MA10、MA10低于MA20的偏空结构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短期均线信号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近期出现5日均线下穿10日均线；证券时报将晶澳科技列入短期均线死叉个股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短线趋势偏弱，反弹需要重新收复MA5、MA10附近区域确认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 -0.21；DEA -0.19；MACD柱 -0.04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DIF低于DEA，且两者均位于零轴下方，日线仍处于弱势区域；负柱显示短线动能偏空，但绝对值不算极端，需观察是否继续扩大或收窄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 25.9；RSI12 32.6；RSI24 37.4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RSI6低于30，进入传统超卖区间；RSI12和RSI24偏弱但未极端超卖，存在技术性反弹可能，但不能单独确认趋势反转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上轨7.67元；中轨7.09元；下轨6.51元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收盘价位于下轨与中轨之间，距下轨约0.13元、约2.0%；6.51元附近若获得支撑，可能出现超跌反弹，放量跌破6.50~6.57元区域则需警惕向下加速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9月7日2.13亿元；9月8日2.00亿元；9月9日1.27亿元；9月10日1.35亿元；9月11日2.43亿元；近5日平均约1.84亿元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9月11日成交额约为近5日均值的1.3倍，同时股价下跌2.78%，呈放量下跌特征，短线资金承接力度仍需观察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9月11日净流出约1,439万元；近10个交易日合计净流出约1.10亿元，其中约2天净流入、8天净流出；最近4个交易日连续净流出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资金流向与股价走势形成偏弱组合；该指标按大单与超大单成交净额划分，不等同于真实机构身份，可能受大单对倒或拆单影响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截至2026年6月30日，前十大股东累计持股约60.94%；控股股东东台市晶泰福科技有限公司持股47.45%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集中度主要由控股股东贡献，实际可交易筹码低于总股本口径；股东结构为季度末快照，距9月11日约两个半月，可能已发生变化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机构及其他主要股东</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截至2026年6月30日，香港中央结算有限公司持股7.66%；全国社保基金一一八组合0.95%；多只汇丰晋信公募基金合计列于前十大股东；2025年员工持股计划1.19%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前十大股东中同时出现社保、公募基金、香港中央结算有限公司及员工持股计划，但仅凭香港中央结算有限公司名称无法确认具体持有人结构，且数据存在季度滞后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筹码估算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截至2026年9月11日，获利盘比例约5.6%；平均成本约8.42元；中位成本约7.60元；70%筹码成本区间约6.80~8.80元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上述数据由历史成交价格和换手率推算，并非上市公司披露的逐户持仓事实，存在模型估算误差</w:t>
            </w:r>
          </w:p>
        </w:tc>
      </w:tr>
    </w:tbl>
    <w:p>
      <w:pPr>
        <w:spacing w:before="200"/>
      </w:pPr>
    </w:p>
    <w:p>
      <w:pPr>
        <w:spacing w:after="160" w:line="300"/>
      </w:pPr>
      <w:r>
        <w:rPr>
          <w:sz w:val="22"/>
          <w:szCs w:val="22"/>
        </w:rPr>
        <w:t xml:space="preserve">晶澳科技截至2026年9月11日收盘价为6.64元，已接近52周低点6.57元。均线呈MA5低于MA10、MA10低于MA20的偏空结构，MACD位于零轴下方且柱值为负，短期趋势和动能均偏弱；RSI6为25.9，进入传统超卖区间，提示存在技术性反弹可能，但不足以单独确认反转。股价接近布林带下轨6.51元，6.50~6.57元区域是较近的技术支撑重叠区。9月11日成交额高于近5日均值但股价下跌，叠加主力资金当日及近10日净流出，当前尚未出现明确的量价企稳信号。股东结构方面，前十大股东持股约60.94%，控股股东持股47.45%，同时存在社保和公募基金持股；但相关数据截至2026年6月30日，不能完全代表9月11日的实时持仓变化。</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6.82~6.94元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参考MA5约6.83元、MA10约6.84元，以及9月7日至9月10日的6.86~6.97元成交密集区；若放量站稳6.94元，可进一步观察7.05~7.10元附近的MA20和布林带中轨区域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6.57~6.64元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6.57元为9月11日盘中低点，6.64元为当日收盘价；若在该区域缩量止跌，可能形成弱势震荡，若收盘价连续跌破6.57元，短线低点可能继续下移</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6.50~6.57元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由布林带下轨约6.51元和52周低点约6.57元构成技术支撑重叠区；若放量有效跌破，可能打开向6.30~6.50元区间寻找下一支撑的路径，该区间为技术推演而非已确认支撑位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主观相对权重较高，约五成至六成；为基于当前技术指标、成交量和资金流向的启发式判断，不是统计学意义上的概率）：价格运行于6.57~6.94元。触发条件包括守住6.57元附近，成交额回落至约1.3~2.0亿元近期常态区间，主力资金净流出明显收窄，RSI6从25.9附近回升但尚未有效突破MA10。在该情景下，股价可能围绕6.60~6.85元反复震荡，反弹至6.82~6.94元区域后面临均线压力。</w:t>
      </w:r>
    </w:p>
    <w:p>
      <w:pPr>
        <w:pStyle w:val="ListParagraph"/>
        <w:numPr>
          <w:ilvl w:val="0"/>
          <w:numId w:val="2"/>
        </w:numPr>
        <w:spacing w:after="80" w:line="280"/>
      </w:pPr>
      <w:r>
        <w:rPr>
          <w:sz w:val="22"/>
          <w:szCs w:val="22"/>
        </w:rPr>
        <w:t xml:space="preserve">偏弱下行（主观相对权重中等，约三成；为基于当前技术指标、成交量和资金流向的启发式判断，不是统计学意义上的概率）：价格运行于6.30~6.57元。触发条件包括收盘价有效跌破6.57元，单日成交额明显高于近期均值且主力资金继续净流出，光伏板块同步走弱，MACD负柱继续扩大、RSI6继续低于30。若6.50元附近布林带下轨支撑失效，短线可能继续测试6.30~6.50元区域。</w:t>
      </w:r>
    </w:p>
    <w:p>
      <w:pPr>
        <w:pStyle w:val="ListParagraph"/>
        <w:numPr>
          <w:ilvl w:val="0"/>
          <w:numId w:val="2"/>
        </w:numPr>
        <w:spacing w:after="80" w:line="280"/>
      </w:pPr>
      <w:r>
        <w:rPr>
          <w:sz w:val="22"/>
          <w:szCs w:val="22"/>
        </w:rPr>
        <w:t xml:space="preserve">反弹走强（主观相对权重偏低，约一成至两成；为基于当前技术指标、成交量和资金流向的启发式判断，不是统计学意义上的概率）：价格运行于6.84~7.10元。触发条件包括重新站上6.84~6.94元，单日成交额达到约2.5~3.0亿元以上并连续至少两个交易日维持，主力资金由连续净流出转为连续净流入，MACD负柱收窄、RSI6回到30以上，且光伏板块同步反弹或公司出现改善市场预期的催化因素。若条件同时出现，短线可观察7.05~7.10元附近的MA20和布林带中轨区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新换手率约1.11%，近5日平均成交额约1.84亿元，近期日成交额主要分布在1.3~2.7亿元之间；9月11日成交额约2.43亿元，高于近5日均值，但股价下跌2.78%，资金表现偏弱。股东结构数据显示，截至2026年6月30日，前十大股东累计持股约60.94%，控股股东持股47.45%，同时存在社保、公募基金和香港中央结算有限公司持仓。上述股东数据为季度末快照，不能直接推断截至9月11日的实时机构增减仓情况。控股股东持股比例较高意味着实际可交易筹码低于总股本口径；同时，机构持股虽有体现，但整体比例及最新变化仍需结合更新后的披露信息判断。主力资金数据为成交单金额分档指标，不等同于真实机构身份。</w:t>
      </w:r>
    </w:p>
    <w:p>
      <w:pPr>
        <w:spacing w:after="160" w:line="300"/>
      </w:pPr>
      <w:r>
        <w:rPr>
          <w:sz w:val="22"/>
          <w:szCs w:val="22"/>
        </w:rPr>
        <w:t xml:space="preserve">可检查的量能确认信号：若后续单日成交额连续达到约2.5~3.0亿元以上，同时股价收盘站上6.84~6.94元、主力资金不再连续净流出，可视为短线资金承接改善的观察信号；若放量发生在跌破6.57元之后，则更可能代表抛压释放，而不是资金积极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观察6.57~6.64元区域能否止跌，以及6.51元附近布林带下轨是否有效；若放量跌破6.50~6.57元区域，关注向6.30~6.50元区间延伸的可能性。</w:t>
      </w:r>
    </w:p>
    <w:p>
      <w:pPr>
        <w:pStyle w:val="ListParagraph"/>
        <w:numPr>
          <w:ilvl w:val="0"/>
          <w:numId w:val="2"/>
        </w:numPr>
        <w:spacing w:after="80" w:line="280"/>
      </w:pPr>
      <w:r>
        <w:rPr>
          <w:sz w:val="22"/>
          <w:szCs w:val="22"/>
        </w:rPr>
        <w:t xml:space="preserve">观察股价能否重新站上6.82~6.94元的MA5、MA10及短期压力区，以及放量站稳后能否进一步观察7.05~7.10元区域。</w:t>
      </w:r>
    </w:p>
    <w:p>
      <w:pPr>
        <w:pStyle w:val="ListParagraph"/>
        <w:numPr>
          <w:ilvl w:val="0"/>
          <w:numId w:val="2"/>
        </w:numPr>
        <w:spacing w:after="80" w:line="280"/>
      </w:pPr>
      <w:r>
        <w:rPr>
          <w:sz w:val="22"/>
          <w:szCs w:val="22"/>
        </w:rPr>
        <w:t xml:space="preserve">观察MACD负柱是否收窄、DIF是否向上接近DEA，以及RSI6能否从25.9附近回到30以上。</w:t>
      </w:r>
    </w:p>
    <w:p>
      <w:pPr>
        <w:pStyle w:val="ListParagraph"/>
        <w:numPr>
          <w:ilvl w:val="0"/>
          <w:numId w:val="2"/>
        </w:numPr>
        <w:spacing w:after="80" w:line="280"/>
      </w:pPr>
      <w:r>
        <w:rPr>
          <w:sz w:val="22"/>
          <w:szCs w:val="22"/>
        </w:rPr>
        <w:t xml:space="preserve">观察成交额能否连续放大至约2.5~3.0亿元，同时主力资金由净流出转为净流入。以上均为观察思路，非操作指令。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伏主产业链2024-2026年深陷供需失衡与价格战，全行业连续两年大幅亏损：2025年9家头部光伏公司合计预亏最高约500亿元；2026年6月27日国家发布硅料/硅片/组件（电池）三环节强制性能耗国标、2027-01-01实施，被视为“反内卷”出清的关键制度工具；InfoLink口径下2026上半年全球组件出货TOP10总量同比首度大幅衰退31%。组件环节在价格战中处于价格接受者地位，出口退税取消与欧美贸易壁垒进一步压低行业盈利。</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供给端：2022-2023年大量产能投放造成全链条严重供过于求，2024年起组件集采价格跌破行业现金成本，全行业连续两年巨额亏损。</w:t>
      </w:r>
    </w:p>
    <w:p>
      <w:pPr>
        <w:pStyle w:val="ListParagraph"/>
        <w:numPr>
          <w:ilvl w:val="0"/>
          <w:numId w:val="2"/>
        </w:numPr>
        <w:spacing w:after="80" w:line="280"/>
      </w:pPr>
      <w:r>
        <w:rPr>
          <w:sz w:val="22"/>
          <w:szCs w:val="22"/>
        </w:rPr>
        <w:t xml:space="preserve">政策端：强制性能耗国标（硅料/硅片/组件三环节，2027-01-01实施）被视为淘汰落后产能的制度工具，行业处于“反内卷”出清前期，价格修复节奏仍不确定（国金证券点评）。</w:t>
      </w:r>
    </w:p>
    <w:p>
      <w:pPr>
        <w:pStyle w:val="ListParagraph"/>
        <w:numPr>
          <w:ilvl w:val="0"/>
          <w:numId w:val="2"/>
        </w:numPr>
        <w:spacing w:after="80" w:line="280"/>
      </w:pPr>
      <w:r>
        <w:rPr>
          <w:sz w:val="22"/>
          <w:szCs w:val="22"/>
        </w:rPr>
        <w:t xml:space="preserve">需求/贸易端：中国自2024-12-01起取消光伏产品出口退税（13%→0）；欧美关税、双反与本地化制造要求重塑竞争格局，海外高毛利市场成为盈利核心变量。</w:t>
      </w:r>
    </w:p>
    <w:p>
      <w:pPr>
        <w:pStyle w:val="ListParagraph"/>
        <w:numPr>
          <w:ilvl w:val="0"/>
          <w:numId w:val="2"/>
        </w:numPr>
        <w:spacing w:after="80" w:line="280"/>
      </w:pPr>
      <w:r>
        <w:rPr>
          <w:sz w:val="22"/>
          <w:szCs w:val="22"/>
        </w:rPr>
        <w:t xml:space="preserve">格局端：组件出货CR5高度集中，2026H1全球TOP10出货总量同比首度衰退31%；隆基/晶科并列第一梯队、天合/晶澳/通威居其后，头部企业同样亏损但幅度分化明显。</w:t>
      </w:r>
    </w:p>
    <w:p>
      <w:pPr>
        <w:pStyle w:val="ListParagraph"/>
        <w:numPr>
          <w:ilvl w:val="0"/>
          <w:numId w:val="2"/>
        </w:numPr>
        <w:spacing w:after="80" w:line="280"/>
      </w:pPr>
      <w:r>
        <w:rPr>
          <w:sz w:val="22"/>
          <w:szCs w:val="22"/>
        </w:rPr>
        <w:t xml:space="preserve">技术端：n型TOPCon为量产主流，BC为下一代重要路线；晶澳TOPCon+BC双线布局（TOPCon 26.73%/BC 28.2%认证效率）。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隆基绿能（601012.SH）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硅片全球龙头+一体化，押注BC技术路线；2026H1出货与晶科并列全球第一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2025年预亏60-65亿元（业绩预告区间）；2026H1归母净利润-36.84亿元、亏损扩大43.39%</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晶科能源（688223.SH）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组件出货并列第一，TOPCon为主+美国产能布局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2025年预亏59-69亿元（业绩预告区间）；2026H1归母净利润-30.76亿元、亏损同比微扩5.76%</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天合光能（688599.SH）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与晶澳同处第二梯队（2025年并列全球第三）；分布式品牌+跟踪支架+储能见长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2025年预亏65-75亿元、亏损同比扩大88.8%-117.8%（业绩预告区间）；2026H1亏损幅度居头部前列</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晶澳科技（002459.SZ）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垂直一体化自给率高，海外出货占比提升至68.46%（2026H1）；阿曼参股24.9%共建产能，TOPCon+BC双线，主动收缩美国资产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2025年归母净利润-46.08亿元（减亏）；2026H1归母净利润-26.63亿元（亏损扩大3.21%），为所列头部可比公司中亏损最小</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通威股份（600438.SH）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硅料+电池双龙头，组件后发、2026H1出货排名升至第五</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2025年预亏90-100亿元（业绩预告区间），为头部预告亏损最大；2026H1亏损额高于晶澳</w:t>
            </w:r>
          </w:p>
        </w:tc>
      </w:tr>
    </w:tbl>
    <w:p>
      <w:pPr>
        <w:spacing w:before="200"/>
      </w:pPr>
    </w:p>
    <w:p>
      <w:pPr>
        <w:spacing w:after="160" w:line="300"/>
      </w:pPr>
      <w:r>
        <w:rPr>
          <w:sz w:val="22"/>
          <w:szCs w:val="22"/>
        </w:rPr>
        <w:t xml:space="preserve">头部一体化组件公司2025-2026H1普遍亏损，说明行业性亏损具有周期性普遍性，但亏损幅度明显分化。晶澳是所列可比公司中亏损最小的一家：2025年归母净利润-46.08亿元（同比减亏），2026H1为-26.63亿元（同比扩大3.21%），优于隆基（H1亏36.84亿、扩大43.39%）、晶科（H1亏30.76亿、微扩5.76%）和天合（H1扩幅居前）；通威因硅料+电池双主业拖累亏损最大（2025年预亏90-100亿）。晶澳差异化要点：①电池组件出货连续多年稳居全球前三/四（2023年第四、2024年第三、2025年与天合并列第三、2026H1第四）；②海外出货占比明显高于多数国内同行（2026H1出货海外68.46%、海外营收123.4亿元同比+4.21%）；③以轻资本参股24.9%共建阿曼6GW电池+3GW组件，替代重资产出海；④经营现金流连续超15年为正、2025年+42.80亿元，营运资金管控强于部分同行；⑤2026H1整体毛利率转正至1.29%、电池环节毛利率13.34%，显示结构改善迹象，但组件毛利率仍为-1.74%、减值压力未消。</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行业产能过剩和组件价格战可能持续。2025年公司综合毛利率为-2.10%、组件毛利率为-4.03%，2026年上半年组件毛利率仍为-1.74%；若行业供需改善慢于预期，公司出货增长仍可能伴随收入下降或亏损扩大。</w:t>
      </w:r>
    </w:p>
    <w:p>
      <w:pPr>
        <w:pStyle w:val="ListParagraph"/>
        <w:numPr>
          <w:ilvl w:val="0"/>
          <w:numId w:val="2"/>
        </w:numPr>
        <w:spacing w:after="80" w:line="280"/>
      </w:pPr>
      <w:r>
        <w:rPr>
          <w:sz w:val="22"/>
          <w:szCs w:val="22"/>
        </w:rPr>
        <w:t xml:space="preserve">资产减值风险较高。2026年上半年公司计提资产减值准备6.86亿元，其中存货跌价损失4.04亿元、固定资产减值1.87亿元；截至2025年末存货账面价值100.58亿元，占归母净资产45.01%，若产品价格或相关产能盈利能力继续承压，可能产生进一步减值。</w:t>
      </w:r>
    </w:p>
    <w:p>
      <w:pPr>
        <w:pStyle w:val="ListParagraph"/>
        <w:numPr>
          <w:ilvl w:val="0"/>
          <w:numId w:val="2"/>
        </w:numPr>
        <w:spacing w:after="80" w:line="280"/>
      </w:pPr>
      <w:r>
        <w:rPr>
          <w:sz w:val="22"/>
          <w:szCs w:val="22"/>
        </w:rPr>
        <w:t xml:space="preserve">海外经营和贸易政策风险可能影响盈利。公司2026年上半年海外出货占比已升至68.46%，但出口退税取消、美国及其他市场的反倾销、反补贴、反规避措施、本地化制造要求以及地缘冲突和物流问题，可能增加税负、合规成本、履约索赔或限制部分市场销售；公司已公告转让美国子公司股权并收缩美国资产。</w:t>
      </w:r>
    </w:p>
    <w:p>
      <w:pPr>
        <w:pStyle w:val="ListParagraph"/>
        <w:numPr>
          <w:ilvl w:val="0"/>
          <w:numId w:val="2"/>
        </w:numPr>
        <w:spacing w:after="80" w:line="280"/>
      </w:pPr>
      <w:r>
        <w:rPr>
          <w:sz w:val="22"/>
          <w:szCs w:val="22"/>
        </w:rPr>
        <w:t xml:space="preserve">担保规模相对净资产较高。截至2026年8月31日，公司担保余额为610.25亿元，占2025年度经审计归母净资产的273.09%，其中合并报表范围外担保余额31.26亿元。虽然目前披露无逾期担保或涉及诉讼的担保，但被担保主体经营状况恶化仍可能形成或有损失和现金流压力。</w:t>
      </w:r>
    </w:p>
    <w:p>
      <w:pPr>
        <w:pStyle w:val="ListParagraph"/>
        <w:numPr>
          <w:ilvl w:val="0"/>
          <w:numId w:val="2"/>
        </w:numPr>
        <w:spacing w:after="80" w:line="280"/>
      </w:pPr>
      <w:r>
        <w:rPr>
          <w:sz w:val="22"/>
          <w:szCs w:val="22"/>
        </w:rPr>
        <w:t xml:space="preserve">公司连续亏损可能削弱资本实力和财务弹性。2024年、2025年及2026年上半年归母净利润均为负，2026年6月末归母净资产为197.61亿元；若盈利修复不及预期，可能进一步影响产能调整、技术投入及海外项目推进能力。</w:t>
      </w:r>
    </w:p>
    <w:p>
      <w:pPr>
        <w:pStyle w:val="ListParagraph"/>
        <w:numPr>
          <w:ilvl w:val="0"/>
          <w:numId w:val="2"/>
        </w:numPr>
        <w:spacing w:after="80" w:line="280"/>
      </w:pPr>
      <w:r>
        <w:rPr>
          <w:sz w:val="22"/>
          <w:szCs w:val="22"/>
        </w:rPr>
        <w:t xml:space="preserve">技术路线迭代可能导致现有资产和产品竞争力承压。公司同时布局TOPCon和BC技术，但TOPCon、BC及钙钛矿等路线仍在演进，若市场需求或量产效率快速转向其他路线，既有设备、产能和库存可能面临减值或销售价格压力。</w:t>
      </w:r>
    </w:p>
    <w:p>
      <w:pPr>
        <w:pStyle w:val="ListParagraph"/>
        <w:numPr>
          <w:ilvl w:val="0"/>
          <w:numId w:val="2"/>
        </w:numPr>
        <w:spacing w:after="80" w:line="280"/>
      </w:pPr>
      <w:r>
        <w:rPr>
          <w:sz w:val="22"/>
          <w:szCs w:val="22"/>
        </w:rPr>
        <w:t xml:space="preserve">短期股价仍处于技术弱势区间。截至2026年9月11日收盘价6.64元，接近52周低点6.57元，股价低于MA5、MA10和MA20，且9月11日出现放量下跌、近10个交易日主力资金合计净流出约1.10亿元；若6.50至6.57元区域失守，短线波动和下行压力可能进一步加大。</w:t>
      </w:r>
    </w:p>
    <w:p>
      <w:pPr>
        <w:pStyle w:val="ListParagraph"/>
        <w:numPr>
          <w:ilvl w:val="0"/>
          <w:numId w:val="2"/>
        </w:numPr>
        <w:spacing w:after="80" w:line="280"/>
      </w:pPr>
      <w:r>
        <w:rPr>
          <w:sz w:val="22"/>
          <w:szCs w:val="22"/>
        </w:rPr>
        <w:t xml:space="preserve">可转债转股价格暂未下修可能带来潜在股本与预期扰动。公司已触发“晶澳转债”转股价格向下修正条款，但董事会决定暂不修正，当前转股价格维持8.90元/股；后续转股价格安排及转债转股行为可能影响市场预期和股本结构。</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晶澳科技的中期盈利修复逻辑主要取决于组件价格和行业供需关系改善、海外高毛利市场占比继续提升、垂直一体化降本以及电池技术和储能业务放量。2026年上半年整体毛利率转正、电池业务保持较高毛利率、海外出货占比提升，说明业务结构已经出现改善迹象；行业强制性能耗国标将于2027年实施，也可能推动落后产能出清。但公司组件业务仍处于亏损状态，行业价格修复的时间和幅度尚不确定。</w:t>
      </w:r>
    </w:p>
    <w:p>
      <w:pPr>
        <w:spacing w:after="160" w:line="300"/>
      </w:pPr>
      <w:r>
        <w:rPr>
          <w:sz w:val="22"/>
          <w:szCs w:val="22"/>
        </w:rPr>
        <w:t xml:space="preserve">市场一致预期显示，2026年归母净利润均值仍为亏损27.10亿元，2027年和2028年分别预期实现盈利12.69亿元和28.32亿元，但机构预测区间较大，且部分2026年预测可能包含中报前数据，盈利拐点存在明显分歧。公司后续表现需要重点观察组件毛利率能否持续转正、海外订单履约和毛利能否维持、减值规模是否收窄，以及储能和阿曼项目能否形成有效增量。与此同时，较高担保余额、持续亏损和资产减值压力将影响盈利修复的确定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https://finance.sina.com.cn/stock/relnews/cn/2026-05-06/doc-inhwxaeq8483669.shtml — https://finance.sina.com.cn/stock/relnews/cn/2026-05-06/doc-inhwxaeq8483669.shtml</w:t>
      </w:r>
    </w:p>
    <w:p>
      <w:pPr>
        <w:spacing w:after="200"/>
      </w:pPr>
      <w:r>
        <w:rPr>
          <w:i/>
          <w:iCs/>
          <w:color w:val="595959"/>
          <w:sz w:val="18"/>
          <w:szCs w:val="18"/>
        </w:rPr>
        <w:t xml:space="preserve">https://wt.cfi.cn/p20260625002416.html — https://wt.cfi.cn/p20260625002416.html</w:t>
      </w:r>
    </w:p>
    <w:p>
      <w:pPr>
        <w:spacing w:after="200"/>
      </w:pPr>
      <w:r>
        <w:rPr>
          <w:i/>
          <w:iCs/>
          <w:color w:val="595959"/>
          <w:sz w:val="18"/>
          <w:szCs w:val="18"/>
        </w:rPr>
        <w:t xml:space="preserve">http://www.ddx.gubit.cn/mango/jingying/002459.html — http://www.ddx.gubit.cn/mango/jingying/002459.html</w:t>
      </w:r>
    </w:p>
    <w:p>
      <w:pPr>
        <w:spacing w:after="200"/>
      </w:pPr>
      <w:r>
        <w:rPr>
          <w:i/>
          <w:iCs/>
          <w:color w:val="595959"/>
          <w:sz w:val="18"/>
          <w:szCs w:val="18"/>
        </w:rPr>
        <w:t xml:space="preserve">http://stock.10jqka.com.cn/20260828/c679381511.shtml — http://stock.10jqka.com.cn/20260828/c679381511.shtml</w:t>
      </w:r>
    </w:p>
    <w:p>
      <w:pPr>
        <w:spacing w:after="200"/>
      </w:pPr>
      <w:r>
        <w:rPr>
          <w:i/>
          <w:iCs/>
          <w:color w:val="595959"/>
          <w:sz w:val="18"/>
          <w:szCs w:val="18"/>
        </w:rPr>
        <w:t xml:space="preserve">https://www.bjnews.com.cn/detail/1787907917129778.html — https://www.bjnews.com.cn/detail/1787907917129778.html</w:t>
      </w:r>
    </w:p>
    <w:p>
      <w:pPr>
        <w:spacing w:after="200"/>
      </w:pPr>
      <w:r>
        <w:rPr>
          <w:i/>
          <w:iCs/>
          <w:color w:val="595959"/>
          <w:sz w:val="18"/>
          <w:szCs w:val="18"/>
        </w:rPr>
        <w:t xml:space="preserve">https://stock.stockstar.com/JC2026082800018654.shtml — https://stock.stockstar.com/JC2026082800018654.shtml</w:t>
      </w:r>
    </w:p>
    <w:p>
      <w:pPr>
        <w:spacing w:after="200"/>
      </w:pPr>
      <w:r>
        <w:rPr>
          <w:i/>
          <w:iCs/>
          <w:color w:val="595959"/>
          <w:sz w:val="18"/>
          <w:szCs w:val="18"/>
        </w:rPr>
        <w:t xml:space="preserve">https://emweb.securities.eastmoney.com/ProfitForecast/Index?type=web&amp;code=SZ002459 — https://emweb.securities.eastmoney.com/ProfitForecast/Index?type=web&amp;code=SZ002459</w:t>
      </w:r>
    </w:p>
    <w:p>
      <w:pPr>
        <w:spacing w:after="200"/>
      </w:pPr>
      <w:r>
        <w:rPr>
          <w:i/>
          <w:iCs/>
          <w:color w:val="595959"/>
          <w:sz w:val="18"/>
          <w:szCs w:val="18"/>
        </w:rPr>
        <w:t xml:space="preserve">https://basic.10jqka.com.cn/002459/worth.html — https://basic.10jqka.com.cn/002459/worth.html</w:t>
      </w:r>
    </w:p>
    <w:p>
      <w:pPr>
        <w:spacing w:after="200"/>
      </w:pPr>
      <w:r>
        <w:rPr>
          <w:i/>
          <w:iCs/>
          <w:color w:val="595959"/>
          <w:sz w:val="18"/>
          <w:szCs w:val="18"/>
        </w:rPr>
        <w:t xml:space="preserve">http://stock.finance.sina.com.cn/stock/go.php/vReport_Show/kind/lastest/rptid/841425759963/index.phtml — http://stock.finance.sina.com.cn/stock/go.php/vReport_Show/kind/lastest/rptid/841425759963/index.phtml</w:t>
      </w:r>
    </w:p>
    <w:p>
      <w:pPr>
        <w:spacing w:after="200"/>
      </w:pPr>
      <w:r>
        <w:rPr>
          <w:i/>
          <w:iCs/>
          <w:color w:val="595959"/>
          <w:sz w:val="18"/>
          <w:szCs w:val="18"/>
        </w:rPr>
        <w:t xml:space="preserve">http://stock.finance.sina.com.cn/stock/go.php/vReport_Show/kind/search/rptid/831298632566/index.phtml — http://stock.finance.sina.com.cn/stock/go.php/vReport_Show/kind/search/rptid/831298632566/index.phtml</w:t>
      </w:r>
    </w:p>
    <w:p>
      <w:pPr>
        <w:spacing w:after="200"/>
      </w:pPr>
      <w:r>
        <w:rPr>
          <w:i/>
          <w:iCs/>
          <w:color w:val="595959"/>
          <w:sz w:val="18"/>
          <w:szCs w:val="18"/>
        </w:rPr>
        <w:t xml:space="preserve">https://www.stcn.com/quotes/index/sz002459.html — https://www.stcn.com/quotes/index/sz002459.html</w:t>
      </w:r>
    </w:p>
    <w:p>
      <w:pPr>
        <w:spacing w:after="200"/>
      </w:pPr>
      <w:r>
        <w:rPr>
          <w:i/>
          <w:iCs/>
          <w:color w:val="595959"/>
          <w:sz w:val="18"/>
          <w:szCs w:val="18"/>
        </w:rPr>
        <w:t xml:space="preserve">http://vip.stock.finance.sina.com.cn/quotes_service/view/vMS_tradedetail.php?symbol=sz002459 — http://vip.stock.finance.sina.com.cn/quotes_service/view/vMS_tradedetail.php?symbol=sz002459</w:t>
      </w:r>
    </w:p>
    <w:p>
      <w:pPr>
        <w:spacing w:after="200"/>
      </w:pPr>
      <w:r>
        <w:rPr>
          <w:i/>
          <w:iCs/>
          <w:color w:val="595959"/>
          <w:sz w:val="18"/>
          <w:szCs w:val="18"/>
        </w:rPr>
        <w:t xml:space="preserve">晶澳科技(002459)公司公告_新浪财经_新浪网 — https://money.finance.sina.com.cn/corp/go.php/vCB_AllBulletin/stockid/002459.phtml</w:t>
      </w:r>
    </w:p>
    <w:p>
      <w:pPr>
        <w:spacing w:after="200"/>
      </w:pPr>
      <w:r>
        <w:rPr>
          <w:i/>
          <w:iCs/>
          <w:color w:val="595959"/>
          <w:sz w:val="18"/>
          <w:szCs w:val="18"/>
        </w:rPr>
        <w:t xml:space="preserve">晶澳科技(002459)_公司公告_晶澳科技：2026年半年度业绩预告新浪财经_新浪网 — https://money.finance.sina.com.cn/corp/view/vCB_AllBulletinDetail.php?id=12446997&amp;stockid=002459</w:t>
      </w:r>
    </w:p>
    <w:p>
      <w:pPr>
        <w:spacing w:after="200"/>
      </w:pPr>
      <w:r>
        <w:rPr>
          <w:i/>
          <w:iCs/>
          <w:color w:val="595959"/>
          <w:sz w:val="18"/>
          <w:szCs w:val="18"/>
        </w:rPr>
        <w:t xml:space="preserve">晶澳科技(002459)_公司公告_晶澳科技：2026年半年度报告新浪财经_新浪网 — https://vip.stock.finance.sina.com.cn/corp/view/vCB_AllBulletinDetail.php?id=12563518&amp;stockid=002459</w:t>
      </w:r>
    </w:p>
    <w:p>
      <w:pPr>
        <w:spacing w:after="200"/>
      </w:pPr>
      <w:r>
        <w:rPr>
          <w:i/>
          <w:iCs/>
          <w:color w:val="595959"/>
          <w:sz w:val="18"/>
          <w:szCs w:val="18"/>
        </w:rPr>
        <w:t xml:space="preserve">晶澳科技(002459)_公司公告_晶澳科技：关于2026年半年度计提资产减值准备的公告新浪财经_新浪网 — https://money.finance.sina.com.cn/corp/view/vCB_AllBulletinDetail.php?id=12563516&amp;stockid=002459</w:t>
      </w:r>
    </w:p>
    <w:p>
      <w:pPr>
        <w:spacing w:after="200"/>
      </w:pPr>
      <w:r>
        <w:rPr>
          <w:i/>
          <w:iCs/>
          <w:color w:val="595959"/>
          <w:sz w:val="18"/>
          <w:szCs w:val="18"/>
        </w:rPr>
        <w:t xml:space="preserve">晶澳科技(002459)_公司公告_晶澳科技：投资者关系活动记录表(2026年8月28日)新浪财经_新浪网 — https://money.finance.sina.com.cn/corp/view/vCB_AllBulletinDetail.php?id=12573668&amp;stockid=002459&amp;utm_source=openai</w:t>
      </w:r>
    </w:p>
    <w:p>
      <w:pPr>
        <w:spacing w:after="200"/>
      </w:pPr>
      <w:r>
        <w:rPr>
          <w:i/>
          <w:iCs/>
          <w:color w:val="595959"/>
          <w:sz w:val="18"/>
          <w:szCs w:val="18"/>
        </w:rPr>
        <w:t xml:space="preserve">晶澳科技(002459)_公司公告_晶澳科技：关于2026年度公司提供担保的进展公告新浪财经_新浪网 — https://money.finance.sina.com.cn/corp/view/vCB_AllBulletinDetail.php?id=12583381&amp;stockid=002459</w:t>
      </w:r>
    </w:p>
    <w:p>
      <w:pPr>
        <w:spacing w:after="200"/>
      </w:pPr>
      <w:r>
        <w:rPr>
          <w:i/>
          <w:iCs/>
          <w:color w:val="595959"/>
          <w:sz w:val="18"/>
          <w:szCs w:val="18"/>
        </w:rPr>
        <w:t xml:space="preserve">晶澳科技(002459)_公司公告_晶澳科技：关于不向下修正“晶澳转债”转股价格的公告新浪财经_新浪网 — https://money.finance.sina.com.cn/corp/view/vCB_AllBulletinDetail.php?id=12583384&amp;stockid=002459</w:t>
      </w:r>
    </w:p>
    <w:p>
      <w:pPr>
        <w:spacing w:after="200"/>
      </w:pPr>
      <w:r>
        <w:rPr>
          <w:i/>
          <w:iCs/>
          <w:color w:val="595959"/>
          <w:sz w:val="18"/>
          <w:szCs w:val="18"/>
        </w:rPr>
        <w:t xml:space="preserve">晶澳科技(002459)_公司公告_晶澳科技：关于参加2026年河北辖区上市公司投资者网上集体接待日暨2026年半年报业绩说明会的公告新浪财经_新浪网 — https://money.finance.sina.com.cn/corp/view/vCB_AllBulletinDetail.php?id=12595143&amp;stockid=002459</w:t>
      </w:r>
    </w:p>
    <w:p>
      <w:pPr>
        <w:spacing w:after="200"/>
      </w:pPr>
      <w:r>
        <w:rPr>
          <w:i/>
          <w:iCs/>
          <w:color w:val="595959"/>
          <w:sz w:val="18"/>
          <w:szCs w:val="18"/>
        </w:rPr>
        <w:t xml:space="preserve">晶澳科技: 关于回购公司股份方案实施完毕暨回购实施结果的公告_股票频道_证券之星 — https://stock.stockstar.com/notice/SN2026030200035193.shtml?utm_source=openai</w:t>
      </w:r>
    </w:p>
    <w:p>
      <w:pPr>
        <w:spacing w:after="200"/>
      </w:pPr>
      <w:r>
        <w:rPr>
          <w:i/>
          <w:iCs/>
          <w:color w:val="595959"/>
          <w:sz w:val="18"/>
          <w:szCs w:val="18"/>
        </w:rPr>
        <w:t xml:space="preserve">晶澳科技(002459) 最新动态_F10_同花顺金融服务网 — https://basic.10jqka.com.cn/002459/?utm_source=openai</w:t>
      </w:r>
    </w:p>
    <w:p>
      <w:pPr>
        <w:spacing w:after="200"/>
      </w:pPr>
      <w:r>
        <w:rPr>
          <w:i/>
          <w:iCs/>
          <w:color w:val="595959"/>
          <w:sz w:val="18"/>
          <w:szCs w:val="18"/>
        </w:rPr>
        <w:t xml:space="preserve">晶澳科技十大流通股东格局生变：北向资金增持，南京州博方维企业管理等减持_新浪财经_新浪网 — https://finance.sina.com.cn/stock/aiassist/sdltgdbh/2026-08-28/doc-inipvvzx5764285.shtml?utm_source=openai</w:t>
      </w:r>
    </w:p>
    <w:p>
      <w:pPr>
        <w:spacing w:after="200"/>
      </w:pPr>
      <w:r>
        <w:rPr>
          <w:i/>
          <w:iCs/>
          <w:color w:val="595959"/>
          <w:sz w:val="18"/>
          <w:szCs w:val="18"/>
        </w:rPr>
        <w:t xml:space="preserve">晶澳科技(002459)_公司公告_晶澳科技：2026年半年度报告新浪财经_新浪网 — https://money.finance.sina.com.cn/corp/view/vCB_AllBulletinDetail.php?id=12563518&amp;stockid=002459</w:t>
      </w:r>
    </w:p>
    <w:p>
      <w:pPr>
        <w:spacing w:after="200"/>
      </w:pPr>
      <w:r>
        <w:rPr>
          <w:i/>
          <w:iCs/>
          <w:color w:val="595959"/>
          <w:sz w:val="18"/>
          <w:szCs w:val="18"/>
        </w:rPr>
        <w:t xml:space="preserve">晶澳科技(002459)_公司公告_晶澳科技：2026年半年度报告摘要新浪财经_新浪网 — https://money.finance.sina.com.cn/corp/view/vCB_AllBulletinDetail.php?id=12563563&amp;stockid=002459</w:t>
      </w:r>
    </w:p>
    <w:p>
      <w:pPr>
        <w:spacing w:after="200"/>
      </w:pPr>
      <w:r>
        <w:rPr>
          <w:i/>
          <w:iCs/>
          <w:color w:val="595959"/>
          <w:sz w:val="18"/>
          <w:szCs w:val="18"/>
        </w:rPr>
        <w:t xml:space="preserve">晶澳科技(002459)_股票行情，行情首页_中财网 — https://data.cfi.cn/002459.html?utm_source=openai</w:t>
      </w:r>
    </w:p>
    <w:p>
      <w:pPr>
        <w:spacing w:after="200"/>
      </w:pPr>
      <w:r>
        <w:rPr>
          <w:i/>
          <w:iCs/>
          <w:color w:val="595959"/>
          <w:sz w:val="18"/>
          <w:szCs w:val="18"/>
        </w:rPr>
        <w:t xml:space="preserve">晶澳科技(002459)股票历史数据:历史行情,价格,走势图表_英为财情Investing.com — https://cn.investing.com/equities/tianye-tolian-a-historical-data?utm_source=openai</w:t>
      </w:r>
    </w:p>
    <w:p>
      <w:pPr>
        <w:spacing w:after="200"/>
      </w:pPr>
      <w:r>
        <w:rPr>
          <w:i/>
          <w:iCs/>
          <w:color w:val="595959"/>
          <w:sz w:val="18"/>
          <w:szCs w:val="18"/>
        </w:rPr>
        <w:t xml:space="preserve">晶澳科技(002459.SZ) 股票行情_历史数据_主力资金 - 大波浪数据 — https://www.yyqyx.com/s/002459.SZ</w:t>
      </w:r>
    </w:p>
    <w:p>
      <w:pPr>
        <w:spacing w:after="200"/>
      </w:pPr>
      <w:r>
        <w:rPr>
          <w:i/>
          <w:iCs/>
          <w:color w:val="595959"/>
          <w:sz w:val="18"/>
          <w:szCs w:val="18"/>
        </w:rPr>
        <w:t xml:space="preserve">晶澳科技(002459.SZ) 股票行情_历史数据_主力资金 - 大波浪数据 — https://www.yyqyx.com/s/002459.SZ?utm_source=openai</w:t>
      </w:r>
    </w:p>
    <w:p>
      <w:pPr>
        <w:spacing w:after="200"/>
      </w:pPr>
      <w:r>
        <w:rPr>
          <w:i/>
          <w:iCs/>
          <w:color w:val="595959"/>
          <w:sz w:val="18"/>
          <w:szCs w:val="18"/>
        </w:rPr>
        <w:t xml:space="preserve">本报告由AI基于公开渠道信息自动检索、整理并生成，信息截至 截至2026年9月11日收盘；技术指标采用大波浪数据的不复权日线口径。中财网与大波浪数据一致显示收盘价6.64元，英为财情显示6.65元，存在供应商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2026-09-13T14:39:01.773Z</dcterms:created>
  <dcterms:modified xsi:type="dcterms:W3CDTF">2026-09-13T14:39:01.773Z</dcterms:modified>
</cp:coreProperties>
</file>

<file path=docProps/custom.xml><?xml version="1.0" encoding="utf-8"?>
<Properties xmlns="http://schemas.openxmlformats.org/officeDocument/2006/custom-properties" xmlns:vt="http://schemas.openxmlformats.org/officeDocument/2006/docPropsVTypes"/>
</file>