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立讯精密工业股份有限公司 (002475)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行业：消费电子、通信及数据中心、汽车电子精密制造</w:t>
      </w:r>
    </w:p>
    <w:p>
      <w:pPr>
        <w:jc w:val="center"/>
      </w:pPr>
      <w:r>
        <w:rPr>
          <w:color w:val="595959"/>
          <w:sz w:val="22"/>
          <w:szCs w:val="22"/>
        </w:rPr>
        <w:t xml:space="preserve">报告日期：2026年9月13日</w:t>
      </w:r>
    </w:p>
    <w:p>
      <w:pPr>
        <w:jc w:val="center"/>
      </w:pPr>
      <w:r>
        <w:rPr>
          <w:color w:val="595959"/>
          <w:sz w:val="20"/>
          <w:szCs w:val="20"/>
        </w:rPr>
        <w:t xml:space="preserve">数据基准日：2026年9月11日收盘；2026年9月13日为周日，A股休市。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立讯精密2026年上半年实现营业收入1,745.04亿元，同比增长40.16%；归母净利润78.43亿元，同比增长18.04%，收入增速明显快于利润增速。同期扣非归母净利润同比增长约6.47%，经营活动现金流净额为负24.46亿元，显示规模扩张和业务结构升级仍伴随利润率及现金流压力。</w:t>
      </w:r>
    </w:p>
    <w:p>
      <w:pPr>
        <w:spacing w:after="160" w:line="300"/>
      </w:pPr>
      <w:r>
        <w:rPr>
          <w:sz w:val="22"/>
          <w:szCs w:val="22"/>
        </w:rPr>
        <w:t xml:space="preserve">公司增长动力正由消费电子基本盘向汽车电子、通信及数据中心拓展。2026年上半年消费电子收入同比增长19.27%，汽车电子收入同比增长274.10%，通信及数据中心收入同比增长49.66%；2025年汽车电子和通信及数据中心收入占比分别已提升至11.81%和7.39%，业务结构较2024年更加多元化。</w:t>
      </w:r>
    </w:p>
    <w:p>
      <w:pPr>
        <w:spacing w:after="160" w:line="300"/>
      </w:pPr>
      <w:r>
        <w:rPr>
          <w:sz w:val="22"/>
          <w:szCs w:val="22"/>
        </w:rPr>
        <w:t xml:space="preserve">2025年公司实现营业收入3,323.44亿元，同比增长23.64%，归母净利润166.00亿元，同比增长24.20%，综合毛利率为11.91%。通信及数据中心毛利率18.40%、汽车电子毛利率15.75%，高于消费电子10.64%，新业务占比提升具备改善综合盈利能力的潜力，但汽车电子快速扩张、莱尼整合、海外产能投入及客户价格竞争仍对利润率形成约束。</w:t>
      </w:r>
    </w:p>
    <w:p>
      <w:pPr>
        <w:spacing w:after="160" w:line="300"/>
      </w:pPr>
      <w:r>
        <w:rPr>
          <w:sz w:val="22"/>
          <w:szCs w:val="22"/>
        </w:rPr>
        <w:t xml:space="preserve">截至2026年9月11日，公司股价为55.39元，动态市盈率约24.08倍，技术面处于急跌后的震荡修复阶段，股价接近或低于多条中长期均线，短期动能有所修复但中期趋势尚未完全转强。按机构样本预测，2026年至2028年归母净利润均值约为212.01亿元、280.21亿元和348.08亿元，当前估值已计入部分未来增长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002475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立讯精密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2025年年度报告</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报告期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2025年1月1日至2025年12月31日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年度报告披露日期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2026年4月15日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计算机、通信和其他电子设备制造业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消费电子精密制造、通信及数据中心、汽车电子等</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制造平台定位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覆盖“零组件—模组—系统集成—整机制造”的综合精密制造平台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2025年外销收入占比</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85.22%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2025年内销收入占比</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14.78%</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消费电子：2025年收入2642.66亿元，占营业收入79.52%，同比增长13.37%，毛利率10.64%。产品覆盖连接器、线束、声学器件、模组、SiP系统级封装、AI眼镜、AR/VR/XR眼镜、智能穿戴、智能家居、路由器、无人机及整机组装等。</w:t>
      </w:r>
    </w:p>
    <w:p>
      <w:pPr>
        <w:pStyle w:val="ListParagraph"/>
        <w:numPr>
          <w:ilvl w:val="0"/>
          <w:numId w:val="2"/>
        </w:numPr>
        <w:spacing w:after="80" w:line="280"/>
      </w:pPr>
      <w:r>
        <w:rPr>
          <w:sz w:val="22"/>
          <w:szCs w:val="22"/>
        </w:rPr>
        <w:t xml:space="preserve">通信及数据中心：2025年收入245.68亿元，占营业收入7.39%，同比增长33.81%，毛利率18.40%。产品覆盖高速铜互联、高速光互联、数据中心热管理、数据中心电源、通信网络设备及服务器整机相关产品。</w:t>
      </w:r>
    </w:p>
    <w:p>
      <w:pPr>
        <w:pStyle w:val="ListParagraph"/>
        <w:numPr>
          <w:ilvl w:val="0"/>
          <w:numId w:val="2"/>
        </w:numPr>
        <w:spacing w:after="80" w:line="280"/>
      </w:pPr>
      <w:r>
        <w:rPr>
          <w:sz w:val="22"/>
          <w:szCs w:val="22"/>
        </w:rPr>
        <w:t xml:space="preserve">汽车电子：2025年收入392.55亿元，占营业收入11.81%，同比增长185.34%，毛利率15.75%。产品覆盖高压、低压、高速及以太网连接器，整车高低压线束，动力电池线束，智能驾驶域控制器、智能座舱、毫米波雷达、HUD、EPS、线控制动及线控转向等。</w:t>
      </w:r>
    </w:p>
    <w:p>
      <w:pPr>
        <w:pStyle w:val="ListParagraph"/>
        <w:numPr>
          <w:ilvl w:val="0"/>
          <w:numId w:val="2"/>
        </w:numPr>
        <w:spacing w:after="80" w:line="280"/>
      </w:pPr>
      <w:r>
        <w:rPr>
          <w:sz w:val="22"/>
          <w:szCs w:val="22"/>
        </w:rPr>
        <w:t xml:space="preserve">其他业务：2025年收入42.56亿元，占营业收入1.28%。</w:t>
      </w:r>
    </w:p>
    <w:p>
      <w:pPr>
        <w:pStyle w:val="ListParagraph"/>
        <w:numPr>
          <w:ilvl w:val="0"/>
          <w:numId w:val="2"/>
        </w:numPr>
        <w:spacing w:after="80" w:line="280"/>
      </w:pPr>
      <w:r>
        <w:rPr>
          <w:sz w:val="22"/>
          <w:szCs w:val="22"/>
        </w:rPr>
        <w:t xml:space="preserve">业务结构变化：消费电子收入占比由2024年的86.72%降至2025年的79.52%，汽车电子占比由5.12%升至11.81%，通信及数据中心占比由6.83%升至7.39%，业务结构由消费电子单一主导转向消费电子基本盘加汽车电子和AI数据中心第二增长曲线。</w:t>
      </w:r>
    </w:p>
    <w:p>
      <w:pPr>
        <w:pStyle w:val="ListParagraph"/>
        <w:numPr>
          <w:ilvl w:val="0"/>
          <w:numId w:val="2"/>
        </w:numPr>
        <w:spacing w:after="80" w:line="280"/>
      </w:pPr>
      <w:r>
        <w:rPr>
          <w:sz w:val="22"/>
          <w:szCs w:val="22"/>
        </w:rPr>
        <w:t xml:space="preserve">产能与制造网络：公司未披露统一口径的总产能数字；制造主体覆盖中国大陆、越南、印度、墨西哥、新加坡、日本、美国及欧洲等地区，并通过越南、墨西哥及欧洲等基地构建全球交付框架。</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立讯精密位于电子制造产业链中游，业务从连接器、连接线逐步延伸至零组件、模组、系统集成、整机制造，并向汽车Tier 1和AI数据中心基础设施拓展。</w:t>
      </w:r>
    </w:p>
    <w:p>
      <w:pPr>
        <w:pStyle w:val="ListParagraph"/>
        <w:numPr>
          <w:ilvl w:val="0"/>
          <w:numId w:val="2"/>
        </w:numPr>
        <w:spacing w:after="80" w:line="280"/>
      </w:pPr>
      <w:r>
        <w:rPr>
          <w:sz w:val="22"/>
          <w:szCs w:val="22"/>
        </w:rPr>
        <w:t xml:space="preserve">实际采购内容包括铜及铜合金、铝材等导电材料，端子、接插件、线材及屏蔽材料，工程塑料、绝缘材料、LCP等高性能材料，电子元器件、芯片、光电器件、功率器件，散热材料、液冷部件、电源模块，以及精密模具、自动化设备和生产线设备。</w:t>
      </w:r>
    </w:p>
    <w:p>
      <w:pPr>
        <w:pStyle w:val="ListParagraph"/>
        <w:numPr>
          <w:ilvl w:val="0"/>
          <w:numId w:val="2"/>
        </w:numPr>
        <w:spacing w:after="80" w:line="280"/>
      </w:pPr>
      <w:r>
        <w:rPr>
          <w:sz w:val="22"/>
          <w:szCs w:val="22"/>
        </w:rPr>
        <w:t xml:space="preserve">连接器和线束产品的主要材料包括铜材、塑胶和端子；数据中心产品对光电器件、铜缆、高速连接器、散热和电源模块的依赖更高；汽车业务主要涉及铜、铝、线材、连接器、控制器及汽车电子元件。</w:t>
      </w:r>
    </w:p>
    <w:p>
      <w:pPr>
        <w:pStyle w:val="ListParagraph"/>
        <w:numPr>
          <w:ilvl w:val="0"/>
          <w:numId w:val="2"/>
        </w:numPr>
        <w:spacing w:after="80" w:line="280"/>
      </w:pPr>
      <w:r>
        <w:rPr>
          <w:sz w:val="22"/>
          <w:szCs w:val="22"/>
        </w:rPr>
        <w:t xml:space="preserve">铜材等上游材料具有一定商品属性，价格受大宗商品价格影响，公司整体更接近成本接受者；公司可通过规模采购、自动化、材料替代、工艺优化、垂直整合和良率提升部分对冲成本压力。</w:t>
      </w:r>
    </w:p>
    <w:p>
      <w:pPr>
        <w:pStyle w:val="ListParagraph"/>
        <w:numPr>
          <w:ilvl w:val="0"/>
          <w:numId w:val="2"/>
        </w:numPr>
        <w:spacing w:after="80" w:line="280"/>
      </w:pPr>
      <w:r>
        <w:rPr>
          <w:sz w:val="22"/>
          <w:szCs w:val="22"/>
        </w:rPr>
        <w:t xml:space="preserve">行业研究资料认为，连接器行业上游主要为金属与塑胶材料，供应商议价能力总体弱于下游客户议价能力；具体采购价格和材料占比在研究纪要中未披露，且该判断主要来自行业研究资料，需以公司内部经营数据为准。</w:t>
      </w:r>
    </w:p>
    <w:p>
      <w:pPr>
        <w:pStyle w:val="ListParagraph"/>
        <w:numPr>
          <w:ilvl w:val="0"/>
          <w:numId w:val="2"/>
        </w:numPr>
        <w:spacing w:after="80" w:line="280"/>
      </w:pPr>
      <w:r>
        <w:rPr>
          <w:sz w:val="22"/>
          <w:szCs w:val="22"/>
        </w:rPr>
        <w:t xml:space="preserve">2025年前五大供应商采购金额1320.01亿元，占年度采购总额52.97%；第一大供应商采购金额1138.54亿元，占年度采购总额45.69%。上述数据为2025年年度报告口径。</w:t>
      </w:r>
    </w:p>
    <w:p>
      <w:pPr>
        <w:pStyle w:val="ListParagraph"/>
        <w:numPr>
          <w:ilvl w:val="0"/>
          <w:numId w:val="2"/>
        </w:numPr>
        <w:spacing w:after="80" w:line="280"/>
      </w:pPr>
      <w:r>
        <w:rPr>
          <w:sz w:val="22"/>
          <w:szCs w:val="22"/>
        </w:rPr>
        <w:t xml:space="preserve">年报对供应商名称进行了匿名化处理，无法据公开年报确认第一大供应商身份；供应商可能同时承担客户指定采购、代采或综合供应职能，因此不能简单将集中度等同于单一原材料供应商风险。</w:t>
      </w:r>
    </w:p>
    <w:p>
      <w:pPr>
        <w:pStyle w:val="ListParagraph"/>
        <w:numPr>
          <w:ilvl w:val="0"/>
          <w:numId w:val="2"/>
        </w:numPr>
        <w:spacing w:after="80" w:line="280"/>
      </w:pPr>
      <w:r>
        <w:rPr>
          <w:sz w:val="22"/>
          <w:szCs w:val="22"/>
        </w:rPr>
        <w:t xml:space="preserve">下游客户包括消费电子品牌及ODM/OEM客户，全球云服务商、AI服务器和网络设备客户，传统汽车及新能源汽车主机厂和汽车一级供应商，以及通信设备商和运营商相关供应链客户。</w:t>
      </w:r>
    </w:p>
    <w:p>
      <w:pPr>
        <w:pStyle w:val="ListParagraph"/>
        <w:numPr>
          <w:ilvl w:val="0"/>
          <w:numId w:val="2"/>
        </w:numPr>
        <w:spacing w:after="80" w:line="280"/>
      </w:pPr>
      <w:r>
        <w:rPr>
          <w:sz w:val="22"/>
          <w:szCs w:val="22"/>
        </w:rPr>
        <w:t xml:space="preserve">2025年前五大客户销售金额2161.71亿元，占年度销售总额65.04%；第一大客户销售金额1883.81亿元，占比56.68%。上述数据为2025年年度报告口径，客户名称被匿名化披露，无法仅凭年报确认具体客户身份。</w:t>
      </w:r>
    </w:p>
    <w:p>
      <w:pPr>
        <w:pStyle w:val="ListParagraph"/>
        <w:numPr>
          <w:ilvl w:val="0"/>
          <w:numId w:val="2"/>
        </w:numPr>
        <w:spacing w:after="80" w:line="280"/>
      </w:pPr>
      <w:r>
        <w:rPr>
          <w:sz w:val="22"/>
          <w:szCs w:val="22"/>
        </w:rPr>
        <w:t xml:space="preserve">关于第一大客户通常被市场视为核心海外消费电子客户的判断，研究纪要明确指出并非公司年报直接确认，不应作为确定事实使用；客户集中度数据来源主要为公司2025年年度报告，具体客户结构仍应以最新年报为准。</w:t>
      </w:r>
    </w:p>
    <w:p>
      <w:pPr>
        <w:pStyle w:val="ListParagraph"/>
        <w:numPr>
          <w:ilvl w:val="0"/>
          <w:numId w:val="2"/>
        </w:numPr>
        <w:spacing w:after="80" w:line="280"/>
      </w:pPr>
      <w:r>
        <w:rPr>
          <w:sz w:val="22"/>
          <w:szCs w:val="22"/>
        </w:rPr>
        <w:t xml:space="preserve">消费电子客户通常具有较强议价能力，供应商需要承担年度降价、快速迭代、质量认证和产能配套要求；进入头部客户供应链后，认证周期和转换成本也形成一定客户粘性。</w:t>
      </w:r>
    </w:p>
    <w:p>
      <w:pPr>
        <w:pStyle w:val="ListParagraph"/>
        <w:numPr>
          <w:ilvl w:val="0"/>
          <w:numId w:val="2"/>
        </w:numPr>
        <w:spacing w:after="80" w:line="280"/>
      </w:pPr>
      <w:r>
        <w:rPr>
          <w:sz w:val="22"/>
          <w:szCs w:val="22"/>
        </w:rPr>
        <w:t xml:space="preserve">汽车电子客户认证周期较长、质量可靠性要求较高，主机厂及一级供应商可能通过年度降价、平台竞价和项目定点压缩供应商利润；规模化、全球交付和客户平台导入能力较为关键。</w:t>
      </w:r>
    </w:p>
    <w:p>
      <w:pPr>
        <w:pStyle w:val="ListParagraph"/>
        <w:numPr>
          <w:ilvl w:val="0"/>
          <w:numId w:val="2"/>
        </w:numPr>
        <w:spacing w:after="80" w:line="280"/>
      </w:pPr>
      <w:r>
        <w:rPr>
          <w:sz w:val="22"/>
          <w:szCs w:val="22"/>
        </w:rPr>
        <w:t xml:space="preserve">通信及数据中心客户集中于头部云厂商、服务器厂商和设备商，产品技术迭代、认证和技术门槛较高，但大客户集中度同样较高。</w:t>
      </w:r>
    </w:p>
    <w:p>
      <w:pPr>
        <w:pStyle w:val="ListParagraph"/>
        <w:numPr>
          <w:ilvl w:val="0"/>
          <w:numId w:val="2"/>
        </w:numPr>
        <w:spacing w:after="80" w:line="280"/>
      </w:pPr>
      <w:r>
        <w:rPr>
          <w:sz w:val="22"/>
          <w:szCs w:val="22"/>
        </w:rPr>
        <w:t xml:space="preserve">截至2025年12月31日，应收账款484.39亿元，占全年营业收入约14.57%；存货423.33亿元，占约12.74%；预付款项14.41亿元，占约0.43%；应付账款809.11亿元，占约24.35%；合同负债9.31亿元，占约0.28%。应付账款绝对额高于应收账款和预付款项，显示公司在供应链结算中具备一定账期和规模采购优势，但不能据此认定对所有上游供应商均有强议价权。2025年应收账款周转天数约43.87天，2025年上半年披露为46.5天；该周转天数主要来自财务数据整理平台和投资者关系活动记录，年报未直接列示同口径数据，存在来源差异。上述数据结合客户集中度较高、外销收入占比85.22%的情况，表明回款整体处于可控范围，但大客户订单和结算政策变化可能影响营运资金。</w:t>
      </w:r>
    </w:p>
    <w:p>
      <w:pPr>
        <w:pStyle w:val="ListParagraph"/>
        <w:numPr>
          <w:ilvl w:val="0"/>
          <w:numId w:val="2"/>
        </w:numPr>
        <w:spacing w:after="80" w:line="280"/>
      </w:pPr>
      <w:r>
        <w:rPr>
          <w:sz w:val="22"/>
          <w:szCs w:val="22"/>
        </w:rPr>
        <w:t xml:space="preserve">公司上下游均存在较高集中度：2025年前五大供应商采购占比52.97%、第一大供应商占比45.69%；前五大客户销售占比65.04%、第一大客户占比56.68%。供应商和客户名称均被年报匿名化处理，相关集中度数据为2025年年度报告口径；客户具体身份及供应商实际承担的采购职能无法仅凭公开年报交叉确认，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12.28%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消费电子业务规模扩大，公司仍以连接器、线束和组装制造为主，规模效应和制造效率支撑综合毛利率维持在12%左右。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行业需求和供应链环境波动，人工、物流、材料及客户价格压力对利润率形成压制，综合毛利率小幅下降。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11.58%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消费电子行业景气度偏弱，电脑互联产品收入下降，消费电子收入占比仍高，业务结构相对集中，综合毛利率降至阶段低位。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约11.72%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消费电子需求逐步修复，汽车电子和通信互联业务增长，业务结构开始改善；但新业务导入、海外布局和客户价格竞争使综合毛利率仅小幅回升。该毛利率采用公开财务数据整理，正式报告应以2024年年度报告财务表格复核。</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11.91%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汽车电子和通信及数据中心业务占比提升，通信及数据中心毛利率达到18.40%，带动综合毛利率回升；但汽车业务快速扩张、莱尼整合、海外产能投入和客户导入仍对利润率形成压力。</w:t>
            </w:r>
          </w:p>
        </w:tc>
      </w:tr>
    </w:tbl>
    <w:p>
      <w:pPr>
        <w:spacing w:before="200"/>
      </w:pPr>
    </w:p>
    <w:p>
      <w:pPr>
        <w:spacing w:after="160" w:line="300"/>
      </w:pPr>
      <w:r>
        <w:rPr>
          <w:sz w:val="22"/>
          <w:szCs w:val="22"/>
        </w:rPr>
        <w:t xml:space="preserve">公司处于电子制造产业链中游，过去以消费电子连接器和精密组装为核心，目前向“零组件—模组—整机—汽车Tier 1—AI数据中心基础设施”综合制造平台升级。利润改善主要依赖汽车电子和通信及数据中心业务占比提升、高速互联/光互联/热管理/电源等高附加值产品升级、全球化产能协同，以及制造良率和成本控制改善，而非单一原材料资源或传统品牌溢价。</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1,745.04亿元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同比增长40.16%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归母净利润78.43亿元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同比增长18.04%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约906.16亿元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同比增长44.49%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归母净利润约41.83亿元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同比增长16.17%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3,323.44亿元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同比增长23.64%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归母净利润166.00亿元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同比增长24.20%</w:t>
            </w:r>
          </w:p>
        </w:tc>
      </w:tr>
    </w:tbl>
    <w:p>
      <w:pPr>
        <w:spacing w:after="200"/>
      </w:pPr>
      <w:r>
        <w:rPr>
          <w:i/>
          <w:iCs/>
          <w:color w:val="595959"/>
          <w:sz w:val="18"/>
          <w:szCs w:val="18"/>
        </w:rPr>
        <w:t xml:space="preserve">2026年上半年数据来自公司于2026年8月25日披露的半年度报告；2025年全年数据来自正式披露的年度报告。2026年9月13日为非交易日，行情及估值数据采用2026年9月11日收盘数据。2026年上半年扣非归母净利润为59.62亿元，同比增长约6.47%；基本每股收益为1.0774元。</w:t>
      </w:r>
    </w:p>
    <w:p>
      <w:pPr>
        <w:spacing w:after="160" w:line="300"/>
      </w:pPr>
      <w:r>
        <w:rPr>
          <w:sz w:val="22"/>
          <w:szCs w:val="22"/>
        </w:rPr>
        <w:t xml:space="preserve">2026年上半年收入增长明显快于利润增长，主要与企业合并范围扩大及产品出货增加有关。消费电子收入1,224.76亿元，同比增长19.27%；汽车电子收入323.91亿元，同比增长274.10%；通信及数据中心收入166.09亿元，同比增长49.66%。汽车电子及通信数据中心业务增速高于消费电子，收入结构继续向新业务拓展。上半年毛利率约11.78%，较2025年同期提高约0.17个百分点；财务费用由上年同期负16.03亿元增至22.40亿元，经营活动现金流净额为负24.46亿元，投资活动现金流净额为负293.93亿元。公司给出2026年前三季度归母净利润同比增长15%至25%的业绩指引。</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2026—2028年净利润和EPS区间来自同花顺对多家机构研报的汇总；收入数据主要来自国海证券、光大证券、国投证券等单家或少数机构研报，属于“机构样本区间”，不应等同于严格意义上的全市场一致预期。代表性预测包括：国海证券预计2026—2028年收入分别为4,094.18亿元、4,663.98亿元和5,262.80亿元，归母净利润分别为211.10亿元、270.97亿元和334.56亿元；国投证券预计收入约4,090.9亿元、4,874.6亿元和5,728.2亿元，归母净利润约216.8亿元、281.9亿元和346.2亿元；国联民生证券预计归母净利润约203亿元、292亿元和377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机构样本区间约4,045.69亿至4,175亿元；部分机构预测约4,090.9亿至4,094.18亿元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均值约212.01亿元；区间183.48亿至237.52亿元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纪要未提供统一的2026年机构净利润同比增速；整体判断2026—2028年净利润仍有约20%至30%的年增长潜力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均值2.81元；区间2.37元至3.26元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机构样本区间约4,663.98亿至4,874.6亿元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均值约280.21亿元；区间246.00亿至306.23亿元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纪要未提供统一的2027年机构净利润同比增速；整体判断2026—2028年净利润仍有约20%至30%的年增长潜力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均值3.71元；区间3.18元至4.12元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机构样本区间约5,262.80亿至5,728.2亿元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均值约348.08亿元；区间307.59亿至408.41亿元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纪要未提供统一的2028年机构净利润同比增速；整体判断2026—2028年净利润仍有约20%至30%的年增长潜力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均值4.60元；区间3.98元至5.36元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首次覆盖；预计2026—2028年归母净利润分别为211.10亿元、270.97亿元和334.56亿元，对应PE约23倍、18倍和15倍。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预计2026—2028年归母净利润约203亿元、292亿元和377亿元；给予2026年27倍PE估值，对应目标价75.64元。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积极判断，具体评级未在该条纪要中明确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半年报点评重点看好光与铜高速互联、AI数据中心业务及业务结构优化。</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某机构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2026年9月初</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目标价80元；预计2026年和2027年EPS约为2.70元和3.90元。机构名称未明确。</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2026年6月底</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将A股目标价上调至106元，并上调2026年、2027年净利润预测约8%和27%。</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因原材料价格上行压力将A股目标价由78元下调至76元，仍维持买入评级。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同花顺机构评级汇总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整体以买入、增持或跑赢行业为主</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截至2026年9月中旬</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近6个月部分机构对2026年的目标价区间约为83.88元至90.00元，均值约87.55元；该数据为平台汇总，不代表单一券商统一目标价。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Investing.com分析师一致预期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评级信息未明确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汇总16位分析师，12个月平均目标价78.82元，最高105元，最低44.10元；摩根士丹利目标价70.27元，麦格理目标价105元。</w:t>
            </w:r>
          </w:p>
        </w:tc>
      </w:tr>
    </w:tbl>
    <w:p>
      <w:pPr>
        <w:spacing w:before="200"/>
      </w:pPr>
    </w:p>
    <w:p>
      <w:pPr>
        <w:spacing w:after="160" w:line="300"/>
      </w:pPr>
      <w:r>
        <w:rPr>
          <w:sz w:val="22"/>
          <w:szCs w:val="22"/>
        </w:rPr>
        <w:t xml:space="preserve">截至2026年9月11日收盘，股价约55.39元，总市值约4,286亿至4,303亿元，动态市盈率TTM约24.08倍，扣非市盈率约29.50倍，市净率约3.76倍。按机构一致预测EPS计算，2026年、2027年和2028年预测PE分别约19.7倍、14.9倍和12.0倍；按约212亿元的2026年一致预期净利润计算，当前市值对应市盈率约20.3倍。目标价测算显示，75.64元、78.82元、80元、87.55元、90元和106元分别对应相对55.39元股价约36.6%、42.3%、44.4%、58.1%、62.6%和91.4%的潜在空间。当前估值的主要支撑是未来两至三年的利润增长预期，而非TTM估值便宜；当前PE约24倍，高于2026年一致预期PE约20倍，市场已计入部分成长预期。主要不确定性包括汇率波动、AI数据中心及光通信业务放量速度、汽车电子整合效果、消费电子客户集中度、原材料价格及整机业务利润率。上述预测、评级、目标价及估值测算均存在机构口径、报告时点和预测分歧，不代表实际收益。</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回购股份进展：累计回购约1766.54万股，投入近10亿元</w:t>
      </w:r>
    </w:p>
    <w:p>
      <w:pPr>
        <w:spacing w:after="160" w:line="300"/>
      </w:pPr>
      <w:r>
        <w:rPr>
          <w:sz w:val="22"/>
          <w:szCs w:val="22"/>
        </w:rPr>
        <w:t xml:space="preserve">2026年9月2日披露的《股份回购进展情况公告》显示，截至2026年8月31日，公司通过回购专用证券账户以集中竞价方式累计回购A股股份17,665,380股，占公司总股本约0.23%、占A股总股本约0.24%；累计成交金额999,915,944.13元（不含交易费用），最高成交价65.00元/股，最低成交价50.14元/股。回购资金来源为公司自筹资金，包括股票回购专项贷款资金等，回购价格未超过方案确定的86.66元/股上限。回购方案上限为不超过2300万股，回购股份主要用于股权激励或员工持股计划，并非直接注销，因此对总股本和每股收益的即时改善有限。</w:t>
      </w:r>
    </w:p>
    <w:p>
      <w:pPr>
        <w:pStyle w:val="Heading2"/>
        <w:spacing w:after="120" w:before="240"/>
      </w:pPr>
      <w:r>
        <w:rPr>
          <w:b/>
          <w:bCs/>
          <w:color w:val="2E74B5"/>
          <w:sz w:val="24"/>
          <w:szCs w:val="24"/>
        </w:rPr>
        <w:t xml:space="preserve">4.2 2026年第一次临时股东会将于9月16日召开</w:t>
      </w:r>
    </w:p>
    <w:p>
      <w:pPr>
        <w:spacing w:after="160" w:line="300"/>
      </w:pPr>
      <w:r>
        <w:rPr>
          <w:sz w:val="22"/>
          <w:szCs w:val="22"/>
        </w:rPr>
        <w:t xml:space="preserve">公司于2026年9月10日披露《关于召开2026年第一次临时股东会的提示性公告》。现场会议时间为2026年9月16日15:00，网络投票时间为2026年9月16日，股权登记日为2026年9月9日。会议拟审议变更注册资本并修改《公司章程》、修订《关联交易管理办法》以及拟注册发行债券等议案。注册资本变更主要与股票期权激励对象行权、可转债转股、H股上市及配售H股等导致股本增加有关。</w:t>
      </w:r>
    </w:p>
    <w:p>
      <w:pPr>
        <w:pStyle w:val="Heading2"/>
        <w:spacing w:after="120" w:before="240"/>
      </w:pPr>
      <w:r>
        <w:rPr>
          <w:b/>
          <w:bCs/>
          <w:color w:val="2E74B5"/>
          <w:sz w:val="24"/>
          <w:szCs w:val="24"/>
        </w:rPr>
        <w:t xml:space="preserve">4.3 拟注册发行不超过250亿元债券，尚待股东会审议</w:t>
      </w:r>
    </w:p>
    <w:p>
      <w:pPr>
        <w:spacing w:after="160" w:line="300"/>
      </w:pPr>
      <w:r>
        <w:rPr>
          <w:sz w:val="22"/>
          <w:szCs w:val="22"/>
        </w:rPr>
        <w:t xml:space="preserve">公司拟注册发行不超过人民币250亿元的债券，包含公司债券及银行间市场非金融企业债务融资工具，主要用于满足生产经营和业务发展需求、优化债务结构及降低融资成本。该事项将提交2026年9月16日临时股东会审议，注册发行不等于已经实际发行，250亿元为注册额度上限，不应直接理解为公司将立即新增250亿元债务。实际影响取决于最终发行规模、发行利率及资金使用方向。</w:t>
      </w:r>
    </w:p>
    <w:p>
      <w:pPr>
        <w:pStyle w:val="Heading2"/>
        <w:spacing w:after="120" w:before="240"/>
      </w:pPr>
      <w:r>
        <w:rPr>
          <w:b/>
          <w:bCs/>
          <w:color w:val="2E74B5"/>
          <w:sz w:val="24"/>
          <w:szCs w:val="24"/>
        </w:rPr>
        <w:t xml:space="preserve">4.4 2026年前三季度业绩预告：归母净利润预计同比增长15%至25%</w:t>
      </w:r>
    </w:p>
    <w:p>
      <w:pPr>
        <w:spacing w:after="160" w:line="300"/>
      </w:pPr>
      <w:r>
        <w:rPr>
          <w:sz w:val="22"/>
          <w:szCs w:val="22"/>
        </w:rPr>
        <w:t xml:space="preserve">公司于2026年8月25日披露2026年前三季度业绩预告，预计2026年1—9月归属于上市公司股东的净利润为132.5亿元至144亿元，同比增长15%至25%；扣除非经常性损益后的净利润预计为103.7亿元至117.2亿元，同比增长8.63%至22.79%。业绩增长主要与消费电子、通信与数据中心、汽车电子三大业务推进有关，涉及AI终端创新、高速电连接及光连接、热管理和电源管理、全球化布局及Leoni整合协同效应等因素。本次业绩预告为财务部门初步测算结果，未经注册会计师审计，最终数据以2026年第三季度报告为准。</w:t>
      </w:r>
    </w:p>
    <w:p>
      <w:pPr>
        <w:pStyle w:val="Heading2"/>
        <w:spacing w:after="120" w:before="240"/>
      </w:pPr>
      <w:r>
        <w:rPr>
          <w:b/>
          <w:bCs/>
          <w:color w:val="2E74B5"/>
          <w:sz w:val="24"/>
          <w:szCs w:val="24"/>
        </w:rPr>
        <w:t xml:space="preserve">4.5 H股证券变动月报：属于例行股本及证券变动披露</w:t>
      </w:r>
    </w:p>
    <w:p>
      <w:pPr>
        <w:spacing w:after="160" w:line="300"/>
      </w:pPr>
      <w:r>
        <w:rPr>
          <w:sz w:val="22"/>
          <w:szCs w:val="22"/>
        </w:rPr>
        <w:t xml:space="preserve">2026年9月5日，公司披露截至2026年8月31日止月份的H股股份发行人证券变动月报表，并披露截至2026年7月31日止月份月报表的修订版本。根据研究纪要，该类文件主要属于香港上市公司股本及证券变动的例行披露，暂未发现其中包含新的重大经营、并购或监管事项。</w:t>
      </w:r>
    </w:p>
    <w:p>
      <w:pPr>
        <w:pStyle w:val="Heading2"/>
        <w:spacing w:after="120" w:before="240"/>
      </w:pPr>
      <w:r>
        <w:rPr>
          <w:b/>
          <w:bCs/>
          <w:color w:val="2E74B5"/>
          <w:sz w:val="24"/>
          <w:szCs w:val="24"/>
        </w:rPr>
        <w:t xml:space="preserve">4.6 高管持股增加：两名高管各增持2万股，均源于股权激励</w:t>
      </w:r>
    </w:p>
    <w:p>
      <w:pPr>
        <w:spacing w:after="160" w:line="300"/>
      </w:pPr>
      <w:r>
        <w:rPr>
          <w:sz w:val="22"/>
          <w:szCs w:val="22"/>
        </w:rPr>
        <w:t xml:space="preserve">第三方公告数据库显示，2026年9月7日吴天送持股增加2万股，成交价24.85元/股；2026年9月9日董事会秘书肖云兮持股增加2万股，成交价24.85元/股。两次变动原因为股权激励，属于股权激励行权或相关激励安排导致的持股增加，不宜简单解读为管理层以市场价格主动增持股票。</w:t>
      </w:r>
    </w:p>
    <w:p>
      <w:pPr>
        <w:pStyle w:val="Heading2"/>
        <w:spacing w:after="120" w:before="240"/>
      </w:pPr>
      <w:r>
        <w:rPr>
          <w:b/>
          <w:bCs/>
          <w:color w:val="2E74B5"/>
          <w:sz w:val="24"/>
          <w:szCs w:val="24"/>
        </w:rPr>
        <w:t xml:space="preserve">4.7 大宗交易：机构专用席位成交49.70万股</w:t>
      </w:r>
    </w:p>
    <w:p>
      <w:pPr>
        <w:spacing w:after="160" w:line="300"/>
      </w:pPr>
      <w:r>
        <w:rPr>
          <w:sz w:val="22"/>
          <w:szCs w:val="22"/>
        </w:rPr>
        <w:t xml:space="preserve">2026年9月7日，立讯精密发生一笔大宗交易，成交49.70万股，成交金额2779.72万元，成交价55.93元/股，与当日收盘价持平，买卖双方均为机构专用席位。该笔交易占公司总股本比例较低，仅凭公开信息无法判断实际受益方、交易目的或对后续股价的方向性影响。</w:t>
      </w:r>
    </w:p>
    <w:p>
      <w:pPr>
        <w:pStyle w:val="Heading2"/>
        <w:spacing w:after="120" w:before="240"/>
      </w:pPr>
      <w:r>
        <w:rPr>
          <w:b/>
          <w:bCs/>
          <w:color w:val="2E74B5"/>
          <w:sz w:val="24"/>
          <w:szCs w:val="24"/>
        </w:rPr>
        <w:t xml:space="preserve">4.8 股权质押：第三方数据显示质押比例约14.07%</w:t>
      </w:r>
    </w:p>
    <w:p>
      <w:pPr>
        <w:spacing w:after="160" w:line="300"/>
      </w:pPr>
      <w:r>
        <w:rPr>
          <w:sz w:val="22"/>
          <w:szCs w:val="22"/>
        </w:rPr>
        <w:t xml:space="preserve">东方财富个股日历数据显示，截至2026年9月11日，公司股权质押总比例约14.07%，质押总股数约10.33亿股，质押笔数16笔。该数据来自第三方行情及股权质押数据库，本次检索未找到对应的最新单笔质押官方公告进行逐笔核对，应作为风险提示数据使用，不宜视为公司最新公告的完整替代。截至2026年9月13日，未检索到因股权质押触发风险、平仓或控制权变更的公告。</w:t>
      </w:r>
    </w:p>
    <w:p>
      <w:pPr>
        <w:pStyle w:val="Heading2"/>
        <w:spacing w:after="120" w:before="240"/>
      </w:pPr>
      <w:r>
        <w:rPr>
          <w:b/>
          <w:bCs/>
          <w:color w:val="2E74B5"/>
          <w:sz w:val="24"/>
          <w:szCs w:val="24"/>
        </w:rPr>
        <w:t xml:space="preserve">4.9 闻泰科技相关资产收购仍在推进，9月未见新的重大交易公告</w:t>
      </w:r>
    </w:p>
    <w:p>
      <w:pPr>
        <w:spacing w:after="160" w:line="300"/>
      </w:pPr>
      <w:r>
        <w:rPr>
          <w:sz w:val="22"/>
          <w:szCs w:val="22"/>
        </w:rPr>
        <w:t xml:space="preserve">截至2026年9月13日，未检索到立讯精密在2026年9月新披露的重大并购签约、终止或交易变更公告。公司此前对闻泰科技消费电子相关资产及业务的收购仍属于持续跟踪事项，涉及昆明闻讯、黄石闻泰、闻泰科技（深圳）、Wingtech Group（Hong Kong）及印度闻泰相关业务资产等。目前更适合将其定义为持续推进中的重大资产收购，而非2026年9月新发生的并购事件。后续需关注最终交易对价、审计评估结果、交割进度、标的资产盈利情况及整合成本。</w:t>
      </w:r>
    </w:p>
    <w:p>
      <w:pPr>
        <w:pStyle w:val="Heading2"/>
        <w:spacing w:after="120" w:before="240"/>
      </w:pPr>
      <w:r>
        <w:rPr>
          <w:b/>
          <w:bCs/>
          <w:color w:val="2E74B5"/>
          <w:sz w:val="24"/>
          <w:szCs w:val="24"/>
        </w:rPr>
        <w:t xml:space="preserve">4.10 监管及其他事项：暂未发现2026年9月重大监管处罚或政策风险事件</w:t>
      </w:r>
    </w:p>
    <w:p>
      <w:pPr>
        <w:spacing w:after="160" w:line="300"/>
      </w:pPr>
      <w:r>
        <w:rPr>
          <w:sz w:val="22"/>
          <w:szCs w:val="22"/>
        </w:rPr>
        <w:t xml:space="preserve">截至2026年9月13日，未检索到立讯精密在2026年9月受到中国证监会、深圳证券交易所立案调查、行政处罚、纪律处分或重大监管措施的公告。2026年9月公告事项主要涉及回购进展、临时股东会提示及H股证券变动月报等，9月16日临时股东会拟审议的注册发行债券、注册资本变更及关联交易管理办法修订事项属于公司治理和融资安排，不属于监管处罚或监管风险事件。</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55.39元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上涨0.94元，涨幅1.73%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53.84元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55.92元/53.35元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约8726万股，约87.26万手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约47.68亿元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44.57~81.78元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约4286.01亿元/约4057.39亿元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TTM/动态口径约24.08倍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近期价格状态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急跌后反弹，短线处于54元至57元附近的震荡修复阶段</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约55.34元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9月11日收盘价55.39元略高于MA5，显示短线价格出现一定修复。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MA10约55.31元；MA20约55.46元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股价略高于MA10，但接近或略低于MA20，短线均线处于修复状态，尚未形成明确的中期多头排列。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MA50约56.01元；MA100约55.72元；MA200约56.86元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上述均线整体位于当前股价附近或上方，对反弹构成一定压制。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MA60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约60.02元，截至2026年9月10日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股价明显低于MA60，从更中期角度看仍受到60元附近均线压制；该数据为第三方技术系统测算值，并非交易所直接披露指标。</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StockKit截至2026年9月10日显示柱状图约0.16，处于金叉但零轴下方；其他页面曾显示约-0.35至-0.48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可将其理解为短线动能边际修复，但不同平台存在计算时点或缓存差异，0.16并非多源完全确认的精确值，中期趋势尚未完全转强。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47.43，StockKit截至2026年9月10日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处于中性区域，未达到超买或超卖；该数值为单一第三方技术系统参考值，不能视为多源完全交叉验证结果。</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股价位于布林通道中部附近，带宽处于扩张状态；上轨、中轨、下轨具体数值缺失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技术判断为中性。结合研究纪要，55元附近可视作短线中轴区域，59元附近是向上突破观察位，53元附近是向下支撑观察位。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近5个交易日成交额与换手率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成交额约38.34亿至59.11亿元，平均约45.5亿元；换手率0.94%至1.45%，平均约1.12%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9月11日成交额高于5日均值，但低于9月4日约61.30亿元及9月7日约59.11亿元的阶段性放量水平。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2026年9月11日超大单净流入1.4205亿元，大单净流入0.3815亿元；中单净流出0.2873亿元，小单净流出1.5147亿元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按超大单加大单口径，大资金合计净流入约1.80亿元，中小单合计净流出约1.80亿元，呈现大单承接、中小单资金流出的结构；但近几个交易日资金流向反复，持续性仍需观察。</w:t>
            </w:r>
          </w:p>
        </w:tc>
      </w:tr>
    </w:tbl>
    <w:p>
      <w:pPr>
        <w:spacing w:before="200"/>
      </w:pPr>
    </w:p>
    <w:p>
      <w:pPr>
        <w:spacing w:after="160" w:line="300"/>
      </w:pPr>
      <w:r>
        <w:rPr>
          <w:sz w:val="22"/>
          <w:szCs w:val="22"/>
        </w:rPr>
        <w:t xml:space="preserve">截至2026年9月11日收盘，立讯精密报55.39元，近期价格表现为急跌后的反弹修复，短线仍处于54元至57元附近震荡区间。MA5、MA10、MA20在55元至55.5元附近靠近，RSI14处于中性区域，MACD显示短线动能边际修复，但股价仍接近或低于MA20、MA50、MA100及MA200，且MA60约60.02元，对中期反弹形成压制。布林带处于中部附近且带宽扩张，技术状态偏中性。9月11日大单资金净流入，但近几个交易日资金流向存在明显反复，暂不足以确认持续性趋势。</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**风险提示：以下内容仅为基于截至2026年9月11日收盘数据及研究纪要所载历史价格、技术指标和资金流向的主观情景推演，不构成投资建议，也不代表对未来价格的确定性预测。**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58.5~59.0元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依据包括StockKit给出的压力位58.94元、近期57元至58元附近震荡区域以及上方均线压制。若放量有效突破58.9元附近，可能打开向60~61元区域测试的空间；若缩量触及后回落，仍可能属于震荡反弹。</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54.3~55.0元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依据包括9月10日最低54.31元及MA5、MA10、MA20约55元至55.5元附近的均线集群。若该区间获得承接，短线仍可能维持54~59元附近震荡；若有效跌破，需转而观察52.9~53.5元强支撑区。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52.9~53.5元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依据包括StockKit给出的支撑位52.97元和9月11日盘中低点53.35元。若有效跌破52.9元，短线偏弱结构可能进一步指向近期30个交易日低位约51.9元附近。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左右；该权重为基于当前技术指标、价格位置和资金流向的主观启发式判断，不是统计概率或模型回测结果。）：价格区间约54.3~58.5元。触发条件包括股价继续围绕55~56元震荡，成交额维持约40~55亿元，主力资金没有连续两至三日大幅净流入或净流出，且电子及消费电子板块没有出现明显单边行情。该情景与MA5、MA10、MA20相互靠近、RSI中性及布林带位于中部附近的状态相符。</w:t>
      </w:r>
    </w:p>
    <w:p>
      <w:pPr>
        <w:pStyle w:val="ListParagraph"/>
        <w:numPr>
          <w:ilvl w:val="0"/>
          <w:numId w:val="2"/>
        </w:numPr>
        <w:spacing w:after="80" w:line="280"/>
      </w:pPr>
      <w:r>
        <w:rPr>
          <w:sz w:val="22"/>
          <w:szCs w:val="22"/>
        </w:rPr>
        <w:t xml:space="preserve">偏弱下行（权重中等，约三成左右；该权重为主观启发式判断，不是统计概率或模型回测结果。）：价格区间约52.9~54.3元。触发条件包括股价跌破54.3元后不能快速收回，同时成交额放大至55~60亿元以上且主力资金转为连续净流出，或电子、通信板块整体走弱。若进一步跌破52.9元，短线结构可能转为偏弱，下一观察位置为近期30个交易日低位约51.9元附近。</w:t>
      </w:r>
    </w:p>
    <w:p>
      <w:pPr>
        <w:pStyle w:val="ListParagraph"/>
        <w:numPr>
          <w:ilvl w:val="0"/>
          <w:numId w:val="2"/>
        </w:numPr>
        <w:spacing w:after="80" w:line="280"/>
      </w:pPr>
      <w:r>
        <w:rPr>
          <w:sz w:val="22"/>
          <w:szCs w:val="22"/>
        </w:rPr>
        <w:t xml:space="preserve">反弹走强（权重偏低，约两成左右；该权重为主观启发式判断，不是统计概率或模型回测结果。）：价格区间约58.5~61.0元。触发条件包括股价有效突破58.9元附近压力，单日成交额达到55~60亿元以上，随后至少一个交易日维持在58.5元上方，同时超大单、大单资金继续净流入，电子及消费电子板块保持强势。满足条件后，才具备进一步测试60~61元附近的技术条件；若突破时成交额不足，需关注冲高回落风险。</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5个交易日成交额约38亿至59亿元，换手率约0.94%至1.45%，平均换手率约1.12%。公司总市值超过4200亿元，绝对成交额较大，但相对于市值的换手率并不高，研究纪要据此判断流动性整体较好、筹码整体偏稳定，短线交易并非高度拥挤。股东结构方面，截至2026年6月30日，前十大股东合计持股约35.59亿股，占总股本48.63%；主要包括控股股东立讯有限公司、香港中央结算有限公司，以及公募基金、保险资金、主权基金和ETF等，机构投资者参与度较高，并非只有控股家族或产业资本持股。同期股东户数约51.40万户，较2026年5月29日约39.78万户增加。上述股东集中度、股东户数及机构持仓数据均截至2026年6月30日或更早的披露时点，存在季度披露滞后，不能直接代表2026年9月11日的实时筹码变化；截至该日的实时股东结构数据缺失或不确定。实际观察中，应将近期成交额、换手率和大单资金流向结合判断，不能仅依据滞后股东数据推断当前筹码状态。</w:t>
      </w:r>
    </w:p>
    <w:p>
      <w:pPr>
        <w:spacing w:after="160" w:line="300"/>
      </w:pPr>
      <w:r>
        <w:rPr>
          <w:sz w:val="22"/>
          <w:szCs w:val="22"/>
        </w:rPr>
        <w:t xml:space="preserve">可检查的量能确认信号是：若未来一周单日成交额连续放大至55~60亿元以上，同时股价站上58.9元附近并保持收盘不回落，可视为资金对突破的确认信号；若成交额低于40亿元且股价跌破54.3元，则显示短线承接力度偏弱。</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观察55元附近均线集群能否提供有效支撑；该项为技术观察思路，非操作指令。</w:t>
      </w:r>
    </w:p>
    <w:p>
      <w:pPr>
        <w:pStyle w:val="ListParagraph"/>
        <w:numPr>
          <w:ilvl w:val="0"/>
          <w:numId w:val="2"/>
        </w:numPr>
        <w:spacing w:after="80" w:line="280"/>
      </w:pPr>
      <w:r>
        <w:rPr>
          <w:sz w:val="22"/>
          <w:szCs w:val="22"/>
        </w:rPr>
        <w:t xml:space="preserve">观察54.3元是否被有效跌破；若跌破，进一步关注52.9~53.5元强支撑区，该项为观察思路，非操作指令。</w:t>
      </w:r>
    </w:p>
    <w:p>
      <w:pPr>
        <w:pStyle w:val="ListParagraph"/>
        <w:numPr>
          <w:ilvl w:val="0"/>
          <w:numId w:val="2"/>
        </w:numPr>
        <w:spacing w:after="80" w:line="280"/>
      </w:pPr>
      <w:r>
        <w:rPr>
          <w:sz w:val="22"/>
          <w:szCs w:val="22"/>
        </w:rPr>
        <w:t xml:space="preserve">观察58.5~59.0元压力区能否伴随成交额放大突破，并关注成交额是否达到55~60亿元以上，该项为观察思路，非操作指令。</w:t>
      </w:r>
    </w:p>
    <w:p>
      <w:pPr>
        <w:pStyle w:val="ListParagraph"/>
        <w:numPr>
          <w:ilvl w:val="0"/>
          <w:numId w:val="2"/>
        </w:numPr>
        <w:spacing w:after="80" w:line="280"/>
      </w:pPr>
      <w:r>
        <w:rPr>
          <w:sz w:val="22"/>
          <w:szCs w:val="22"/>
        </w:rPr>
        <w:t xml:space="preserve">观察主力资金是否由单日净流入转为连续两至三日净流入，该项为观察思路，非操作指令。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连接器位于电子、汽车和通信产业链中游，是设备内部实现电、信号和数据传输的基础元件；消费电子精密制造则以客户认证、垂直整合、大规模制造和全球交付为核心竞争要素。立讯精密同时布局汽车电子和通信及数据中心，行业横跨连接器、精密制造、汽车线束及AI数据中心基础设施等多个细分领域。</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连接器行业低端及标准化产品竞争较为激烈，价格和规模是主要竞争因素；高速、高频、高压、车规级、液冷、电源和光电互联产品技术门槛较高。</w:t>
      </w:r>
    </w:p>
    <w:p>
      <w:pPr>
        <w:pStyle w:val="ListParagraph"/>
        <w:numPr>
          <w:ilvl w:val="0"/>
          <w:numId w:val="2"/>
        </w:numPr>
        <w:spacing w:after="80" w:line="280"/>
      </w:pPr>
      <w:r>
        <w:rPr>
          <w:sz w:val="22"/>
          <w:szCs w:val="22"/>
        </w:rPr>
        <w:t xml:space="preserve">下游客户认证周期较长，进入头部客户供应链后具有一定客户粘性，但行业客户集中度普遍较高，供应商容易受到大客户价格、订单和技术路线变化影响。</w:t>
      </w:r>
    </w:p>
    <w:p>
      <w:pPr>
        <w:pStyle w:val="ListParagraph"/>
        <w:numPr>
          <w:ilvl w:val="0"/>
          <w:numId w:val="2"/>
        </w:numPr>
        <w:spacing w:after="80" w:line="280"/>
      </w:pPr>
      <w:r>
        <w:rPr>
          <w:sz w:val="22"/>
          <w:szCs w:val="22"/>
        </w:rPr>
        <w:t xml:space="preserve">全球连接器市场由TE Connectivity、Amphenol、Molex、广濑电机、矢崎等国际企业长期参与竞争，中国企业正在汽车、通信、消费电子和数据中心领域提高份额。</w:t>
      </w:r>
    </w:p>
    <w:p>
      <w:pPr>
        <w:pStyle w:val="ListParagraph"/>
        <w:numPr>
          <w:ilvl w:val="0"/>
          <w:numId w:val="2"/>
        </w:numPr>
        <w:spacing w:after="80" w:line="280"/>
      </w:pPr>
      <w:r>
        <w:rPr>
          <w:sz w:val="22"/>
          <w:szCs w:val="22"/>
        </w:rPr>
        <w:t xml:space="preserve">消费电子精密制造的核心竞争要素包括客户认证和长期合作关系、零组件到整机的一体化交付、大规模制造、自动化、良率和成本控制、全球化产能以及对AI眼镜、可穿戴、声学、结构件等新型终端的研发能力。</w:t>
      </w:r>
    </w:p>
    <w:p>
      <w:pPr>
        <w:pStyle w:val="ListParagraph"/>
        <w:numPr>
          <w:ilvl w:val="0"/>
          <w:numId w:val="2"/>
        </w:numPr>
        <w:spacing w:after="80" w:line="280"/>
      </w:pPr>
      <w:r>
        <w:rPr>
          <w:sz w:val="22"/>
          <w:szCs w:val="22"/>
        </w:rPr>
        <w:t xml:space="preserve">汽车电子行业从传统线束和连接器向高压连接、智能座舱、智能驾驶、域控制器、毫米波雷达和智能底盘延伸，核心壁垒包括车规级质量认证、主机厂平台定点、全球属地化生产、高压高速及智能控制产品研发和长期稳定供货能力。</w:t>
      </w:r>
    </w:p>
    <w:p>
      <w:pPr>
        <w:pStyle w:val="ListParagraph"/>
        <w:numPr>
          <w:ilvl w:val="0"/>
          <w:numId w:val="2"/>
        </w:numPr>
        <w:spacing w:after="80" w:line="280"/>
      </w:pPr>
      <w:r>
        <w:rPr>
          <w:sz w:val="22"/>
          <w:szCs w:val="22"/>
        </w:rPr>
        <w:t xml:space="preserve">立讯通过完成莱尼相关资产交割和整合，获得全球汽车线束客户和制造网络；其战略意义大于短期收入贡献，但整合成本、海外工厂盈利和汽车行业价格竞争仍需观察。</w:t>
      </w:r>
    </w:p>
    <w:p>
      <w:pPr>
        <w:pStyle w:val="ListParagraph"/>
        <w:numPr>
          <w:ilvl w:val="0"/>
          <w:numId w:val="2"/>
        </w:numPr>
        <w:spacing w:after="80" w:line="280"/>
      </w:pPr>
      <w:r>
        <w:rPr>
          <w:sz w:val="22"/>
          <w:szCs w:val="22"/>
        </w:rPr>
        <w:t xml:space="preserve">连接器行业竞争格局及市场份额等判断主要参考行业研究资料；研究纪要未提供经权威第三方交叉确认的公司市场份额、全球排名或细分产品市占率，因此不对相关数据作确定性陈述。</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歌尔股份（002241）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消费电子声学、光学、精密零组件和智能硬件整机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与立讯在消费电子零组件、声学、可穿戴设备、AR/VR及整机ODM方面存在重叠；歌尔在声学、光学和VR/MR领域积累更深，立讯在连接器、线束、结构件、系统集成和汽车业务方面更广。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中航光电（002179）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中高端光、电、流体连接器及综合互连方案</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应用于航空航天、防务、通信、数据中心、工业、医疗、新能源汽车和消费电子；中航光电在防务、航空航天和高可靠连接器领域优势明显，立讯在消费电子大规模制造、客户协同和系统级精密制造方面更突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长盈精密（300115）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消费电子及新能源精密零组件、连接器、结构件和高速铜连接产品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立讯在消费电子精密制造、连接器、结构件、汽车零组件及AI服务器高速连接方面重叠；长盈精密重点聚焦精密结构件、连接器和新能源零组件，立讯在客户覆盖、业务规模、整机集成和全球制造网络方面更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富士康工业互联网（601138）及鸿海体系</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电子产品和服务器的精密制造、工业互联网及系统集成</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立讯在消费电子代工、服务器、通信设备和全球化制造方面存在重叠；富士康规模、客户覆盖和全球工厂网络更大，立讯在连接器、精密零组件、汽车电子和部分高端客户产品中的垂直整合能力更突出。两者并非所有业务线都直接可比。</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得润电子（002055）、沪光股份（605333）等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汽车线束、连接器及新能源汽车高压线束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与立讯在汽车低压线束、高压线束、连接器和新能源汽车零部件方面重叠；得润电子、沪光股份在汽车线束细分领域更集中，立讯通过莱尼并购及自身连接器、智能控制产品布局，向全球Tier 1综合供应商方向发展。</w:t>
            </w:r>
          </w:p>
        </w:tc>
      </w:tr>
    </w:tbl>
    <w:p>
      <w:pPr>
        <w:spacing w:before="200"/>
      </w:pPr>
    </w:p>
    <w:p>
      <w:pPr>
        <w:spacing w:after="160" w:line="300"/>
      </w:pPr>
      <w:r>
        <w:rPr>
          <w:sz w:val="22"/>
          <w:szCs w:val="22"/>
        </w:rPr>
        <w:t xml:space="preserve">立讯精密相较歌尔股份更强调连接器、线束、结构件、系统集成、汽车电子和全球制造网络；相较中航光电，立讯在消费电子大规模制造和系统级精密制造方面更突出，而中航光电在防务、航空航天和高可靠连接器领域更具优势；相较长盈精密，立讯业务规模、客户覆盖、整机集成及全球制造网络更强；相较富士康工业互联网及鸿海体系，立讯整体全球规模较小，但在连接器、精密零组件、汽车电子和部分高端客户产品中垂直整合能力更突出；相较得润电子、沪光股份等汽车线束企业，立讯业务覆盖更广，并通过莱尼布局全球汽车线束客户和制造网络。</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较高：2025年前五大客户销售金额占年度销售总额65.04%，第一大客户占比56.68%。消费电子、通信及数据中心客户通常具有较强议价能力，若核心客户订单、产品周期、价格政策或结算安排发生变化，可能对收入、利润率和营运资金造成明显影响。</w:t>
      </w:r>
    </w:p>
    <w:p>
      <w:pPr>
        <w:pStyle w:val="ListParagraph"/>
        <w:numPr>
          <w:ilvl w:val="0"/>
          <w:numId w:val="2"/>
        </w:numPr>
        <w:spacing w:after="80" w:line="280"/>
      </w:pPr>
      <w:r>
        <w:rPr>
          <w:sz w:val="22"/>
          <w:szCs w:val="22"/>
        </w:rPr>
        <w:t xml:space="preserve">供应商集中度较高：2025年前五大供应商采购占比52.97%，第一大供应商采购占比45.69%。虽然年报未披露供应商具体身份，且供应商可能承担客户指定采购、代采或综合供应职能，但集中采购关系变化仍可能影响关键材料、电子元器件及生产保障。</w:t>
      </w:r>
    </w:p>
    <w:p>
      <w:pPr>
        <w:pStyle w:val="ListParagraph"/>
        <w:numPr>
          <w:ilvl w:val="0"/>
          <w:numId w:val="2"/>
        </w:numPr>
        <w:spacing w:after="80" w:line="280"/>
      </w:pPr>
      <w:r>
        <w:rPr>
          <w:sz w:val="22"/>
          <w:szCs w:val="22"/>
        </w:rPr>
        <w:t xml:space="preserve">汽车电子整合风险：2025年汽车电子收入同比增长185.34%，2026年上半年同比增长274.10%，同时公司仍需推进莱尼相关资产整合。若海外工厂盈利改善、客户协同、项目导入或整合效率不及预期，可能导致整合成本上升并拖累汽车业务利润率。</w:t>
      </w:r>
    </w:p>
    <w:p>
      <w:pPr>
        <w:pStyle w:val="ListParagraph"/>
        <w:numPr>
          <w:ilvl w:val="0"/>
          <w:numId w:val="2"/>
        </w:numPr>
        <w:spacing w:after="80" w:line="280"/>
      </w:pPr>
      <w:r>
        <w:rPr>
          <w:sz w:val="22"/>
          <w:szCs w:val="22"/>
        </w:rPr>
        <w:t xml:space="preserve">现金流与资本开支压力：2026年上半年经营活动现金流净额为负24.46亿元，投资活动现金流净额为负293.93亿元，财务费用由上年同期负16.03亿元增至22.40亿元。业务扩张、全球化产能建设及新项目投入若持续加大，可能进一步增加融资和资金周转压力。</w:t>
      </w:r>
    </w:p>
    <w:p>
      <w:pPr>
        <w:pStyle w:val="ListParagraph"/>
        <w:numPr>
          <w:ilvl w:val="0"/>
          <w:numId w:val="2"/>
        </w:numPr>
        <w:spacing w:after="80" w:line="280"/>
      </w:pPr>
      <w:r>
        <w:rPr>
          <w:sz w:val="22"/>
          <w:szCs w:val="22"/>
        </w:rPr>
        <w:t xml:space="preserve">盈利增速低于收入增速：2026年上半年收入同比增长40.16%，归母净利润同比增长18.04%，扣非归母净利润同比增长约6.47%，上半年毛利率约11.78%。若消费电子价格竞争、汽车业务快速扩张或整机业务利润率压力持续，收入增长可能难以同步转化为利润增长。</w:t>
      </w:r>
    </w:p>
    <w:p>
      <w:pPr>
        <w:pStyle w:val="ListParagraph"/>
        <w:numPr>
          <w:ilvl w:val="0"/>
          <w:numId w:val="2"/>
        </w:numPr>
        <w:spacing w:after="80" w:line="280"/>
      </w:pPr>
      <w:r>
        <w:rPr>
          <w:sz w:val="22"/>
          <w:szCs w:val="22"/>
        </w:rPr>
        <w:t xml:space="preserve">海外经营与汇率风险：2025年外销收入占比85.22%，制造网络覆盖越南、印度、墨西哥、新加坡、日本、美国及欧洲等地区。汇率波动、海外运营成本、跨区域供应链协同及当地工厂经营变化，可能影响收入折算、成本控制和整体盈利能力。</w:t>
      </w:r>
    </w:p>
    <w:p>
      <w:pPr>
        <w:pStyle w:val="ListParagraph"/>
        <w:numPr>
          <w:ilvl w:val="0"/>
          <w:numId w:val="2"/>
        </w:numPr>
        <w:spacing w:after="80" w:line="280"/>
      </w:pPr>
      <w:r>
        <w:rPr>
          <w:sz w:val="22"/>
          <w:szCs w:val="22"/>
        </w:rPr>
        <w:t xml:space="preserve">原材料价格风险：公司采购铜及铜合金、铝材、塑胶、电子元器件、光电器件、散热材料和电源模块等，铜材等材料具有一定商品属性，公司整体更接近成本接受者。若原材料价格上涨而客户调价或成本转嫁不及时，可能压缩毛利率。</w:t>
      </w:r>
    </w:p>
    <w:p>
      <w:pPr>
        <w:pStyle w:val="ListParagraph"/>
        <w:numPr>
          <w:ilvl w:val="0"/>
          <w:numId w:val="2"/>
        </w:numPr>
        <w:spacing w:after="80" w:line="280"/>
      </w:pPr>
      <w:r>
        <w:rPr>
          <w:sz w:val="22"/>
          <w:szCs w:val="22"/>
        </w:rPr>
        <w:t xml:space="preserve">融资与资产整合事项存在不确定性：公司拟注册发行不超过250亿元债券，但注册额度不等于实际发行规模；同时闻泰科技相关消费电子资产收购仍在推进。最终发行规模、融资成本、交易对价、交割进度、标的盈利情况及整合成本，均可能影响资产负债结构和未来业绩。</w:t>
      </w:r>
    </w:p>
    <w:p>
      <w:pPr>
        <w:pStyle w:val="ListParagraph"/>
        <w:numPr>
          <w:ilvl w:val="0"/>
          <w:numId w:val="2"/>
        </w:numPr>
        <w:spacing w:after="80" w:line="280"/>
      </w:pPr>
      <w:r>
        <w:rPr>
          <w:sz w:val="22"/>
          <w:szCs w:val="22"/>
        </w:rPr>
        <w:t xml:space="preserve">估值与技术面波动风险：截至2026年9月11日股价55.39元，动态市盈率约24.08倍，高于约20倍的2026年一致预期市盈率，市场已计入部分成长预期。技术面上股价仍受到MA50、MA100、MA200及约60.02元MA60压制，若业绩兑现或新业务放量不及预期，估值和股价可能面临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公司核心增长逻辑在于综合精密制造平台的规模化交付能力，以及从消费电子零组件和整机制造向汽车Tier 1、AI数据中心基础设施延伸。汽车电子、光与铜高速互联、热管理、电源管理及全球化制造网络，有望推动收入结构继续优化；回购、股权激励和拟注册发行债券则体现公司对长期业务发展及资金安排的支持。</w:t>
      </w:r>
    </w:p>
    <w:p>
      <w:pPr>
        <w:spacing w:after="160" w:line="300"/>
      </w:pPr>
      <w:r>
        <w:rPr>
          <w:sz w:val="22"/>
          <w:szCs w:val="22"/>
        </w:rPr>
        <w:t xml:space="preserve">后续业绩弹性取决于汽车电子和通信及数据中心业务放量、莱尼整合协同、闻泰科技相关资产收购推进情况，以及高附加值产品对综合毛利率的改善程度。2026年前三季度公司预计归母净利润同比增长15%至25%，但上半年扣非利润增速低于收入增速，财务费用上升、经营现金流为负等因素表明增长质量仍需持续验证。</w:t>
      </w:r>
    </w:p>
    <w:p>
      <w:pPr>
        <w:spacing w:after="160" w:line="300"/>
      </w:pPr>
      <w:r>
        <w:rPr>
          <w:sz w:val="22"/>
          <w:szCs w:val="22"/>
        </w:rPr>
        <w:t xml:space="preserve">公司同时面临消费电子客户集中度高、海外收入和制造网络占比较高、原材料价格及汇率波动、汽车电子整合和全球交付复杂度上升等不确定性。未来应重点关注新业务增速能否转化为利润和现金流改善、客户订单及结算政策变化、债券注册后的实际发行规模与资金使用，以及股价能否消化当前估值中的成长预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https://static.cninfo.com.cn/finalpage/2026-04-15/1225104908.PDF — https://static.cninfo.com.cn/finalpage/2026-04-15/1225104908.PDF</w:t>
      </w:r>
    </w:p>
    <w:p>
      <w:pPr>
        <w:spacing w:after="200"/>
      </w:pPr>
      <w:r>
        <w:rPr>
          <w:i/>
          <w:iCs/>
          <w:color w:val="595959"/>
          <w:sz w:val="18"/>
          <w:szCs w:val="18"/>
        </w:rPr>
        <w:t xml:space="preserve">〖行业深度〗洞察2025：中国连接器行业竞争格局及市场份额（附市场集中度、企业竞争力等）_行业研究报告 - 前瞻网 — https://www.qianzhan.com/analyst/detail/220/250811-111d2482.html</w:t>
      </w:r>
    </w:p>
    <w:p>
      <w:pPr>
        <w:spacing w:after="200"/>
      </w:pPr>
      <w:r>
        <w:rPr>
          <w:i/>
          <w:iCs/>
          <w:color w:val="595959"/>
          <w:sz w:val="18"/>
          <w:szCs w:val="18"/>
        </w:rPr>
        <w:t xml:space="preserve">立讯精密(002475)财务指标_新浪财经_新浪网 — https://money.finance.sina.com.cn/corp/go.php/vFD_FinancialGuideLine/stockid/002475/ctrl/2025/displaytype/4.phtml?utm_source=openai</w:t>
      </w:r>
    </w:p>
    <w:p>
      <w:pPr>
        <w:spacing w:after="200"/>
      </w:pPr>
      <w:r>
        <w:rPr>
          <w:i/>
          <w:iCs/>
          <w:color w:val="595959"/>
          <w:sz w:val="18"/>
          <w:szCs w:val="18"/>
        </w:rPr>
        <w:t xml:space="preserve">立讯精密工业股份有限公司 — https://www.chinamoney.com.cn/dqs/cm-s-notice-query/fileDownLoad.do?contentId=3032056&amp;mode=open&amp;priority=0&amp;utm_source=openai</w:t>
      </w:r>
    </w:p>
    <w:p>
      <w:pPr>
        <w:spacing w:after="200"/>
      </w:pPr>
      <w:r>
        <w:rPr>
          <w:i/>
          <w:iCs/>
          <w:color w:val="595959"/>
          <w:sz w:val="18"/>
          <w:szCs w:val="18"/>
        </w:rPr>
        <w:t xml:space="preserve">歌尔股份有限公司 2025 年年度报告全文 — https://static.cninfo.com.cn/finalpage/2026-04-24/1225160177.PDF?utm_source=openai</w:t>
      </w:r>
    </w:p>
    <w:p>
      <w:pPr>
        <w:spacing w:after="200"/>
      </w:pPr>
      <w:r>
        <w:rPr>
          <w:i/>
          <w:iCs/>
          <w:color w:val="595959"/>
          <w:sz w:val="18"/>
          <w:szCs w:val="18"/>
        </w:rPr>
        <w:t xml:space="preserve">中航光电科技股份有限公司 2025 年年度报告全文 — https://static.cninfo.com.cn/finalpage/2026-03-28/1225044952.PDF?utm_source=openai</w:t>
      </w:r>
    </w:p>
    <w:p>
      <w:pPr>
        <w:spacing w:after="200"/>
      </w:pPr>
      <w:r>
        <w:rPr>
          <w:i/>
          <w:iCs/>
          <w:color w:val="595959"/>
          <w:sz w:val="18"/>
          <w:szCs w:val="18"/>
        </w:rPr>
        <w:t xml:space="preserve">深圳市长盈精密技术股份有限公司 2025 年年度报告全文 — https://static.cninfo.com.cn/finalpage/2026-04-18/1225120097.PDF?utm_source=openai</w:t>
      </w:r>
    </w:p>
    <w:p>
      <w:pPr>
        <w:spacing w:after="200"/>
      </w:pPr>
      <w:r>
        <w:rPr>
          <w:i/>
          <w:iCs/>
          <w:color w:val="595959"/>
          <w:sz w:val="18"/>
          <w:szCs w:val="18"/>
        </w:rPr>
        <w:t xml:space="preserve">立讯精密(002475)_公司公告_立讯精密：2026年半年度报告新浪财经_新浪网 — https://money.finance.sina.com.cn/corp/view/vCB_AllBulletinDetail.php?id=12529542&amp;stockid=002475&amp;utm_source=openai</w:t>
      </w:r>
    </w:p>
    <w:p>
      <w:pPr>
        <w:spacing w:after="200"/>
      </w:pPr>
      <w:r>
        <w:rPr>
          <w:i/>
          <w:iCs/>
          <w:color w:val="595959"/>
          <w:sz w:val="18"/>
          <w:szCs w:val="18"/>
        </w:rPr>
        <w:t xml:space="preserve">立讯精密(002475)：汇率逆风中ALPHA凸显 AI算力及端侧业务将迎拐点__新浪财经_新浪网 — https://stock.finance.sina.com.cn/stock/go.php/vReport_Show/kind/search/rptid/841226252488/index.phtml?utm_source=openai</w:t>
      </w:r>
    </w:p>
    <w:p>
      <w:pPr>
        <w:spacing w:after="200"/>
      </w:pPr>
      <w:r>
        <w:rPr>
          <w:i/>
          <w:iCs/>
          <w:color w:val="595959"/>
          <w:sz w:val="18"/>
          <w:szCs w:val="18"/>
        </w:rPr>
        <w:t xml:space="preserve">立讯精密(002475)_公司公告_立讯精密：2025年年度报告摘要新浪财经_新浪网 — https://money.finance.sina.com.cn/corp/view/vCB_AllBulletinDetail.php?id=12091098&amp;stockid=002475&amp;utm_source=openai</w:t>
      </w:r>
    </w:p>
    <w:p>
      <w:pPr>
        <w:spacing w:after="200"/>
      </w:pPr>
      <w:r>
        <w:rPr>
          <w:i/>
          <w:iCs/>
          <w:color w:val="595959"/>
          <w:sz w:val="18"/>
          <w:szCs w:val="18"/>
        </w:rPr>
        <w:t xml:space="preserve">立讯精密(002475) 盈利预测_F10_同花顺金融服务网 — https://basic.10jqka.com.cn/002475/worth.html?utm_source=openai</w:t>
      </w:r>
    </w:p>
    <w:p>
      <w:pPr>
        <w:spacing w:after="200"/>
      </w:pPr>
      <w:r>
        <w:rPr>
          <w:i/>
          <w:iCs/>
          <w:color w:val="595959"/>
          <w:sz w:val="18"/>
          <w:szCs w:val="18"/>
        </w:rPr>
        <w:t xml:space="preserve">立讯精密(002475)：2026Q1业绩符合指引 消费电子、汽车、通信有望多点开花__新浪财经_新浪网 — https://stock.finance.sina.com.cn/stock/go.php/vReport_Show/kind/search/rptid/831386053492/index.phtml?utm_source=openai</w:t>
      </w:r>
    </w:p>
    <w:p>
      <w:pPr>
        <w:spacing w:after="200"/>
      </w:pPr>
      <w:r>
        <w:rPr>
          <w:i/>
          <w:iCs/>
          <w:color w:val="595959"/>
          <w:sz w:val="18"/>
          <w:szCs w:val="18"/>
        </w:rPr>
        <w:t xml:space="preserve">https://igu888.com/ylyc/002475.html?utm_source=openai — https://igu888.com/ylyc/002475.html?utm_source=openai</w:t>
      </w:r>
    </w:p>
    <w:p>
      <w:pPr>
        <w:spacing w:after="200"/>
      </w:pPr>
      <w:r>
        <w:rPr>
          <w:i/>
          <w:iCs/>
          <w:color w:val="595959"/>
          <w:sz w:val="18"/>
          <w:szCs w:val="18"/>
        </w:rPr>
        <w:t xml:space="preserve">立讯精密(002475) 盈利预测_F10_同花顺金融服务网 — https://basic.10jqka.com.cn/144/002475/worth.html?utm_source=openai</w:t>
      </w:r>
    </w:p>
    <w:p>
      <w:pPr>
        <w:spacing w:after="200"/>
      </w:pPr>
      <w:r>
        <w:rPr>
          <w:i/>
          <w:iCs/>
          <w:color w:val="595959"/>
          <w:sz w:val="18"/>
          <w:szCs w:val="18"/>
        </w:rPr>
        <w:t xml:space="preserve">机构评级|2家机构更新立讯精密评级 — https://stock.10jqka.com.cn/20260430/c676413044.shtml?utm_source=openai</w:t>
      </w:r>
    </w:p>
    <w:p>
      <w:pPr>
        <w:spacing w:after="200"/>
      </w:pPr>
      <w:r>
        <w:rPr>
          <w:i/>
          <w:iCs/>
          <w:color w:val="595959"/>
          <w:sz w:val="18"/>
          <w:szCs w:val="18"/>
        </w:rPr>
        <w:t xml:space="preserve">立讯精密(002475)股票分析师一致预期_市场情绪_英为财情Investing.com — https://cn.investing.com/equities/luxshare-precision-a-consensus-estimates?utm_source=openai</w:t>
      </w:r>
    </w:p>
    <w:p>
      <w:pPr>
        <w:spacing w:after="200"/>
      </w:pPr>
      <w:r>
        <w:rPr>
          <w:i/>
          <w:iCs/>
          <w:color w:val="595959"/>
          <w:sz w:val="18"/>
          <w:szCs w:val="18"/>
        </w:rPr>
        <w:t xml:space="preserve">立讯精密(002475)2026年半年报点评：26H1保持高质量增长 光与铜高速互联加速演进__新浪财经_新浪网 — https://stock.finance.sina.com.cn/stock/go.php/vReport_Show/kind/search/rptid/841402951619/index.phtml?utm_source=openai</w:t>
      </w:r>
    </w:p>
    <w:p>
      <w:pPr>
        <w:spacing w:after="200"/>
      </w:pPr>
      <w:r>
        <w:rPr>
          <w:i/>
          <w:iCs/>
          <w:color w:val="595959"/>
          <w:sz w:val="18"/>
          <w:szCs w:val="18"/>
        </w:rPr>
        <w:t xml:space="preserve">立讯精密(002475)：全球精密制造核心供应商 AI端云侧加速成长__新浪财经_新浪网 — https://stock.finance.sina.com.cn/stock/go.php/vReport_Show/kind/search/rptid/842431689372/index.phtml?utm_source=openai</w:t>
      </w:r>
    </w:p>
    <w:p>
      <w:pPr>
        <w:spacing w:after="200"/>
      </w:pPr>
      <w:r>
        <w:rPr>
          <w:i/>
          <w:iCs/>
          <w:color w:val="595959"/>
          <w:sz w:val="18"/>
          <w:szCs w:val="18"/>
        </w:rPr>
        <w:t xml:space="preserve">高盛——立讯精密（002475.SZ）：数据中心与汽车电子赛道扩张，上调盈利预测及目标价（附下载）_新浪财经_新浪网 — https://finance.sina.com.cn/stock/hkstock/marketalerts/2026-07-01/doc-inifitaq2818303.shtml?utm_source=openai</w:t>
      </w:r>
    </w:p>
    <w:p>
      <w:pPr>
        <w:spacing w:after="200"/>
      </w:pPr>
      <w:r>
        <w:rPr>
          <w:i/>
          <w:iCs/>
          <w:color w:val="595959"/>
          <w:sz w:val="18"/>
          <w:szCs w:val="18"/>
        </w:rPr>
        <w:t xml:space="preserve">半年净利增18%却冲高回落，立讯精密57.62元多空分歧加剧_凤凰网 — https://finance.ifeng.com/c/8w3ELf7SO6J?utm_source=openai</w:t>
      </w:r>
    </w:p>
    <w:p>
      <w:pPr>
        <w:spacing w:after="200"/>
      </w:pPr>
      <w:r>
        <w:rPr>
          <w:i/>
          <w:iCs/>
          <w:color w:val="595959"/>
          <w:sz w:val="18"/>
          <w:szCs w:val="18"/>
        </w:rPr>
        <w:t xml:space="preserve">单股调研 — https://www.ashare-dashboard.com/stocks?ts_code=002475.SZ&amp;utm_source=openai</w:t>
      </w:r>
    </w:p>
    <w:p>
      <w:pPr>
        <w:spacing w:after="200"/>
      </w:pPr>
      <w:r>
        <w:rPr>
          <w:i/>
          <w:iCs/>
          <w:color w:val="595959"/>
          <w:sz w:val="18"/>
          <w:szCs w:val="18"/>
        </w:rPr>
        <w:t xml:space="preserve">立讯精密(002475)_公司公告_立讯精密：2026年半年度报告摘要新浪财经_新浪网 — https://money.finance.sina.com.cn/corp/view/vCB_AllBulletinDetail.php?id=12529531&amp;stockid=002475&amp;utm_source=openai</w:t>
      </w:r>
    </w:p>
    <w:p>
      <w:pPr>
        <w:spacing w:after="200"/>
      </w:pPr>
      <w:r>
        <w:rPr>
          <w:i/>
          <w:iCs/>
          <w:color w:val="595959"/>
          <w:sz w:val="18"/>
          <w:szCs w:val="18"/>
        </w:rPr>
        <w:t xml:space="preserve">立讯精密：已回购1766.54万股，使用资金总额10亿元 _ 东方财富网 — https://finance.eastmoney.com/a/202609013861550994.html</w:t>
      </w:r>
    </w:p>
    <w:p>
      <w:pPr>
        <w:spacing w:after="200"/>
      </w:pPr>
      <w:r>
        <w:rPr>
          <w:i/>
          <w:iCs/>
          <w:color w:val="595959"/>
          <w:sz w:val="18"/>
          <w:szCs w:val="18"/>
        </w:rPr>
        <w:t xml:space="preserve">立讯精密(002475) 最新动态_F10_同花顺金融服务网 — https://basic.10jqka.com.cn/002475/?utm_source=openai</w:t>
      </w:r>
    </w:p>
    <w:p>
      <w:pPr>
        <w:spacing w:after="200"/>
      </w:pPr>
      <w:r>
        <w:rPr>
          <w:i/>
          <w:iCs/>
          <w:color w:val="595959"/>
          <w:sz w:val="18"/>
          <w:szCs w:val="18"/>
        </w:rPr>
        <w:t xml:space="preserve">立讯精密(002475)_公司公告_立讯精密：关于召开2026年第一次临时股东会的提示性公告新浪财经_新浪网 — https://vip.stock.finance.sina.com.cn/corp/view/vCB_AllBulletinDetail.php?id=12592142&amp;stockid=002475</w:t>
      </w:r>
    </w:p>
    <w:p>
      <w:pPr>
        <w:spacing w:after="200"/>
      </w:pPr>
      <w:r>
        <w:rPr>
          <w:i/>
          <w:iCs/>
          <w:color w:val="595959"/>
          <w:sz w:val="18"/>
          <w:szCs w:val="18"/>
        </w:rPr>
        <w:t xml:space="preserve">证券代码：002475  证券简称：立讯精密  公告编号：2026-093 — https://disc.static.szse.cn/download/disc/disk03/finalpage/2026-08-25/9dc85008-3697-4564-bf3c-49ae9155dd2f.PDF?utm_source=openai</w:t>
      </w:r>
    </w:p>
    <w:p>
      <w:pPr>
        <w:spacing w:after="200"/>
      </w:pPr>
      <w:r>
        <w:rPr>
          <w:i/>
          <w:iCs/>
          <w:color w:val="595959"/>
          <w:sz w:val="18"/>
          <w:szCs w:val="18"/>
        </w:rPr>
        <w:t xml:space="preserve">立讯精密(002475)交易提示_证券之星 — https://stock.quote.stockstar.com/info/notice_002475.shtml?utm_source=openai</w:t>
      </w:r>
    </w:p>
    <w:p>
      <w:pPr>
        <w:spacing w:after="200"/>
      </w:pPr>
      <w:r>
        <w:rPr>
          <w:i/>
          <w:iCs/>
          <w:color w:val="595959"/>
          <w:sz w:val="18"/>
          <w:szCs w:val="18"/>
        </w:rPr>
        <w:t xml:space="preserve">https://static.cninfo.com.cn/finalpage/2026-08-25/1225500281.PDF — https://static.cninfo.com.cn/finalpage/2026-08-25/1225500281.PDF</w:t>
      </w:r>
    </w:p>
    <w:p>
      <w:pPr>
        <w:spacing w:after="200"/>
      </w:pPr>
      <w:r>
        <w:rPr>
          <w:i/>
          <w:iCs/>
          <w:color w:val="595959"/>
          <w:sz w:val="18"/>
          <w:szCs w:val="18"/>
        </w:rPr>
        <w:t xml:space="preserve">立讯精密(002475)公司公告_新浪财经_新浪网 — https://vip.stock.finance.sina.com.cn/corp/go.php/vCB_AllBulletin/stockid/002475.phtml?ftype=lsgg</w:t>
      </w:r>
    </w:p>
    <w:p>
      <w:pPr>
        <w:spacing w:after="200"/>
      </w:pPr>
      <w:r>
        <w:rPr>
          <w:i/>
          <w:iCs/>
          <w:color w:val="595959"/>
          <w:sz w:val="18"/>
          <w:szCs w:val="18"/>
        </w:rPr>
        <w:t xml:space="preserve">立讯精密(002475) 公司大事_F10_同花顺金融服务网 — https://basic.10jqka.com.cn/002475/event.html</w:t>
      </w:r>
    </w:p>
    <w:p>
      <w:pPr>
        <w:spacing w:after="200"/>
      </w:pPr>
      <w:r>
        <w:rPr>
          <w:i/>
          <w:iCs/>
          <w:color w:val="595959"/>
          <w:sz w:val="18"/>
          <w:szCs w:val="18"/>
        </w:rPr>
        <w:t xml:space="preserve">大宗交易：立讯精密成交2779.72万元（9-7） _ 东方财富网 — https://finance.eastmoney.com/a/202609073866709141.html?utm_source=openai</w:t>
      </w:r>
    </w:p>
    <w:p>
      <w:pPr>
        <w:spacing w:after="200"/>
      </w:pPr>
      <w:r>
        <w:rPr>
          <w:i/>
          <w:iCs/>
          <w:color w:val="595959"/>
          <w:sz w:val="18"/>
          <w:szCs w:val="18"/>
        </w:rPr>
        <w:t xml:space="preserve">立讯精密_ 个股日历 _ 东方财富网_ 数据频道 — https://data.eastmoney.com/stockcalendar/002475.html?utm_source=openai</w:t>
      </w:r>
    </w:p>
    <w:p>
      <w:pPr>
        <w:spacing w:after="200"/>
      </w:pPr>
      <w:r>
        <w:rPr>
          <w:i/>
          <w:iCs/>
          <w:color w:val="595959"/>
          <w:sz w:val="18"/>
          <w:szCs w:val="18"/>
        </w:rPr>
        <w:t xml:space="preserve">立讯精密(002475)_公司公告_立讯精密：2026年半年度报告新浪财经_新浪网 — https://vip.stock.finance.sina.com.cn/corp/view/vCB_AllBulletinDetail.php?id=12529542&amp;stockid=002475&amp;utm_source=openai</w:t>
      </w:r>
    </w:p>
    <w:p>
      <w:pPr>
        <w:spacing w:after="200"/>
      </w:pPr>
      <w:r>
        <w:rPr>
          <w:i/>
          <w:iCs/>
          <w:color w:val="595959"/>
          <w:sz w:val="18"/>
          <w:szCs w:val="18"/>
        </w:rPr>
        <w:t xml:space="preserve">立讯精密(002475)_股票行情，行情首页_中财网 — https://quotewh.cfi.cn/quote_002475.html</w:t>
      </w:r>
    </w:p>
    <w:p>
      <w:pPr>
        <w:spacing w:after="200"/>
      </w:pPr>
      <w:r>
        <w:rPr>
          <w:i/>
          <w:iCs/>
          <w:color w:val="595959"/>
          <w:sz w:val="18"/>
          <w:szCs w:val="18"/>
        </w:rPr>
        <w:t xml:space="preserve">立讯精密 (002475) - 历史交易数据 | 打板客网 — https://dabanke.com/hangqing-002475.html</w:t>
      </w:r>
    </w:p>
    <w:p>
      <w:pPr>
        <w:spacing w:after="200"/>
      </w:pPr>
      <w:r>
        <w:rPr>
          <w:i/>
          <w:iCs/>
          <w:color w:val="595959"/>
          <w:sz w:val="18"/>
          <w:szCs w:val="18"/>
        </w:rPr>
        <w:t xml:space="preserve">Luxshare Precision Industry Co Ltd Stock Price Today | SZ: 002475 Live - Investing.com — https://www.investing.com/equities/luxshare-precision-a?utm_source=openai</w:t>
      </w:r>
    </w:p>
    <w:p>
      <w:pPr>
        <w:spacing w:after="200"/>
      </w:pPr>
      <w:r>
        <w:rPr>
          <w:i/>
          <w:iCs/>
          <w:color w:val="595959"/>
          <w:sz w:val="18"/>
          <w:szCs w:val="18"/>
        </w:rPr>
        <w:t xml:space="preserve">立讯精密(002475)股票行情走势技术分析_未来预测_买卖操作建议_英为财情Investing.com — https://cn.investing.com/equities/luxshare-precision-a-technical?utm_source=openai</w:t>
      </w:r>
    </w:p>
    <w:p>
      <w:pPr>
        <w:spacing w:after="200"/>
      </w:pPr>
      <w:r>
        <w:rPr>
          <w:i/>
          <w:iCs/>
          <w:color w:val="595959"/>
          <w:sz w:val="18"/>
          <w:szCs w:val="18"/>
        </w:rPr>
        <w:t xml:space="preserve">002475 AI Stock Analysis | StockKit — https://stockkit.net/reports/002475?utm_source=openai</w:t>
      </w:r>
    </w:p>
    <w:p>
      <w:pPr>
        <w:spacing w:after="200"/>
      </w:pPr>
      <w:r>
        <w:rPr>
          <w:i/>
          <w:iCs/>
          <w:color w:val="595959"/>
          <w:sz w:val="18"/>
          <w:szCs w:val="18"/>
        </w:rPr>
        <w:t xml:space="preserve">立讯精密(002475)_资金流向_证券之星 — https://stock.quote.stockstar.com/capital_002475.shtml?utm_source=openai</w:t>
      </w:r>
    </w:p>
    <w:p>
      <w:pPr>
        <w:spacing w:after="200"/>
      </w:pPr>
      <w:r>
        <w:rPr>
          <w:i/>
          <w:iCs/>
          <w:color w:val="595959"/>
          <w:sz w:val="18"/>
          <w:szCs w:val="18"/>
        </w:rPr>
        <w:t xml:space="preserve">立讯精密002475股票DDX实时资金趋势,主力资金流向,ddx,ddy,ddz分时数据_DDX查询网 — https://www.stockddx.com/ddx/002475.html?utm_source=openai</w:t>
      </w:r>
    </w:p>
    <w:p>
      <w:pPr>
        <w:spacing w:after="200"/>
      </w:pPr>
      <w:r>
        <w:rPr>
          <w:i/>
          <w:iCs/>
          <w:color w:val="595959"/>
          <w:sz w:val="18"/>
          <w:szCs w:val="18"/>
        </w:rPr>
        <w:t xml:space="preserve">立讯精密(002475) 股东研究_F10_同花顺金融服务网 — https://basic.10jqka.com.cn/002475/holder.html</w:t>
      </w:r>
    </w:p>
    <w:p>
      <w:pPr>
        <w:spacing w:after="200"/>
      </w:pPr>
      <w:r>
        <w:rPr>
          <w:i/>
          <w:iCs/>
          <w:color w:val="595959"/>
          <w:sz w:val="18"/>
          <w:szCs w:val="18"/>
        </w:rPr>
        <w:t xml:space="preserve">本报告由AI基于公开渠道信息自动检索、整理并生成，信息截至 数据基准日：2026年9月11日收盘；2026年9月13日为周日，A股休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2026-09-13T11:37:42.407Z</dcterms:created>
  <dcterms:modified xsi:type="dcterms:W3CDTF">2026-09-13T11:37:42.407Z</dcterms:modified>
</cp:coreProperties>
</file>

<file path=docProps/custom.xml><?xml version="1.0" encoding="utf-8"?>
<Properties xmlns="http://schemas.openxmlformats.org/officeDocument/2006/custom-properties" xmlns:vt="http://schemas.openxmlformats.org/officeDocument/2006/docPropsVTypes"/>
</file>