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大金重工 (002487)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行业：海上风电装备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报告日期：2026年10月9日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行情截至2026-10-08收盘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核心结论：海外高毛利装备支撑增长，但二季度回落使高增预期待交付验证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48.61元（+5.01%）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约359.76亿元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31.08倍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2.49倍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31.95～94.09元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21.89~50.56亿元/9.2%~20.08%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行情数据截至：2026-10-08收盘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累计增长仍在，单季明显转弱</w:t>
      </w:r>
      <w:r>
        <w:rPr>
          <w:sz w:val="22"/>
          <w:szCs w:val="22"/>
        </w:rPr>
        <w:t xml:space="preserve">：2026年上半年营收32.53亿元、归母净利6.01亿元，同比分别增14.48%、9.89%；二季度营收、归母净利分别同比降20.87%、47.42%。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海外装备订单兑现决定增长弹性</w:t>
      </w:r>
      <w:r>
        <w:rPr>
          <w:sz w:val="22"/>
          <w:szCs w:val="22"/>
        </w:rPr>
        <w:t xml:space="preserve">：2025年风电装备收入同比增67.08%；出口毛利率33.95%，高于国内23.13%。机构预计2026—2028年归母净利增速为42.7%、51.7%、38.5%。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估值低于自身中位数但销售倍数偏高</w:t>
      </w:r>
      <w:r>
        <w:rPr>
          <w:sz w:val="22"/>
          <w:szCs w:val="22"/>
        </w:rPr>
        <w:t xml:space="preserve">：10月8日收盘48.61元，PE-TTM 31.08倍、PB 2.49倍，分别处近5.2年34%、42%分位；PS-TTM 5.46倍，处82%分位。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：机构一致预期2026年归母净利增长42.66%；现价在给定回报及退出PE假设下隐含10年EPS年均增长16.2%，与短期净利润增速期限和指标不同，不能直接比较高低。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：上半年归母净利仅增9.89%，二季度归母净利同比下降47.42%，与全年高增预期之间仍需下半年交付兑现；经营现金流覆盖利润2.55倍，提供一定质量支撑。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向风电项目及供应链客户销售单桩、导管架、塔筒等装备，并拓展运输交付与新能源发电。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风电装备产品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95.01%（2025年）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29.07%（2025年）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67.08%（2025年同比）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核心收入及利润来源，出口业务占比提升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新能源发电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4.07%（2025年）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69.46%（2025年）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16.37%（2025年同比）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风电、光伏项目合计并网装机约500MW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0.92%（2025年）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约80.05%（2025年，按披露收入成本计算）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6.89%（2025年同比）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收入规模较小，毛利率不宜外推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港口与场地：蓬莱基地约57万平方米、2个10万吨级泊位；支持大型装备制造装运。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海外交付经验：2019年起开拓欧洲市场，积累客户审核、工艺质量及运输交付经验。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盈利表现：2025年出口毛利率33.95%，高于国内业务23.13%；整体毛利率高于所列可比公司。</w:t>
      </w:r>
    </w:p>
    <w:p>
      <w:pPr>
        <w:spacing w:after="160" w:line="300"/>
      </w:pPr>
      <w:r>
        <w:rPr>
          <w:sz w:val="22"/>
          <w:szCs w:val="22"/>
        </w:rPr>
        <w:t xml:space="preserve">主要威胁：客户集中度高，海外项目交付与回款影响大；钢材价格、汇率、贸易壁垒及新增产能爬坡也可能侵蚀利润。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主要采购钢板、法兰、内件；以销定产、以产定采，报价时预判原料价格并按订单采购，钢材等价格主要随市场波动。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2025年前五大供应商采购额占41.63%，第一大占12.66%；供应商匿名且未披露具体供货品类，不能据此判断钢材供应集中度。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直销为主，客户包括大型风电项目开发商及项目供应链客户；以产品规格、制造质量、交付和物流服务竞争。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大型项目客户的采购节奏可能影响排产与收入；公司对客户议价能力缺乏可直接量化的披露，不能仅凭出口毛利较高推断定价权强。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2025年年报：前五大客户销售额占74.59%，第一大占34.98%；客户匿名列示，集中度及客户身份以年报披露为限。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2025年末应收账款账面价值10.57亿元，约占营收17.1%、归母净利润95.8%；合同负债16.09亿元，可部分缓冲生产资金需求。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约23.01%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约13.03%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约16.72%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约8.82%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约23.4%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约9.83%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29.83%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约12.54%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海外海工装备业务提升是毛利率改善背景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31.18%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约17.87%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海外收入占比提升，出口毛利率同比下降4.53个百分点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公司处于海上风电基础装备中游制造，并向运输交付服务延伸；利润改善更依赖海外高附加值项目占比、交付效率、产能利用率与成本控制，而非钢材定价权。趋势数据为2021—2025年年度口径。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大型海上风电装备制造的竞争关键在制造质量、交付与物流能力；对大金重工而言，海外业务增长及订单兑现是影响经营表现的重要变量。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天顺风能（002531）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风电装备、海工装备及发电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2025年营收53.88亿元；毛利率18.94%；PE(TTM)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业务组合含发电板块，整体毛利率与纯装备口径不完全可比。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海力风电（301155）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海上风电塔筒及基础装备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2025年营收46.41亿元；毛利率13.92%；PE(TTM) 209.41倍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业务更集中于桩基、塔筒、导管架，整体毛利率低于大金重工。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泰胜风能（300129）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陆上及海上风电装备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2025年营收51.94亿元；毛利率12.07%；PE(TTM) 70.86倍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业务组合含陆上装备、海工装备和发电，利润结构与大金重工不同。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2025年大金重工营收规模及整体毛利率均高于所列三家可比公司，主要与当年出口及海上高附加值业务占比有关；这不代表其在所有细分市场均有更高市占率。同行PE取自不同日期的第三方页面，口径不完全一致。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32.53亿元人民币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+14.48%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6.01亿元人民币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+9.89%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+4.57%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37.53%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61.74亿元人民币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+63.34%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11.03亿元人民币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+132.82%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+148.68%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31.18%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37.80亿元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-12.61%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+11.46%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+17.70%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29.83%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上半年累计收入、利润仍增长，但所在单季营收、归母净利同比分别下滑20.87%、47.42%，显示交付节奏波动；扣非增速低于归母。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7.02%（2026中报）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为中报期间指标，未作年化；低于2025年报的14.18%。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33.49%（2026中报）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负债率较低，财务杠杆总体可控。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2.55倍（2026中报）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经营现金流对利润覆盖较充分。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59.1天（2026中报）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回款周转较快。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201.9天（2026中报）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项目制造交付周期较长，后续关注存货周转变化。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2.92（2026中报）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流动资产对短期负债覆盖较充足。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31.08倍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近5.2年34%分位（中位数34.72倍）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中位数140.13倍（海力风电209.41、泰胜风能70.86）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2.49倍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近5.2年42%分位（中位数2.86倍）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中位数1.70倍（天顺风能1.70、海力风电1.79、泰胜风能1.44）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5.46倍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近5.2年82%分位（中位数4.25倍）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中位数2.88倍（天顺风能2.88、海力风电3.62、泰胜风能1.85）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0.59%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估值倍数由程序按2026-10-08收盘数据计算（滚动十二个月口径）；同行倍数按2026-10-08收盘数据同口径计算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31.08倍市盈率计，若投资者要求年化8%的回报、10年后按15倍市盈率估值，每股收益需年均增长约16.2%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现价在给定回报及退出PE假设下隐含10年EPS年均增长16.2%，与机构短期净利润预测的期限及指标不同，不能直接比较高低。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79.61亿元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15.74亿元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+42.7%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2.28元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111.32亿元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23.88亿元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+51.7%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3.44元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156.54亿元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33.08亿元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+38.5%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4.79元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东方财富近六个月研报汇总，截至2026-10-09。可见机构研报明细，评级人数另计：2026E净利润12家、EPS12家；2027E净利润12家、EPS12家；2028E净利润12家、EPS12家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4家机构，均值84元，区间47~100.99元；最新为华泰证券2026-08-28的47元。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华鑫证券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预测2026E归母净利16.22亿元，EPS 2.19元。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长江证券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2026-09-17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预测2026E归母净利14.40亿元，EPS 1.95元。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目标价47元。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群益证券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买进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2026-05-28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目标价94元。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关注收入、利润及出口交付节奏；若交付改善且利润表现好于二季度，构成正面信号。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2026-12-05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H股IPO限售股预计解禁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解禁股数量尚未完整确认；关注最终解禁规模及实际减持，供给压力高于预期则偏负面。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2026-08-22 半年报显示二季度承压（中性）</w:t>
      </w:r>
      <w:r>
        <w:rPr>
          <w:sz w:val="22"/>
          <w:szCs w:val="22"/>
        </w:rPr>
        <w:t xml:space="preserve">：半年报显示，二季度受出口单桩交付节奏波动及汇兑损失拖累；公司业绩交流称剔除汇兑后净利润同比约增57%，属公司交流口径。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2026-09-22 签约海上风电安装船设计（利好）</w:t>
      </w:r>
      <w:r>
        <w:rPr>
          <w:sz w:val="22"/>
          <w:szCs w:val="22"/>
        </w:rPr>
        <w:t xml:space="preserve">：媒体报道称，公司与Ulstein签署新一代海上基础安装船设计合同，向“制造、运输、母港、安装”一体化延伸；尚待公司公告确认。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2026-08-04 签署约10亿元散货船订单（利好）</w:t>
      </w:r>
      <w:r>
        <w:rPr>
          <w:sz w:val="22"/>
          <w:szCs w:val="22"/>
        </w:rPr>
        <w:t xml:space="preserve">：子公司与挪威船东签署约10亿元散货船建造合同，计划于2029年分批交付，为造船业务增加在手订单。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2025年风电装备收入增长67.08%，出口毛利率33.95%高于国内23.13%，海外高附加值项目仍有利润弹性。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2025年整体毛利率升至31.18%，高于2024年的29.83%；出口业务占比提升是盈利改善的重要支撑。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二季度归母净利同比下降47.42%，出口单桩交付波动已体现为季度业绩不稳定。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前五大客户销售占74.59%、第一大占34.98%，项目采购节奏变化可能显著影响排产与收入。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PS-TTM处近5.2年82%分位，若高增长预期未兑现，销售倍数偏高将放大估值回落压力。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钢材价格上涨或汇率波动→以销定产虽可降低敞口，报价与采购时点错配仍可能压缩项目毛利。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海外贸易壁垒或项目交付受阻→出口订单确认和回款延后，削弱高毛利业务对利润的贡献。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应收账款回收放缓→2025年末应收账款账面价值10.57亿元，可能增加营运资金占用并拖累现金流。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12月5日H股限售股预计解禁且规模尚未确认→若实际供给或减持高于预期，可能压低估值水平。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三季报业绩与交付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预约2026年10月27日披露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收入、利润较二季度改善，出口交付恢复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收入或利润继续下滑，交付波动延续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出口毛利率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2025年为33.95%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后续披露保持在该水平附近或回升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明显低于该水平且出口占比继续提升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回款与经营现金流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上半年经营现金流净额/净利润2.55倍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回款保持顺畅，现金流覆盖利润不低于1倍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现金流覆盖转弱并伴随应收账款上升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H股限售股解禁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预计2026年12月5日，规模未确认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解禁规模和实际减持压力低于市场担忧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解禁规模较大且出现集中减持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⚠️以下为基于当前技术与资金面的主观情景推演，权重非统计概率，不构成投资建议。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股价连续走强并逼近近20日高点49.4元，但收盘已高于布林上轨，RSI处高位；当日主力净流出1.69亿元，短线需关注高位震荡及回撤风险。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+28.29%/+46.58%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短期涨幅显著，追高波动风险上升。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MA5/10/20/60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43.80 / MA10 41.52 / MA20 38.15 / MA60 39.18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均线多头排列，短线价格偏离均线较大。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DIF/DEA/柱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1.848 / DEA 0.499 / 柱 2.697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动能偏强，MACD柱较前日扩大。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88.9 / RSI14 75.6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短线处于高位，回撤压力增大。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布林上/中/下轨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47.28 / 中轨 38.15 / 下轨 29.03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收盘高于上轨，短线偏离度较高。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49.0~49.4元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对应近20日高点附近；放量突破并站稳可打开上方空间，受阻则关注均线支撑。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41.52~43.80元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对应MA10至MA5；若跌破该区间，回踩38.15~39.18元支撑的风险上升。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38.15~39.18元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对应MA20、MA60及布林中轨；若失守，可能进一步指向布林下轨29.03元。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以2026-10-08价格48.61元为基准，用近300个交易日的收益分布（按当前指数加权日波动率约4.1%缩放，保留这只股票自身的大涨大跌频率）推算未来5个交易日的收盘价范围：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44.62～54.87元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-8.2%～+12.9%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39.09～62.54元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-19.6%～+28.7%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高位震荡整理（相对权重较高，约五成）</w:t>
      </w:r>
      <w:r>
        <w:rPr>
          <w:sz w:val="22"/>
          <w:szCs w:val="22"/>
        </w:rPr>
        <w:t xml:space="preserve">：43.80~49.40元；守住MA5且未有效突破近20日高点，或在区间内整理。按历史波动率测算，一周后收盘落在该区间的概率约35%。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偏弱回落（权重中等，约三成）</w:t>
      </w:r>
      <w:r>
        <w:rPr>
          <w:sz w:val="22"/>
          <w:szCs w:val="22"/>
        </w:rPr>
        <w:t xml:space="preserve">：38.15~43.80元；若放量跌破MA5并持续承压，关注MA20、MA60支撑。按历史波动率测算，一周后收盘落在该区间的概率约10%。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放量反弹走强（权重偏低，约两成）</w:t>
      </w:r>
      <w:r>
        <w:rPr>
          <w:sz w:val="22"/>
          <w:szCs w:val="22"/>
        </w:rPr>
        <w:t xml:space="preserve">：49.40~52.00元；若成交额超过近期区间上沿且有效突破49.40元，走势或延续偏强。按历史波动率测算，一周后收盘落在该区间的概率约20%。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约21.89亿~50.56亿元、换手率约9.2%~20.08%，交易活跃但换手较高时价格波动可能加大。前十大流通股东截至2026-06-30合计持有流通股56.48%，包括保险、基金、社保及基本养老基金；该股东结构披露有滞后，之后可能变化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若单日成交额超过近10日区间上沿50.56亿元，且收盘站稳49.4元上方，可视为放量突破确认信号。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-08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大金重工(002487)_公司公告_大金重工：2025年年度报告新浪财经_新浪网 — https://money.finance.sina.com.cn/corp/view/vCB_AllBulletinDetail.php?id=11983401&amp;stockid=002487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大金重工股份有限公司2025年半年度报告全文 — https://static.cninfo.com.cn/finalpage/2025-08-27/1224576505.PDF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大金重工(002487)公司年报点评：两海战略见效 盈利能力大幅提升_公司研究_新浪财经_新浪网 — https://stock.finance.sina.com.cn/stock/go.php/vReport_Show/kind/company/rptid/798715975828/index.phtml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天顺风能（苏州）股份有限公司 2025 年年度报告全文 — https://disc.static.szse.cn/download/disc/disk03/finalpage/2026-03-31/71506d41-34b8-48e6-8d9e-0de347776e7e.PDF?n=%E5%A4%A9%E9%A1%BA%E9%A3%8E%E8%83%BD%EF%BC%9A2025%E5%B9%B4%E5%B9%B4%E5%BA%A6%E6%8A%A5%E5%91%8A.PDF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公司公告_海力风电：2025年年度报告新浪财经_新浪网 — https://vip.stock.finance.sina.com.cn/corp/view/vCB_AllBulletinDetail.php?id=12252531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泰胜风能集团股份有限公司 2025 年年度报告全文 — https://disc.static.szse.cn/disc/disk03/finalpage/2026-04-18/d0172629-73ff-4ed7-808a-aa270b34098f.PDF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大金重工市盈率(P/E ratio)历史走势_历年数据对比 | 财报帮 — https://www.caibaobang.cn/sanpk/mh-zbs?code=002487&amp;tag=pe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大金重工(002487)的历史市盈率,历史市净率,历史股息率,新闻,财报,研报,数据 - 理财大视野 — https://dashiyetouzi.com/tools/stock.php?stock_id=002487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https://static.cninfo.com.cn/finalpage/2026-08-22/1225489611.PDF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https://static.cninfo.com.cn/finalpage/2026-03-06/1224997956.PDF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Dajin Heavy Industry Co., Ltd. Annual Report 2024(Summary) — https://static.cninfo.com.cn/finalpage/2025-05-06/1223470979.PDF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Dajin Heavy Industry Co., Ltd. Annual Report 2023(Summary) — https://static.cninfo.com.cn/finalpage/2024-05-13/1220037802.PDF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腾讯财经行情（2026-10-09） — https://gu.qq.com/sz002487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https://emweb.securities.eastmoney.com/pc_hsf10/pages/index.html?type=web&amp;code=SZ002487#/cwfx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https://emweb.securities.eastmoney.com/pc_hsf10/pages/index.html?type=web&amp;code=SZ002487#/ylyc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大金重工:2026年半年度报告 — https://pdf.dfcfw.com/pdf/H2_AN202608210006743753_1.pdf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中国股票调研活动表 - 大金重工股份有限公司 - 2026年8月21日 - 同花顺 — https://basic.10jqka.com.cn/002487/#13100772260593612822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大金重工：上半年净利润6.01亿元 同比增长9.89% - 经济新闻滚动 &gt; 正文 — https://finance.sina.com.cn/jjxw/2026-08-21/doc-iniparap8084589.shtml?cref=cj#1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大金重工：上半年净利润6.01亿元 同比增长9.89% — https://finance.sina.com.cn/jjxw/2026-08-21/doc-iniparai6407729.shtml?cref=cj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大金重工(002487)2026年半年报点评：海运节奏拖累Q2发货 出海单吨净利维持高位 — http://stock.finance.sina.com.cn/stock/go.php/vReport_Show/kind/company/rptid/841030697636/index.phtml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大金重工(002487)2026年半年报点评：毛利率进一步提升 多业务协同发展 — http://stock.finance.sina.com.cn/stock/go.php/vReport_Show/kind/company/rptid/841057715478/index.phtml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上半年业绩同比增长10%，海工一体化交付能力落地 — https://data.eastmoney.com/report/zw_strategy.jshtml?encodeUrl=C1UUbb8YVqY3vdajVLuUWXtvvqpQYbcxX/dlYWzQNEU=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002487 大金重工 — https://emweb.securities.eastmoney.com/BusinessAnalysis/Index?code=sz002487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大金重工(002487.SZ)：上半年归母净利润同比增加9.89%，拟每10股派0.88元 - 快速报价 — http://wdatacn.aastocks.com/sc/%28Z%28%40%40n7cjDGdCXMF%3Dacx%7B%7B%7Bthis%7D%7D%7DrapYePVc%29%29/cnhk/quote/stock-news-content/002487/GLH5291590N/GLH#1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https://data.eastmoney.com/zjlx/002487.html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https://emweb.securities.eastmoney.com/pc_hsf10/pages/index.html?type=web&amp;code=SZ002487#/gdyj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2026-10-08收盘，可能存在时效性差异，具体数据请以公司正式公告及权威数据终端为准。本报告仅为信息整理与研究参考，不构成任何投资建议，投资者应独立判断并自行承担投资风险。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2026-10-09T03:57:42.870Z</dcterms:created>
  <dcterms:modified xsi:type="dcterms:W3CDTF">2026-10-09T03:57:42.870Z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