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荣盛石化 (002493)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行业：炼化一体化与聚酯化纤</w:t>
      </w:r>
    </w:p>
    <w:p>
      <w:pPr>
        <w:jc w:val="center"/>
      </w:pPr>
      <w:r>
        <w:rPr>
          <w:color w:val="595959"/>
          <w:sz w:val="22"/>
          <w:szCs w:val="22"/>
        </w:rPr>
        <w:t xml:space="preserve">报告日期：2026年9月14日</w:t>
      </w:r>
    </w:p>
    <w:p>
      <w:pPr>
        <w:jc w:val="center"/>
      </w:pPr>
      <w:r>
        <w:rPr>
          <w:color w:val="595959"/>
          <w:sz w:val="20"/>
          <w:szCs w:val="20"/>
        </w:rPr>
        <w:t xml:space="preserve">截至2026年9月11日收盘；技术指标页面部分数据截至2026年9月14日，股东数据截至2026年6月30日，存在时间窗口差异与数据滞后。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荣盛石化2026年上半年呈现“收入下降、利润大幅增长”：营业收入1294.07亿元，同比下降12.93%，归母净利润51.11亿元，同比增长748.83%，扣非归母净利润53.44亿元，同比增长607.79%，经营活动现金流净额212.54亿元，同比增长180.15%。利润改善主要来自炼化产品价差和芳烃链盈利修复、装置运行效率提升、产品结构调整及原油采购和供应链管理改善，但上半年高增速具有较强周期性，不能直接外推全年。</w:t>
      </w:r>
    </w:p>
    <w:p>
      <w:pPr>
        <w:spacing w:after="160" w:line="300"/>
      </w:pPr>
      <w:r>
        <w:rPr>
          <w:sz w:val="22"/>
          <w:szCs w:val="22"/>
        </w:rPr>
        <w:t xml:space="preserve">公司核心竞争力来自控股51%的浙石化超大型炼化一体化平台，以及原油—炼油—芳烃/烯烃—PTA/聚酯—化工新材料的纵向配套。浙石化披露形成4,000万吨/年炼油、880万吨/年PX和420万吨/年乙烯产能，港口条件、规模化装置和内部中间原料配套有助于降低部分采购及物流环节成本；但公司仍是原油及大宗化工品价格的接受者，盈利核心取决于成品油、芳烃、烯烃、PTA及聚酯等产品价差。</w:t>
      </w:r>
    </w:p>
    <w:p>
      <w:pPr>
        <w:spacing w:after="160" w:line="300"/>
      </w:pPr>
      <w:r>
        <w:rPr>
          <w:sz w:val="22"/>
          <w:szCs w:val="22"/>
        </w:rPr>
        <w:t xml:space="preserve">2025年公司营业收入3086.22亿元，同比下降5.47%，归母净利润8.48亿元，同比增长17.09%，整体毛利率12.22%、净利率约0.27%，显示基础炼化和聚酯业务盈利仍处低位。2026年上半年石化业务收入1060.82亿元，占比81.98%且同比下降17.70%，聚酯化纤收入132.90亿元、同比增长19.45%；公司拟推进约196亿元浙石化炼化改造提升工程，并与SABIC签署项目开发协议，但后者潜在股权投资尚未最终落地。</w:t>
      </w:r>
    </w:p>
    <w:p>
      <w:pPr>
        <w:spacing w:after="160" w:line="300"/>
      </w:pPr>
      <w:r>
        <w:rPr>
          <w:sz w:val="22"/>
          <w:szCs w:val="22"/>
        </w:rPr>
        <w:t xml:space="preserve">截至2026年9月11日收盘价13.60元，股价低于近期主要均线和布林中轨，MACD处于负值区域，短线技术结构偏弱；RSI约30.2、随机指标约17.5则显示接近弱势或超卖区域。公司前瞻盈利预期较2025年明显改善，但机构预测区间较宽，且估值数据存在统计口径差异，市场定价仍高度依赖后续炼化价差、装置运行和周期景气度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002493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荣盛石化</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2010年11月2日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浙江省杭州市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炼油、石化、聚酯化纤、化工新材料及贸易，覆盖各类油品、化工品和聚酯产品的研发、生产与销售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控股51%的浙江石油化工有限公司（浙石化）；浙石化位于浙江舟山绿色石化基地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浙石化形成4,000万吨/年炼油、880万吨/年PX、420万吨/年乙烯产能；相关部分数据为设计产能或在建、规划产能，不等同于全部已达产有效产能</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炼油产品：2025年营业收入1,063.18亿元，占营业收入34.45%，毛利率22.92%</w:t>
      </w:r>
    </w:p>
    <w:p>
      <w:pPr>
        <w:pStyle w:val="ListParagraph"/>
        <w:numPr>
          <w:ilvl w:val="0"/>
          <w:numId w:val="2"/>
        </w:numPr>
        <w:spacing w:after="80" w:line="280"/>
      </w:pPr>
      <w:r>
        <w:rPr>
          <w:sz w:val="22"/>
          <w:szCs w:val="22"/>
        </w:rPr>
        <w:t xml:space="preserve">化工产品：2025年营业收入1,171.98亿元，占比37.98%，毛利率10.95%</w:t>
      </w:r>
    </w:p>
    <w:p>
      <w:pPr>
        <w:pStyle w:val="ListParagraph"/>
        <w:numPr>
          <w:ilvl w:val="0"/>
          <w:numId w:val="2"/>
        </w:numPr>
        <w:spacing w:after="80" w:line="280"/>
      </w:pPr>
      <w:r>
        <w:rPr>
          <w:sz w:val="22"/>
          <w:szCs w:val="22"/>
        </w:rPr>
        <w:t xml:space="preserve">PTA：2025年营业收入319.85亿元，占比10.36%，毛利率-1.40%</w:t>
      </w:r>
    </w:p>
    <w:p>
      <w:pPr>
        <w:pStyle w:val="ListParagraph"/>
        <w:numPr>
          <w:ilvl w:val="0"/>
          <w:numId w:val="2"/>
        </w:numPr>
        <w:spacing w:after="80" w:line="280"/>
      </w:pPr>
      <w:r>
        <w:rPr>
          <w:sz w:val="22"/>
          <w:szCs w:val="22"/>
        </w:rPr>
        <w:t xml:space="preserve">聚酯化纤薄膜：2025年营业收入233.95亿元，占比7.58%，毛利率1.10%</w:t>
      </w:r>
    </w:p>
    <w:p>
      <w:pPr>
        <w:pStyle w:val="ListParagraph"/>
        <w:numPr>
          <w:ilvl w:val="0"/>
          <w:numId w:val="2"/>
        </w:numPr>
        <w:spacing w:after="80" w:line="280"/>
      </w:pPr>
      <w:r>
        <w:rPr>
          <w:sz w:val="22"/>
          <w:szCs w:val="22"/>
        </w:rPr>
        <w:t xml:space="preserve">贸易及其他：2025年营业收入297.27亿元，占比9.63%，毛利率2.31%</w:t>
      </w:r>
    </w:p>
    <w:p>
      <w:pPr>
        <w:pStyle w:val="ListParagraph"/>
        <w:numPr>
          <w:ilvl w:val="0"/>
          <w:numId w:val="2"/>
        </w:numPr>
        <w:spacing w:after="80" w:line="280"/>
      </w:pPr>
      <w:r>
        <w:rPr>
          <w:sz w:val="22"/>
          <w:szCs w:val="22"/>
        </w:rPr>
        <w:t xml:space="preserve">聚酯产业链：通过逸盛体系布局PTA、聚酯瓶片、涤纶长丝和聚酯薄膜</w:t>
      </w:r>
    </w:p>
    <w:p>
      <w:pPr>
        <w:pStyle w:val="ListParagraph"/>
        <w:numPr>
          <w:ilvl w:val="0"/>
          <w:numId w:val="2"/>
        </w:numPr>
        <w:spacing w:after="80" w:line="280"/>
      </w:pPr>
      <w:r>
        <w:rPr>
          <w:sz w:val="22"/>
          <w:szCs w:val="22"/>
        </w:rPr>
        <w:t xml:space="preserve">化工新材料产业链：布局工程塑料、新能源材料、高端聚烯烃和特种橡胶</w:t>
      </w:r>
    </w:p>
    <w:p>
      <w:pPr>
        <w:pStyle w:val="ListParagraph"/>
        <w:numPr>
          <w:ilvl w:val="0"/>
          <w:numId w:val="2"/>
        </w:numPr>
        <w:spacing w:after="80" w:line="280"/>
      </w:pPr>
      <w:r>
        <w:rPr>
          <w:sz w:val="22"/>
          <w:szCs w:val="22"/>
        </w:rPr>
        <w:t xml:space="preserve">2025年按行业划分，石化行业收入2,555.00亿元，占比82.79%；聚酯化纤行业收入233.95亿元，占比7.58%；贸易及其他收入297.27亿元，占比9.63%</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荣盛石化位于石油化工产业链中上游至中游的超大型综合平台位置，形成“原油—炼油—芳烃/烯烃—PTA/聚酯—工程塑料、高端聚烯烃、新能源材料和特种橡胶”的纵向延伸。公司不是上游油气资源型企业，优势主要来自炼化规模、港口条件、装置一体化和中间原料内部配套。</w:t>
      </w:r>
    </w:p>
    <w:p>
      <w:pPr>
        <w:pStyle w:val="ListParagraph"/>
        <w:numPr>
          <w:ilvl w:val="0"/>
          <w:numId w:val="2"/>
        </w:numPr>
        <w:spacing w:after="80" w:line="280"/>
      </w:pPr>
      <w:r>
        <w:rPr>
          <w:sz w:val="22"/>
          <w:szCs w:val="22"/>
        </w:rPr>
        <w:t xml:space="preserve">实际采购的主要上游原料包括进口原油、石脑油、轻烃、混合二甲苯，以及PTA等环节涉及的PX、MEG等大宗化工原料。</w:t>
      </w:r>
    </w:p>
    <w:p>
      <w:pPr>
        <w:pStyle w:val="ListParagraph"/>
        <w:numPr>
          <w:ilvl w:val="0"/>
          <w:numId w:val="2"/>
        </w:numPr>
        <w:spacing w:after="80" w:line="280"/>
      </w:pPr>
      <w:r>
        <w:rPr>
          <w:sz w:val="22"/>
          <w:szCs w:val="22"/>
        </w:rPr>
        <w:t xml:space="preserve">2025年石化行业营业成本中，原材料成本1,955.75亿元，占石化行业营业成本89.40%；折旧成本129.21亿元，占比5.91%；能源成本73.95亿元，占比3.38%。</w:t>
      </w:r>
    </w:p>
    <w:p>
      <w:pPr>
        <w:pStyle w:val="ListParagraph"/>
        <w:numPr>
          <w:ilvl w:val="0"/>
          <w:numId w:val="2"/>
        </w:numPr>
        <w:spacing w:after="80" w:line="280"/>
      </w:pPr>
      <w:r>
        <w:rPr>
          <w:sz w:val="22"/>
          <w:szCs w:val="22"/>
        </w:rPr>
        <w:t xml:space="preserve">分产品看，2025年炼油产品原材料成本占其营业成本88.67%，化工产品为88.73%，PTA为93.47%，整体属于原料成本驱动型企业。</w:t>
      </w:r>
    </w:p>
    <w:p>
      <w:pPr>
        <w:pStyle w:val="ListParagraph"/>
        <w:numPr>
          <w:ilvl w:val="0"/>
          <w:numId w:val="2"/>
        </w:numPr>
        <w:spacing w:after="80" w:line="280"/>
      </w:pPr>
      <w:r>
        <w:rPr>
          <w:sz w:val="22"/>
          <w:szCs w:val="22"/>
        </w:rPr>
        <w:t xml:space="preserve">2025年前五大供应商采购金额合计1,660.54亿元，占年度采购总额57.29%；第一大供应商采购金额1,007.91亿元，占采购总额34.77%；其中关联方采购占年度采购总额37.93%。上述供应商均匿名列示，具体交易对手无法仅凭年报核实。</w:t>
      </w:r>
    </w:p>
    <w:p>
      <w:pPr>
        <w:pStyle w:val="ListParagraph"/>
        <w:numPr>
          <w:ilvl w:val="0"/>
          <w:numId w:val="2"/>
        </w:numPr>
        <w:spacing w:after="80" w:line="280"/>
      </w:pPr>
      <w:r>
        <w:rPr>
          <w:sz w:val="22"/>
          <w:szCs w:val="22"/>
        </w:rPr>
        <w:t xml:space="preserve">公司采购规模大、拥有舟山深水港口条件，并与沙特阿美建立原油供应合作，原油供应稳定性和采购条件高于普通独立炼厂；但公司无法控制国际原油基准价格，整体仍是相关大宗商品价格的接受者。</w:t>
      </w:r>
    </w:p>
    <w:p>
      <w:pPr>
        <w:pStyle w:val="ListParagraph"/>
        <w:numPr>
          <w:ilvl w:val="0"/>
          <w:numId w:val="2"/>
        </w:numPr>
        <w:spacing w:after="80" w:line="280"/>
      </w:pPr>
      <w:r>
        <w:rPr>
          <w:sz w:val="22"/>
          <w:szCs w:val="22"/>
        </w:rPr>
        <w:t xml:space="preserve">2023年沙特阿美通过子公司收购荣盛石化10%股权，并与浙石化建立长期原油供应合作；沙特阿美公开资料显示，将按照长期销售协议向浙石化供应48万桶/日原油。</w:t>
      </w:r>
    </w:p>
    <w:p>
      <w:pPr>
        <w:pStyle w:val="ListParagraph"/>
        <w:numPr>
          <w:ilvl w:val="0"/>
          <w:numId w:val="2"/>
        </w:numPr>
        <w:spacing w:after="80" w:line="280"/>
      </w:pPr>
      <w:r>
        <w:rPr>
          <w:sz w:val="22"/>
          <w:szCs w:val="22"/>
        </w:rPr>
        <w:t xml:space="preserve">公司通过PX、乙烯等中间原料与PTA、聚酯及新材料的内部配套，减少部分中间采购和运输环节，但原油价格上涨并不必然提升利润，最终取决于成品油、芳烃、烯烃和下游化工品价格能否同步传导。</w:t>
      </w:r>
    </w:p>
    <w:p>
      <w:pPr>
        <w:pStyle w:val="ListParagraph"/>
        <w:numPr>
          <w:ilvl w:val="0"/>
          <w:numId w:val="2"/>
        </w:numPr>
        <w:spacing w:after="80" w:line="280"/>
      </w:pPr>
      <w:r>
        <w:rPr>
          <w:sz w:val="22"/>
          <w:szCs w:val="22"/>
        </w:rPr>
        <w:t xml:space="preserve">下游客户覆盖成品油和燃料、塑料与包装、家电、汽车、建筑、纺织服装和家纺、饮料食品包装，以及工程塑料、新能源材料和高端聚烯烃等领域。</w:t>
      </w:r>
    </w:p>
    <w:p>
      <w:pPr>
        <w:pStyle w:val="ListParagraph"/>
        <w:numPr>
          <w:ilvl w:val="0"/>
          <w:numId w:val="2"/>
        </w:numPr>
        <w:spacing w:after="80" w:line="280"/>
      </w:pPr>
      <w:r>
        <w:rPr>
          <w:sz w:val="22"/>
          <w:szCs w:val="22"/>
        </w:rPr>
        <w:t xml:space="preserve">炼油、PX、PTA、聚烯烃等产品具有较强的大宗商品属性，下游客户更关注市场价格、质量稳定、物流效率和供应可靠性，普通基础化工品的品牌溢价和长期定价权有限。</w:t>
      </w:r>
    </w:p>
    <w:p>
      <w:pPr>
        <w:pStyle w:val="ListParagraph"/>
        <w:numPr>
          <w:ilvl w:val="0"/>
          <w:numId w:val="2"/>
        </w:numPr>
        <w:spacing w:after="80" w:line="280"/>
      </w:pPr>
      <w:r>
        <w:rPr>
          <w:sz w:val="22"/>
          <w:szCs w:val="22"/>
        </w:rPr>
        <w:t xml:space="preserve">公司对下游的议价能力主要来自规模、稳定供货、产品品种齐全和港口物流优势；产品价格和加工费仍较大程度受到行业供需和大宗商品基准价格影响。</w:t>
      </w:r>
    </w:p>
    <w:p>
      <w:pPr>
        <w:pStyle w:val="ListParagraph"/>
        <w:numPr>
          <w:ilvl w:val="0"/>
          <w:numId w:val="2"/>
        </w:numPr>
        <w:spacing w:after="80" w:line="280"/>
      </w:pPr>
      <w:r>
        <w:rPr>
          <w:sz w:val="22"/>
          <w:szCs w:val="22"/>
        </w:rPr>
        <w:t xml:space="preserve">2025年前五大客户销售金额合计1,067.19亿元，占年度销售总额34.59%；前五大客户中的关联方销售额占年度销售总额3.30%。</w:t>
      </w:r>
    </w:p>
    <w:p>
      <w:pPr>
        <w:pStyle w:val="ListParagraph"/>
        <w:numPr>
          <w:ilvl w:val="0"/>
          <w:numId w:val="2"/>
        </w:numPr>
        <w:spacing w:after="80" w:line="280"/>
      </w:pPr>
      <w:r>
        <w:rPr>
          <w:sz w:val="22"/>
          <w:szCs w:val="22"/>
        </w:rPr>
        <w:t xml:space="preserve">上述客户集中度数据为2025年度口径，公司年报以“客户1—客户5”匿名列示，未披露客户具体名称；该数据来源主要为公司2025年年度报告，具体客户结构和交易关系无法交叉核实，具体以最新年报为准。</w:t>
      </w:r>
    </w:p>
    <w:p>
      <w:pPr>
        <w:pStyle w:val="ListParagraph"/>
        <w:numPr>
          <w:ilvl w:val="0"/>
          <w:numId w:val="2"/>
        </w:numPr>
        <w:spacing w:after="80" w:line="280"/>
      </w:pPr>
      <w:r>
        <w:rPr>
          <w:sz w:val="22"/>
          <w:szCs w:val="22"/>
        </w:rPr>
        <w:t xml:space="preserve">聚酯瓶片、涤纶长丝、薄膜和高端材料等下游业务具有一定产品升级和客户认证属性，但基础炼油、PTA、普通聚酯和通用聚烯烃仍面临同质化竞争。</w:t>
      </w:r>
    </w:p>
    <w:p>
      <w:pPr>
        <w:pStyle w:val="ListParagraph"/>
        <w:numPr>
          <w:ilvl w:val="0"/>
          <w:numId w:val="2"/>
        </w:numPr>
        <w:spacing w:after="80" w:line="280"/>
      </w:pPr>
      <w:r>
        <w:rPr>
          <w:sz w:val="22"/>
          <w:szCs w:val="22"/>
        </w:rPr>
        <w:t xml:space="preserve">截至2025年12月31日，应收账款31.69亿元，占2025年营业收入约1.03%；预付款项21.41亿元，占营业收入约0.69%；存货335.76亿元，占营业收入约10.88%；应付账款589.59亿元，占营业收入约19.11%；合同负债40.83亿元，占营业收入约1.32%。应收账款较2024年末的68.22亿元下降，而应付账款基本稳定在约590亿元，显示公司应收账款占用较低、对供应商形成较大应付账款占用。2025年末应收账款前五名客户余额占全部应收账款68.22%，高于2024年末的49.37%，剩余应收账款集中度有所提高。</w:t>
      </w:r>
    </w:p>
    <w:p>
      <w:pPr>
        <w:pStyle w:val="ListParagraph"/>
        <w:numPr>
          <w:ilvl w:val="0"/>
          <w:numId w:val="2"/>
        </w:numPr>
        <w:spacing w:after="80" w:line="280"/>
      </w:pPr>
      <w:r>
        <w:rPr>
          <w:sz w:val="22"/>
          <w:szCs w:val="22"/>
        </w:rPr>
        <w:t xml:space="preserve">2025年供应商前五大集中度为57.29%，客户前五大集中度为34.59%，供应商集中度明显高于客户集中度。供应商和客户均匿名列示，且供应商集中度包含关联方采购，不能简单解读为完全依赖单一外部供应商；仍需关注关联采购定价公允性、供应来源集中风险及个别大客户信用风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约26.51%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约7.24%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浙石化炼化一体化项目投产初期，炼化产品价差和化工品景气度较好，规模效应开始释放。</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约10.81%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原油、能源和物流成本上升，国内疫情及海外需求走弱，PTA、聚酯和部分化工品价差收窄，收入增长但利润显著下降。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约11.49%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约0.36%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石化行业处于周期调整阶段，产品价格和加工价差偏弱，成本、折旧、财务费用和行业供需压力继续挤压利润。</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约11.48%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行业处于产能扩张后的调整阶段，炼油和部分化工产品价格及价差偏弱，收入基本持平但归母利润继续下降。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约0.27%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原材料价格同比下降、炼油产品毛利率改善，聚酯化纤项目投产推动产量增长；但PTA毛利率为负、化工产品毛利率下降，整体盈利仍处于低位。</w:t>
            </w:r>
          </w:p>
        </w:tc>
      </w:tr>
    </w:tbl>
    <w:p>
      <w:pPr>
        <w:spacing w:before="200"/>
      </w:pPr>
    </w:p>
    <w:p>
      <w:pPr>
        <w:spacing w:after="160" w:line="300"/>
      </w:pPr>
      <w:r>
        <w:rPr>
          <w:sz w:val="22"/>
          <w:szCs w:val="22"/>
        </w:rPr>
        <w:t xml:space="preserve">公司处于石油化工产业链中上游至中游，属于以规模化炼化和中间原料配套为核心的中游加工平台，而非拥有油气资源或传统品牌溢价的高利润环节。当前利润主要由炼油、芳烃、烯烃、PTA和聚酯等环节的产品价差驱动；未来改善取决于价差修复、装置运行效率提升、原油采购与物流成本控制，以及EVA、POE、工程塑料、高端聚烯烃等新材料项目投产、客户认证和产品结构升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1294.07亿元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同比下降12.93%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归母净利润51.11亿元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同比增长748.83%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606.29亿元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同比下降19.13%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归母净利润28.15亿元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同比增长378.46%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约687.78亿元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同比下降约6.61%；环比增长约13.45%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归母净利润约22.96亿元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同比大幅增长，具体增幅未披露；环比低于第一季度</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3086.22亿元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同比下降5.47%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归母净利润8.48亿元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同比增长17.09%</w:t>
            </w:r>
          </w:p>
        </w:tc>
      </w:tr>
    </w:tbl>
    <w:p>
      <w:pPr>
        <w:spacing w:after="200"/>
      </w:pPr>
      <w:r>
        <w:rPr>
          <w:i/>
          <w:iCs/>
          <w:color w:val="595959"/>
          <w:sz w:val="18"/>
          <w:szCs w:val="18"/>
        </w:rPr>
        <w:t xml:space="preserve">最新一期财报为荣盛石化2026年半年度报告，报告期为2026年1月1日至2026年6月30日，披露日期为2026年8月25日。2026年上半年扣除非经常性损益后的归母净利润为53.44亿元，同比增长607.79%；基本每股收益为0.53元，同比增长783.33%；加权平均净资产收益率为11.13%，较上年同期提高9.76个百分点；经营活动产生的现金流量净额为212.54亿元，同比增长180.15%。</w:t>
      </w:r>
    </w:p>
    <w:p>
      <w:pPr>
        <w:spacing w:after="160" w:line="300"/>
      </w:pPr>
      <w:r>
        <w:rPr>
          <w:sz w:val="22"/>
          <w:szCs w:val="22"/>
        </w:rPr>
        <w:t xml:space="preserve">2026年上半年呈现收入下降、利润大幅增长的特征，归母净利润和扣非归母净利润增速明显高于收入增速。收入仍以石化业务为主：石化行业收入1060.82亿元，占营业收入81.98%，同比下降17.70%；聚酯化纤行业收入132.90亿元，占比10.27%，同比增长19.45%。盈利改善主要与炼化产品价差、芳烃链盈利修复、硫磺等副产品价格变化、产品结构调整及成本控制有关，但具有较强周期性，不宜直接按上半年利润增速外推全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盈利预测页面显示，近6个月内有23家机构对2026年业绩作出预测，2028年有22家机构给出预测。多机构汇总主要展示归母净利润和EPS，未完整展示统一口径的收入均值；收入及对应的单一机构归母净利润、EPS预测来自证券之星整理的一家机构研报，不应视为多机构一致预期。东方证券于2026年9月6日预测2026年至2028年归母净利润分别为110.51亿元、125.17亿元和145.74亿元，EPS分别为1.11元、1.25元和1.46元；中金公司预测2026年归母净利润85.60亿元。上述均为机构预测，并非公司业绩指引或正式承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多机构统一口径收入均值缺失；单一机构预测2817.3亿元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多机构预测归母净利润均值86.68亿元，区间60.02亿至110.53亿元；单一机构预测72.62亿元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根据2025年归母净利润8.48亿元计算，多机构平均预测对应约9倍以上同比增长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多机构预测EPS均值0.87元，区间0.60元至1.11元；单一机构预测0.73元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多机构统一口径收入均值缺失；单一机构预测3277.7亿元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多机构预测归母净利润均值99.29亿元，区间72.29亿至139.58亿元；单一机构预测88.11亿元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未披露统一口径同比增速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多机构预测EPS均值1.00元，区间0.72元至1.44元；单一机构预测0.88元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多机构统一口径收入均值缺失；单一机构预测3516.4亿元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多机构预测归母净利润均值113.07亿元，区间74.06亿至169.72亿元；单一机构预测98.22亿元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未披露统一口径同比增速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多机构预测EPS均值1.13元，区间0.74元至1.75元；单一机构预测0.98元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近6个月机构评级统计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买入25份、增持7份、中性1份、减持及卖出0份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截至同花顺统计口径的近6个月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评级数量为研报数量统计，不等同于独立机构数量，可能包含同一机构不同时间点的重复覆盖。</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2026年目标价16.59元；按2026年15倍PE估值。</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近期，具体日期未披露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目标价不超过16.80元；预测2026年归母净利润85.60亿元。</w:t>
            </w:r>
          </w:p>
        </w:tc>
      </w:tr>
    </w:tbl>
    <w:p>
      <w:pPr>
        <w:spacing w:before="200"/>
      </w:pPr>
    </w:p>
    <w:p>
      <w:pPr>
        <w:spacing w:after="160" w:line="300"/>
      </w:pPr>
      <w:r>
        <w:rPr>
          <w:sz w:val="22"/>
          <w:szCs w:val="22"/>
        </w:rPr>
        <w:t xml:space="preserve">以2026年9月11日收盘价13.60元计算，总市值约1358.56亿元，动态市盈率约25.36倍，扣非市盈率约24.74倍，市净率约1.30倍；上述当前估值采用中财网口径，部分指标使用截至2026年6月30日的财务数据。研究纪要同时指出，同花顺页面显示动态市盈率约17.11倍，存在统计口径差异，因此应注意数据口径和更新时间差异。按同花顺机构平均EPS预测，2026年至2028年前瞻PE约为15.6倍、13.6倍和12.0倍；按东方证券预测，分别约为12.3倍、10.9倍和9.3倍。近6个月机构目标价区间为15.30元至16.80元，平均约16.01元；按平均目标价计算，较13.60元潜在上涨空间约17.7%，按东方证券16.59元目标价约22.0%，按中金公司16.80元目标价约23.5%。公司盈利和估值对油价、炼化价差、PTA/PX价差、产品价格及装置运行情况较为敏感，2026年上半年利润高增长具有周期性，实际全年利润可能显著偏离机构预测。</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2026年半年度业绩大幅增长，实际业绩落在预告区间内</w:t>
      </w:r>
    </w:p>
    <w:p>
      <w:pPr>
        <w:spacing w:after="160" w:line="300"/>
      </w:pPr>
      <w:r>
        <w:rPr>
          <w:sz w:val="22"/>
          <w:szCs w:val="22"/>
        </w:rPr>
        <w:t xml:space="preserve">公司于2026年7月15日披露半年度业绩预告，预计2026年1月1日至6月30日归属于上市公司股东的净利润为50.00亿元至52.00亿元，同比上升730.45%至763.67%；扣除非经常性损益后的净利润为52.00亿元至54.00亿元，同比上升588.78%至615.27%；基本每股收益为0.52元/股至0.54元/股。2026年8月25日披露的半年度报告显示，营业收入1294.07亿元，同比下降12.93%；归母净利润51.11亿元，同比增长748.83%；扣非净利润53.44亿元，同比增长607.79%；经营活动产生的现金流量净额212.54亿元，同比增长180.15%；基本每股收益0.53元。公司表示，业绩增长主要来自石油化工行业景气度回升、主要产品加工价差修复、炼化一体化装置运行效率提升，以及原油采购和供应链管理改善。</w:t>
      </w:r>
    </w:p>
    <w:p>
      <w:pPr>
        <w:pStyle w:val="Heading2"/>
        <w:spacing w:after="120" w:before="240"/>
      </w:pPr>
      <w:r>
        <w:rPr>
          <w:b/>
          <w:bCs/>
          <w:color w:val="2E74B5"/>
          <w:sz w:val="24"/>
          <w:szCs w:val="24"/>
        </w:rPr>
        <w:t xml:space="preserve">4.2 2026年员工持股计划完成非交易过户</w:t>
      </w:r>
    </w:p>
    <w:p>
      <w:pPr>
        <w:spacing w:after="160" w:line="300"/>
      </w:pPr>
      <w:r>
        <w:rPr>
          <w:sz w:val="22"/>
          <w:szCs w:val="22"/>
        </w:rPr>
        <w:t xml:space="preserve">公司于2026年7月10日披露，2026年员工持股计划非交易过户已完成。实际参与员工共1404人，实际认购资金总额17亿元，实际认购份额17亿份。公司于2026年7月7日将回购专用证券账户中的153,015,301股公司股票非交易过户至员工持股计划证券账户，过户价格为11.11元/股，涉及股份占公司总股本约1.53%。员工持股计划存续期为36个月，股票锁定期为12个月。该事项是将既有回购股份用于员工持股计划，并非2026年7月新启动现金回购，短期内不构成新增市场买入需求。</w:t>
      </w:r>
    </w:p>
    <w:p>
      <w:pPr>
        <w:pStyle w:val="Heading2"/>
        <w:spacing w:after="120" w:before="240"/>
      </w:pPr>
      <w:r>
        <w:rPr>
          <w:b/>
          <w:bCs/>
          <w:color w:val="2E74B5"/>
          <w:sz w:val="24"/>
          <w:szCs w:val="24"/>
        </w:rPr>
        <w:t xml:space="preserve">4.3 控股股东此前增持计划已完成，暂未发现新增增减持公告</w:t>
      </w:r>
    </w:p>
    <w:p>
      <w:pPr>
        <w:spacing w:after="160" w:line="300"/>
      </w:pPr>
      <w:r>
        <w:rPr>
          <w:sz w:val="22"/>
          <w:szCs w:val="22"/>
        </w:rPr>
        <w:t xml:space="preserve">公司2026年半年度报告显示，控股股东浙江荣盛控股集团有限公司在2024年1月22日至2025年9月30日期间实施的三期增持计划均已完成，累计增持荣盛石化股份289,064,301股，占当前总股本约2.89%，累计增持金额约27.05亿元。截至2026年6月30日，荣盛控股持有公司5,499,301,781股，占总股本55.05%；Aramco Overseas Company B.V.持有1,012,552,501股，占总股本10.14%，报告期内两者持股数量均未发生变化。截至2026年9月14日，未发现荣盛控股、沙特阿美或公司主要股东新披露的增持计划、减持计划或减持结果公告。</w:t>
      </w:r>
    </w:p>
    <w:p>
      <w:pPr>
        <w:pStyle w:val="Heading2"/>
        <w:spacing w:after="120" w:before="240"/>
      </w:pPr>
      <w:r>
        <w:rPr>
          <w:b/>
          <w:bCs/>
          <w:color w:val="2E74B5"/>
          <w:sz w:val="24"/>
          <w:szCs w:val="24"/>
        </w:rPr>
        <w:t xml:space="preserve">4.4 浙江证监局责令改正并收到深交所监管函，公司补选职工董事</w:t>
      </w:r>
    </w:p>
    <w:p>
      <w:pPr>
        <w:spacing w:after="160" w:line="300"/>
      </w:pPr>
      <w:r>
        <w:rPr>
          <w:sz w:val="22"/>
          <w:szCs w:val="22"/>
        </w:rPr>
        <w:t xml:space="preserve">2026年8月14日，公司披露收到浙江证监局行政监管措施决定书。监管部门认定，原职工董事俞凤娣与公司不存在劳动关系，不符合职工董事任职条件，导致董事会成员中没有公司职工代表。浙江证监局决定对公司采取责令改正措施，并将相关措施记入证券期货市场诚信档案，公司需在收到决定书后30日内提交书面整改报告。深交所于2026年8月13日对公司出具监管函，相关事项同样涉及职工董事任职资格及公司治理规范问题。2026年8月22日，公司披露已于8月21日召开职工代表大会，选举刘明辉为第七届董事会职工董事，任期至第七届董事会届满。8月25日，公司调整董事会提名委员会和薪酬与考核委员会委员组成，将刘明辉纳入相关专门委员会。截至2026年9月14日，公开信息中尚未看到监管整改报告全文，整改完成情况仍需后续公告确认。</w:t>
      </w:r>
    </w:p>
    <w:p>
      <w:pPr>
        <w:pStyle w:val="Heading2"/>
        <w:spacing w:after="120" w:before="240"/>
      </w:pPr>
      <w:r>
        <w:rPr>
          <w:b/>
          <w:bCs/>
          <w:color w:val="2E74B5"/>
          <w:sz w:val="24"/>
          <w:szCs w:val="24"/>
        </w:rPr>
        <w:t xml:space="preserve">4.5 与SABIC签署项目开发协议，潜在股权投资尚未落地</w:t>
      </w:r>
    </w:p>
    <w:p>
      <w:pPr>
        <w:spacing w:after="160" w:line="300"/>
      </w:pPr>
      <w:r>
        <w:rPr>
          <w:sz w:val="22"/>
          <w:szCs w:val="22"/>
        </w:rPr>
        <w:t xml:space="preserve">公司于2026年7月17日披露与沙特基础工业公司（SABIC）签署项目开发协议暨关联交易公告，合作项目为荣盛新材料（舟山）金塘新材料项目。双方正在评估SABIC未来持有荣盛新材料不低于30%、不超过50%的潜在股权投资，但投资比例、交易价格和交易结构尚未最终确定，仍需完成尽职调查、政府审批和备案、SABIC最终投资决策，并签署正式股权交易文件。项目开发阶段费用由SABIC按照未来可能持股比例分摊，项目开发总费用分摊上限为2亿美元，已支付的相关成本将在SABIC确定投资后计入股权转让价款。该事项构成关联交易，但不构成重大资产重组，也不会导致公司合并报表范围发生变化。目前不能视为已完成的并购或股权出售。</w:t>
      </w:r>
    </w:p>
    <w:p>
      <w:pPr>
        <w:pStyle w:val="Heading2"/>
        <w:spacing w:after="120" w:before="240"/>
      </w:pPr>
      <w:r>
        <w:rPr>
          <w:b/>
          <w:bCs/>
          <w:color w:val="2E74B5"/>
          <w:sz w:val="24"/>
          <w:szCs w:val="24"/>
        </w:rPr>
        <w:t xml:space="preserve">4.6 浙石化拟投资约196亿元实施炼化一体化改造提升工程</w:t>
      </w:r>
    </w:p>
    <w:p>
      <w:pPr>
        <w:spacing w:after="160" w:line="300"/>
      </w:pPr>
      <w:r>
        <w:rPr>
          <w:sz w:val="22"/>
          <w:szCs w:val="22"/>
        </w:rPr>
        <w:t xml:space="preserve">公司于2026年7月17日披露，控股子公司浙江石油化工有限公司拟投资炼化一体化项目改造提升工程，预计总投资约196亿元，预计建设施工期约2年，资金来源为自有资金及银行借款。项目包括新建连续重整、重整氢提浓、富氢提浓、C1/C2分离、C10分离等装置，并对部分现有装置实施扩能技改。根据可研报告估算，项目建成后预计每年实现净利润约14.10亿元，税后财务内部收益率11.08%，税后投资回收期8.93年，包含建设期2年。项目仍需履行部分前期审批手续，装置类型和规模可能根据市场情况调整，实际投资规模、建设进度和盈利能力存在不确定性。</w:t>
      </w:r>
    </w:p>
    <w:p>
      <w:pPr>
        <w:pStyle w:val="Heading2"/>
        <w:spacing w:after="120" w:before="240"/>
      </w:pPr>
      <w:r>
        <w:rPr>
          <w:b/>
          <w:bCs/>
          <w:color w:val="2E74B5"/>
          <w:sz w:val="24"/>
          <w:szCs w:val="24"/>
        </w:rPr>
        <w:t xml:space="preserve">4.7 股东户数下降，但不代表近期持续增减持</w:t>
      </w:r>
    </w:p>
    <w:p>
      <w:pPr>
        <w:spacing w:after="160" w:line="300"/>
      </w:pPr>
      <w:r>
        <w:rPr>
          <w:sz w:val="22"/>
          <w:szCs w:val="22"/>
        </w:rPr>
        <w:t xml:space="preserve">截至2026年6月30日，公司普通股股东总户数为71,963户，较2026年3月31日减少4,455户，降幅约5.83%。该数据属于报告期末股东结构变化信息，不代表2026年9月仍在持续发生的股东增减持行为。</w:t>
      </w:r>
    </w:p>
    <w:p>
      <w:pPr>
        <w:pStyle w:val="Heading2"/>
        <w:spacing w:after="120" w:before="240"/>
      </w:pPr>
      <w:r>
        <w:rPr>
          <w:b/>
          <w:bCs/>
          <w:color w:val="2E74B5"/>
          <w:sz w:val="24"/>
          <w:szCs w:val="24"/>
        </w:rPr>
        <w:t xml:space="preserve">4.8 截至2026年9月14日未发现9月新增重大经营公告</w:t>
      </w:r>
    </w:p>
    <w:p>
      <w:pPr>
        <w:spacing w:after="160" w:line="300"/>
      </w:pPr>
      <w:r>
        <w:rPr>
          <w:sz w:val="22"/>
          <w:szCs w:val="22"/>
        </w:rPr>
        <w:t xml:space="preserve">截至2026年9月14日，未检索到9月新增的业绩预告、股份回购、主要股东增减持公告或已完成的重大并购公告。2026年9月11日披露的“2026 Semi-annual Report”为半年度报告英文版，主要是中文半年度报告的英文版本，不属于新的经营事项。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002493 荣盛石化</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交易所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深圳证券交易所，深市A股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国内行情源13.60元；Investing及Yahoo行情13.62元，存在0.02元差异；以下技术位置主要参考13.60元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下跌0.77元，跌幅约5.36%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14.30元/14.37元/13.51元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约6052万股，即约60.52百万股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约8.32亿元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约1358.56亿元；按13.62元及约99.89亿股总股本估算约1360亿元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动态市盈率约151.11倍；市净率约2.85倍，每股净资产约4.77元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52周最高价16.38元，最低价9.17元；最新收盘价较高点低约17%，较低点高约48%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2026年8月11日至9月11日收盘价区间为12.59～15.14元；日内最高价15.28元，最低价12.38元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2026年9月8日至9月9日由14.49元、14.49元附近快速反弹至15.14元，9月10日至11日连续下跌至13.60元，累计跌幅约9.8%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15元上方抛压较明显；9月11日收盘接近当日低位，短线卖压尚未完全释放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近5日/10日/20日简单均线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约14.32元/14.40元/13.95元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当前股价13.60元低于上述均线，短线价格结构偏弱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Investing页面均线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13.44元；MA10 13.66元；MA20 14.19元；MA50 14.35元；MA100 14.09元；MA200 13.30元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Investing页面数据与公开收盘价直接计算结果存在差异，可能与更新时间、复权方式或数据窗口有关；MA200约13.30元可作为中长期均线参考支撑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约-0.310；技术信号偏卖出；数据页面截至2026年9月14日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位于负值区域，中短期动能偏弱；页面未完整披露DIF、DEA及柱体连续变化，无法确认最近交易日金叉或死叉状态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30.214；页面判定偏卖出，数据截至2026年9月14日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接近30，处于弱势或接近超卖区域，存在技术性反弹可能，但不代表下跌趋势已经结束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随机指标STOCH</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约17.487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处于超卖区域附近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基于2026年8月17日至9月11日公开收盘价自行测算：中轨约13.95元，上轨约15.24元，下轨约12.66元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属于自行测算而非平台直接披露的同步指标；股价低于中轨并接近下轨，15.10～15.30元附近接近上轨及阶段高点，构成短线压力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截至2026年9月8日，超大单净流入约4873.28万元，大单净流入约5370.51万元，中单净流出约2272.94万元，小单净流出约7970.86万元；超大单与大单合计净流入约1.02亿元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呈现大单、超大单流入而中小单流出的资金分歧结构；未检索到9月9日至11日连续三日完整数据，不能据此判断9月11日大跌时主力是否持续净流入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2026年9月4日至11日成交额约5.34亿～9.06亿元，换手率约0.39%～0.66%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5亿～6亿元属于偏低至正常区间，7亿～9亿元属于明显放量区间；9月9日至11日成交额较高但股价回落，显示筹码交换和抛压较明显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截至2026年6月30日，前十大流通股东持股约72.32亿股，占流通股约77.25%；机构合计持股约73.08亿股，占流通盘约78.05%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流通筹码集中度较高；机构中“其他机构”约占71.92%，基金约4.06%、其他资管计划约0.59%、阳光私募约0.53%、保险公司约0.52%，不能简单等同于公募基金主导；数据距当前约两个多月，实际结构可能已变化</w:t>
            </w:r>
          </w:p>
        </w:tc>
      </w:tr>
    </w:tbl>
    <w:p>
      <w:pPr>
        <w:spacing w:before="200"/>
      </w:pPr>
    </w:p>
    <w:p>
      <w:pPr>
        <w:spacing w:after="160" w:line="300"/>
      </w:pPr>
      <w:r>
        <w:rPr>
          <w:sz w:val="22"/>
          <w:szCs w:val="22"/>
        </w:rPr>
        <w:t xml:space="preserve">截至2026年9月11日，荣盛石化收盘13.60元，低于按公开收盘价计算的近5日、近10日和近20日均线，也低于布林中轨约13.95元，短线技术结构偏弱。9月8日至9日反弹至15.14元后，9月10日至11日连续下跌，且成交额维持在较高水平，显示15元上方抛压和资金分歧较明显。RSI约30.214、随机指标约17.487，提示短线接近超卖并存在技术性反弹可能，但MACD约-0.310且处于负值区域，尚不足以确认趋势反转。需要注意，部分技术指标截至2026年9月14日，可能与9月11日收盘数据不同步。</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14.30～14.70元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对应近5日、近10日均线约14.32～14.40元，以及近期成交密集区域；若重新站回14.70元上方，才有机会进一步测试15.10～15.30元区域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15.10～15.30元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接近9月9日阶段高点15.14元、9月10日最高价15.28元及自行测算的布林上轨约15.24元；若不能有效放量突破，可能继续形成短线抛压</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13.20～13.50元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接近9月11日最低价13.51元、经典枢轴支撑区域13.23元及MA200附近13.30元；若失守，短线可能向更低支撑区域运行</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12.60～13.00元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接近自行测算的布林下轨约12.66元及8月19日至21日成交密集区域；若有效跌破12.60元附近，下一步可能向12.38～12.60元阶段支撑区域寻找支撑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形态和资金流向的主观启发式判断，不是统计概率）：价格区间约13.20～14.50元。触发条件为股价在13.20～13.50元附近获得支撑，成交额回落至约5亿～7亿元，且不再出现连续两日放量下跌；反弹至14.30～14.50元附近后遇阻，形成区间震荡</w:t>
      </w:r>
    </w:p>
    <w:p>
      <w:pPr>
        <w:pStyle w:val="ListParagraph"/>
        <w:numPr>
          <w:ilvl w:val="0"/>
          <w:numId w:val="2"/>
        </w:numPr>
        <w:spacing w:after="80" w:line="280"/>
      </w:pPr>
      <w:r>
        <w:rPr>
          <w:sz w:val="22"/>
          <w:szCs w:val="22"/>
        </w:rPr>
        <w:t xml:space="preserve">偏弱下行（权重中等；属于基于当前技术与资金面设置的主观情景，不是统计概率）：价格区间约12.60～13.30元。触发条件为13.20元附近支撑失守，同时单日成交额继续维持在8亿～9亿元以上，且收盘接近当日低位；市场可能进一步测试布林下轨约12.66元及12.38～12.60元阶段支撑区域</w:t>
      </w:r>
    </w:p>
    <w:p>
      <w:pPr>
        <w:pStyle w:val="ListParagraph"/>
        <w:numPr>
          <w:ilvl w:val="0"/>
          <w:numId w:val="2"/>
        </w:numPr>
        <w:spacing w:after="80" w:line="280"/>
      </w:pPr>
      <w:r>
        <w:rPr>
          <w:sz w:val="22"/>
          <w:szCs w:val="22"/>
        </w:rPr>
        <w:t xml:space="preserve">反弹走强（权重偏低，但不能排除；属于主观情景判断，不是统计概率）：价格区间约14.50～15.30元。触发条件为股价重新站上14.30～14.50元，成交额持续放大至约9亿～10亿元以上，且石化、炼化或化工板块同步走强；若进一步突破15.10～15.30元并在其上方保持成交量，短期弱势结构才可能改善</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4日至11日，最近可核实的换手率约0.39%～0.66%，成交额约5.34亿～9.06亿元。对于总市值约1359亿元的大盘石化股而言，换手率整体不高，流通筹码相对稳定，但短线价格弹性可能受到板块资金和大单交易影响。以自身近期数据看，5亿～6亿元属于偏低至正常成交区间，7亿～9亿元属于明显放量区间。股东数据截至2026年6月30日，前十大流通股东持股占流通盘约77.25%，机构合计持股占流通盘约78.05%，筹码集中度较高；但“其他机构”占机构持股约71.92%，基金、保险、私募等市场化机构占比较低，不能简单理解为公募基金主导。该股东结构数据存在季度滞后，距当前约两个多月，实际可交易筹码结构可能已经变化，需以后续定期报告或最新股东数据验证。</w:t>
      </w:r>
    </w:p>
    <w:p>
      <w:pPr>
        <w:spacing w:after="160" w:line="300"/>
      </w:pPr>
      <w:r>
        <w:rPr>
          <w:sz w:val="22"/>
          <w:szCs w:val="22"/>
        </w:rPr>
        <w:t xml:space="preserve">若股价重新站上14.30～14.50元，同时单日成交额连续达到约9亿元以上，且收盘不再接近当日低点，可视为短线资金承接改善的确认信号；若放量仍伴随收盘走弱，则更接近资金分歧或减仓信号。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观察13.20～13.50元支撑区是否出现缩量企稳，若跌破则关注12.60～13.00元区间。以上为观察思路，非操作指令。</w:t>
      </w:r>
    </w:p>
    <w:p>
      <w:pPr>
        <w:pStyle w:val="ListParagraph"/>
        <w:numPr>
          <w:ilvl w:val="0"/>
          <w:numId w:val="2"/>
        </w:numPr>
        <w:spacing w:after="80" w:line="280"/>
      </w:pPr>
      <w:r>
        <w:rPr>
          <w:sz w:val="22"/>
          <w:szCs w:val="22"/>
        </w:rPr>
        <w:t xml:space="preserve">观察14.30～14.70元能否重新站稳，该区间是短期均线和成交密集区形成的主要压力。以上为观察思路，非操作指令。</w:t>
      </w:r>
    </w:p>
    <w:p>
      <w:pPr>
        <w:pStyle w:val="ListParagraph"/>
        <w:numPr>
          <w:ilvl w:val="0"/>
          <w:numId w:val="2"/>
        </w:numPr>
        <w:spacing w:after="80" w:line="280"/>
      </w:pPr>
      <w:r>
        <w:rPr>
          <w:sz w:val="22"/>
          <w:szCs w:val="22"/>
        </w:rPr>
        <w:t xml:space="preserve">观察15.10～15.30元是否出现有效放量突破，否则反弹可能仍属于弱势修复。以上为观察思路，非操作指令。</w:t>
      </w:r>
    </w:p>
    <w:p>
      <w:pPr>
        <w:pStyle w:val="ListParagraph"/>
        <w:numPr>
          <w:ilvl w:val="0"/>
          <w:numId w:val="2"/>
        </w:numPr>
        <w:spacing w:after="80" w:line="280"/>
      </w:pPr>
      <w:r>
        <w:rPr>
          <w:sz w:val="22"/>
          <w:szCs w:val="22"/>
        </w:rPr>
        <w:t xml:space="preserve">观察成交额能否连续达到约9亿元以上且价格同步走强，避免将单纯放量下跌误判为资金介入。以上为观察思路，非操作指令。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民营大炼化行业已从单一装置规模竞争，转向超大型炼化装置单位成本、原油采购与码头储运能力、芳烃—烯烃—PTA—聚酯内部协同、产品结构升级及新材料量产能力的综合竞争。基础炼油、PTA、普通聚酯和通用聚烯烃存在一定同质化竞争；高性能树脂、POE、EVA、工程塑料、功能性薄膜和特种橡胶更强调技术、认证、客户导入和产品稳定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第一类竞争者为具备大型炼化一体化平台的企业，竞争产品包括炼油、PX、乙烯、聚烯烃、PTA和各类化工品。</w:t>
      </w:r>
    </w:p>
    <w:p>
      <w:pPr>
        <w:pStyle w:val="ListParagraph"/>
        <w:numPr>
          <w:ilvl w:val="0"/>
          <w:numId w:val="2"/>
        </w:numPr>
        <w:spacing w:after="80" w:line="280"/>
      </w:pPr>
      <w:r>
        <w:rPr>
          <w:sz w:val="22"/>
          <w:szCs w:val="22"/>
        </w:rPr>
        <w:t xml:space="preserve">第二类竞争者为聚酯和化纤龙头，炼化能力弱于荣盛石化，但在PTA、涤纶长丝、瓶片和薄膜等下游领域形成直接竞争。</w:t>
      </w:r>
    </w:p>
    <w:p>
      <w:pPr>
        <w:pStyle w:val="ListParagraph"/>
        <w:numPr>
          <w:ilvl w:val="0"/>
          <w:numId w:val="2"/>
        </w:numPr>
        <w:spacing w:after="80" w:line="280"/>
      </w:pPr>
      <w:r>
        <w:rPr>
          <w:sz w:val="22"/>
          <w:szCs w:val="22"/>
        </w:rPr>
        <w:t xml:space="preserve">行业竞争重点包括超大型炼化装置单位成本、原油采购与码头储运能力、芳烃烯烃与PTA聚酯协同、产业园区及公用工程配套，以及行业产能过剩时的开工率和成本控制。</w:t>
      </w:r>
    </w:p>
    <w:p>
      <w:pPr>
        <w:pStyle w:val="ListParagraph"/>
        <w:numPr>
          <w:ilvl w:val="0"/>
          <w:numId w:val="2"/>
        </w:numPr>
        <w:spacing w:after="80" w:line="280"/>
      </w:pPr>
      <w:r>
        <w:rPr>
          <w:sz w:val="22"/>
          <w:szCs w:val="22"/>
        </w:rPr>
        <w:t xml:space="preserve">高端材料潜在利润率通常高于传统大宗品，但存在项目建设、工艺放大、客户验证和量产盈利风险。</w:t>
      </w:r>
    </w:p>
    <w:p>
      <w:pPr>
        <w:pStyle w:val="ListParagraph"/>
        <w:numPr>
          <w:ilvl w:val="0"/>
          <w:numId w:val="2"/>
        </w:numPr>
        <w:spacing w:after="80" w:line="280"/>
      </w:pPr>
      <w:r>
        <w:rPr>
          <w:sz w:val="22"/>
          <w:szCs w:val="22"/>
        </w:rPr>
        <w:t xml:space="preserve">荣盛石化的部分产能为年报披露的设计产能或在建、规划产能，不能全部等同于已经完全投产并达到稳定商业化运行的有效产能。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恒力石化（600346.SH）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民营大炼化龙头，核心基地位于大连长兴岛，布局炼化、PX、PTA、聚酯和新材料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拥有约2,000万吨/年炼化能力，PTA产能约1,660万吨/年或更高，具体口径随项目和集团合并范围不同；炼化规模略小于荣盛石化浙石化，但PTA、聚酯新材料和薄膜布局较强。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东方盛虹（000301.SZ）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炼化、新能源新材料和聚酯化纤综合平台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盛虹炼化拥有1,600万吨/年炼化能力，布局240万吨/年MTO、70万吨/年PDH和约630万吨/年PTA；产品结构更偏化工和新材料，强调“多化少油、分子炼油”。</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恒逸石化（000703.SZ）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以文莱炼化项目为上游支点、以国内PTA和聚酯为核心的跨境一体化企业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2025年文莱炼化项目产量822.91万吨，其中柴油342.87万吨、PX151.50万吨、苯57.41万吨；国内布局PTA、PET、涤纶、CPL和PA6，形成“涤纶+锦纶”双轮驱动。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桐昆股份（601233.SH）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涤纶长丝和PTA龙头，产业链向上游PTA延伸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更聚焦PX/PTA—聚酯—涤纶长丝，炼化一体化程度弱于荣盛石化；与荣盛石化在聚酯、PTA等领域存在竞争，也存在产业链协同关系。</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新凤鸣（603225.SH）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民用涤纶长丝和短纤龙头，产业链向PTA延伸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截至2025年末，涤纶长丝产能约885万吨/年、涤纶短纤产能约120万吨/年、PTA产能约1,100万吨/年；主要竞争领域为涤纶长丝、短纤和PTA。</w:t>
            </w:r>
          </w:p>
        </w:tc>
      </w:tr>
    </w:tbl>
    <w:p>
      <w:pPr>
        <w:spacing w:before="200"/>
      </w:pPr>
    </w:p>
    <w:p>
      <w:pPr>
        <w:spacing w:after="160" w:line="300"/>
      </w:pPr>
      <w:r>
        <w:rPr>
          <w:sz w:val="22"/>
          <w:szCs w:val="22"/>
        </w:rPr>
        <w:t xml:space="preserve">荣盛石化的核心差异在于浙石化4,000万吨/年炼油、880万吨/年PX、420万吨/年乙烯及公司体系内2,150万吨/年PTA形成的超大型综合平台，并通过港口、规模和内部配套获得成本与协同优势。相较恒力石化、东方盛虹等民营大炼化企业，荣盛石化综合炼化和PX、乙烯规模更突出；相较恒逸石化、桐昆股份和新凤鸣，公司上游炼化资源和中间原料配套更完整，但聚酯、化纤和新材料业务仍面临产品价差、行业供需及客户认证等约束。</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炼化及化工产品价差波动风险：公司2026年上半年利润大幅增长主要与炼化产品价差、芳烃链盈利和产品结构改善有关；若价差再次收窄，利润可能明显回落。2025年PTA毛利率为-1.40%，化工产品毛利率为10.95%，显示部分业务对景气变化较敏感。</w:t>
      </w:r>
    </w:p>
    <w:p>
      <w:pPr>
        <w:pStyle w:val="ListParagraph"/>
        <w:numPr>
          <w:ilvl w:val="0"/>
          <w:numId w:val="2"/>
        </w:numPr>
        <w:spacing w:after="80" w:line="280"/>
      </w:pPr>
      <w:r>
        <w:rPr>
          <w:sz w:val="22"/>
          <w:szCs w:val="22"/>
        </w:rPr>
        <w:t xml:space="preserve">原油及大宗原料价格风险：2025年石化行业营业成本中原材料成本占89.40%，炼油、化工和PTA产品营业成本中的原材料占比分别为88.67%、88.73%和93.47%。公司无法控制国际原油基准价格，原油上涨能否向成品油和化工产品传导存在不确定性。</w:t>
      </w:r>
    </w:p>
    <w:p>
      <w:pPr>
        <w:pStyle w:val="ListParagraph"/>
        <w:numPr>
          <w:ilvl w:val="0"/>
          <w:numId w:val="2"/>
        </w:numPr>
        <w:spacing w:after="80" w:line="280"/>
      </w:pPr>
      <w:r>
        <w:rPr>
          <w:sz w:val="22"/>
          <w:szCs w:val="22"/>
        </w:rPr>
        <w:t xml:space="preserve">产能建设与项目回报风险：浙石化拟投资约196亿元实施炼化一体化改造提升工程，资金来源包括自有资金及银行借款，项目仍需履行部分前期审批手续，装置规模和投资金额可能调整，预计净利润和内部收益率存在偏离可研估算的风险。</w:t>
      </w:r>
    </w:p>
    <w:p>
      <w:pPr>
        <w:pStyle w:val="ListParagraph"/>
        <w:numPr>
          <w:ilvl w:val="0"/>
          <w:numId w:val="2"/>
        </w:numPr>
        <w:spacing w:after="80" w:line="280"/>
      </w:pPr>
      <w:r>
        <w:rPr>
          <w:sz w:val="22"/>
          <w:szCs w:val="22"/>
        </w:rPr>
        <w:t xml:space="preserve">新材料项目商业化风险：公司布局EVA、POE、工程塑料、高端聚烯烃等新材料，但相关业务需要经历工艺放大、稳定量产、客户认证和产品导入；与SABIC的潜在股权投资尚未完成尽调、审批及最终投资决策，不能据此确认项目融资或合作收益。</w:t>
      </w:r>
    </w:p>
    <w:p>
      <w:pPr>
        <w:pStyle w:val="ListParagraph"/>
        <w:numPr>
          <w:ilvl w:val="0"/>
          <w:numId w:val="2"/>
        </w:numPr>
        <w:spacing w:after="80" w:line="280"/>
      </w:pPr>
      <w:r>
        <w:rPr>
          <w:sz w:val="22"/>
          <w:szCs w:val="22"/>
        </w:rPr>
        <w:t xml:space="preserve">供应商及关联采购集中风险：2025年前五大供应商采购金额占年度采购总额57.29%，第一大供应商占34.77%，关联方采购占37.93%。供应商集中度较高且交易对手匿名披露，需关注供应来源、关联采购定价公允性及单一供应渠道变化。</w:t>
      </w:r>
    </w:p>
    <w:p>
      <w:pPr>
        <w:pStyle w:val="ListParagraph"/>
        <w:numPr>
          <w:ilvl w:val="0"/>
          <w:numId w:val="2"/>
        </w:numPr>
        <w:spacing w:after="80" w:line="280"/>
      </w:pPr>
      <w:r>
        <w:rPr>
          <w:sz w:val="22"/>
          <w:szCs w:val="22"/>
        </w:rPr>
        <w:t xml:space="preserve">客户和应收账款集中风险：2025年前五大客户销售金额占年度销售总额34.59%，2025年末应收账款前五名客户余额占全部应收账款68.22%，较2024年末提高。若个别大客户信用状况或采购规模发生变化，可能影响销售回款和应收账款质量。</w:t>
      </w:r>
    </w:p>
    <w:p>
      <w:pPr>
        <w:pStyle w:val="ListParagraph"/>
        <w:numPr>
          <w:ilvl w:val="0"/>
          <w:numId w:val="2"/>
        </w:numPr>
        <w:spacing w:after="80" w:line="280"/>
      </w:pPr>
      <w:r>
        <w:rPr>
          <w:sz w:val="22"/>
          <w:szCs w:val="22"/>
        </w:rPr>
        <w:t xml:space="preserve">财务杠杆及现金流波动风险：公司业务规模大、资本开支高，且改造项目拟使用银行借款；公司盈利长期受周期影响，2025年净利率约0.27%。若产品价差走弱或项目建设投入增加，可能对现金流、财务费用和资本回报造成压力。</w:t>
      </w:r>
    </w:p>
    <w:p>
      <w:pPr>
        <w:pStyle w:val="ListParagraph"/>
        <w:numPr>
          <w:ilvl w:val="0"/>
          <w:numId w:val="2"/>
        </w:numPr>
        <w:spacing w:after="80" w:line="280"/>
      </w:pPr>
      <w:r>
        <w:rPr>
          <w:sz w:val="22"/>
          <w:szCs w:val="22"/>
        </w:rPr>
        <w:t xml:space="preserve">公司治理与监管整改风险：浙江证监局曾因职工董事任职资格问题对公司采取责令改正措施，深交所亦出具监管函；公司虽已补选职工董事，但截至2026年9月14日尚未看到监管整改报告全文，整改完成情况及后续治理规范性仍需关注。</w:t>
      </w:r>
    </w:p>
    <w:p>
      <w:pPr>
        <w:pStyle w:val="ListParagraph"/>
        <w:numPr>
          <w:ilvl w:val="0"/>
          <w:numId w:val="2"/>
        </w:numPr>
        <w:spacing w:after="80" w:line="280"/>
      </w:pPr>
      <w:r>
        <w:rPr>
          <w:sz w:val="22"/>
          <w:szCs w:val="22"/>
        </w:rPr>
        <w:t xml:space="preserve">市场及估值波动风险：截至2026年9月11日股价为13.60元，短线低于多条均线且MACD为负值；同时不同数据来源对动态市盈率给出约25.36倍和约17.11倍等不同口径，机构盈利预测区间也较宽。若后续业绩低于预期或市场重新评估周期盈利，股价可能出现较大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荣盛石化的中期增长逻辑主要在于超大型炼化一体化平台的规模与协同优势、炼化及芳烃链价差修复、聚酯化纤业务扩张，以及EVA、POE、工程塑料、高端聚烯烃等新材料项目的产品升级潜力。2026年上半年业绩已经体现出盈利弹性，但收入下降而利润大幅增长也说明当前改善更多依赖价差和成本变化，而非单纯由收入规模扩张驱动。</w:t>
      </w:r>
    </w:p>
    <w:p>
      <w:pPr>
        <w:spacing w:after="160" w:line="300"/>
      </w:pPr>
      <w:r>
        <w:rPr>
          <w:sz w:val="22"/>
          <w:szCs w:val="22"/>
        </w:rPr>
        <w:t xml:space="preserve">未来业绩能否延续，取决于炼油、芳烃、烯烃和聚酯等环节的产品价差、原油采购与物流成本、装置运行效率以及下游需求变化。约196亿元炼化改造提升工程预计建设期约2年，项目收益仍需经过审批、建设和投产验证；SABIC对荣盛新材料潜在持股比例、交易价格和结构尚未确定，不能将其视为已实现的股权合作收益。</w:t>
      </w:r>
    </w:p>
    <w:p>
      <w:pPr>
        <w:spacing w:after="160" w:line="300"/>
      </w:pPr>
      <w:r>
        <w:rPr>
          <w:sz w:val="22"/>
          <w:szCs w:val="22"/>
        </w:rPr>
        <w:t xml:space="preserve">公司仍处于资本密集、原材料成本占比较高且周期波动明显的中游加工环节，2025年低净利率和PTA负毛利率反映出盈利缓冲空间有限。后续应重点观察盈利修复是否转化为持续的现金流和稳定回报、改造及新材料项目能否按计划落地并实现客户认证，以及公司治理整改、关联交易和集中采购等事项的后续披露情况。</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荣盛石化(002493)_公司公告_荣盛石化：2024年年度报告新浪财经_新浪网 — https://money.finance.sina.com.cn/corp/view/vCB_AllBulletinDetail.php?id=10978018&amp;stockid=002493&amp;utm_source=openai</w:t>
      </w:r>
    </w:p>
    <w:p>
      <w:pPr>
        <w:spacing w:after="200"/>
      </w:pPr>
      <w:r>
        <w:rPr>
          <w:i/>
          <w:iCs/>
          <w:color w:val="595959"/>
          <w:sz w:val="18"/>
          <w:szCs w:val="18"/>
        </w:rPr>
        <w:t xml:space="preserve">https://static.cninfo.com.cn/finalpage/2026-04-28/1225215329.PDF — https://static.cninfo.com.cn/finalpage/2026-04-28/1225215329.PDF</w:t>
      </w:r>
    </w:p>
    <w:p>
      <w:pPr>
        <w:spacing w:after="200"/>
      </w:pPr>
      <w:r>
        <w:rPr>
          <w:i/>
          <w:iCs/>
          <w:color w:val="595959"/>
          <w:sz w:val="18"/>
          <w:szCs w:val="18"/>
        </w:rPr>
        <w:t xml:space="preserve">荣盛石化（RPC） | 沙特阿美 — https://china.aramco.com/zh-cn/what-we-do/our-portfolio/rongsheng</w:t>
      </w:r>
    </w:p>
    <w:p>
      <w:pPr>
        <w:spacing w:after="200"/>
      </w:pPr>
      <w:r>
        <w:rPr>
          <w:i/>
          <w:iCs/>
          <w:color w:val="595959"/>
          <w:sz w:val="18"/>
          <w:szCs w:val="18"/>
        </w:rPr>
        <w:t xml:space="preserve">荣盛石化(002493)_公司公告_荣盛石化：2025年年度报告新浪财经_新浪网 — https://money.finance.sina.com.cn/corp/view/vCB_AllBulletinDetail.php?id=12229348&amp;stockid=002493&amp;utm_source=openai</w:t>
      </w:r>
    </w:p>
    <w:p>
      <w:pPr>
        <w:spacing w:after="200"/>
      </w:pPr>
      <w:r>
        <w:rPr>
          <w:i/>
          <w:iCs/>
          <w:color w:val="595959"/>
          <w:sz w:val="18"/>
          <w:szCs w:val="18"/>
        </w:rPr>
        <w:t xml:space="preserve">荣盛石化(002493) 经营分析_F10_同花顺金融服务网 — https://basic.10jqka.com.cn/002493/operate.html</w:t>
      </w:r>
    </w:p>
    <w:p>
      <w:pPr>
        <w:spacing w:after="200"/>
      </w:pPr>
      <w:r>
        <w:rPr>
          <w:i/>
          <w:iCs/>
          <w:color w:val="595959"/>
          <w:sz w:val="18"/>
          <w:szCs w:val="18"/>
        </w:rPr>
        <w:t xml:space="preserve">荣盛石化去年实现营收1770亿元 新材料转型逐步加速 _ 证券时报网 — https://www.stcn.com/company/gsxw/202204/t20220426_4433783.html?utm_source=openai</w:t>
      </w:r>
    </w:p>
    <w:p>
      <w:pPr>
        <w:spacing w:after="200"/>
      </w:pPr>
      <w:r>
        <w:rPr>
          <w:i/>
          <w:iCs/>
          <w:color w:val="595959"/>
          <w:sz w:val="18"/>
          <w:szCs w:val="18"/>
        </w:rPr>
        <w:t xml:space="preserve">荣盛石化股份有限公司  
2022 年年度报告全文
“2021 年度中国上市公司综合健康指数百强” — https://static.cninfo.com.cn/finalpage/2023-04-20/1216478209.PDF?utm_source=openai</w:t>
      </w:r>
    </w:p>
    <w:p>
      <w:pPr>
        <w:spacing w:after="200"/>
      </w:pPr>
      <w:r>
        <w:rPr>
          <w:i/>
          <w:iCs/>
          <w:color w:val="595959"/>
          <w:sz w:val="18"/>
          <w:szCs w:val="18"/>
        </w:rPr>
        <w:t xml:space="preserve">荣盛石化(002493)_公司公告_荣盛石化：2023年年度报告新浪财经_新浪网 — https://money.finance.sina.com.cn/corp/view/vCB_AllBulletinDetail.php?id=10089346&amp;stockid=002493&amp;utm_source=openai</w:t>
      </w:r>
    </w:p>
    <w:p>
      <w:pPr>
        <w:spacing w:after="200"/>
      </w:pPr>
      <w:r>
        <w:rPr>
          <w:i/>
          <w:iCs/>
          <w:color w:val="595959"/>
          <w:sz w:val="18"/>
          <w:szCs w:val="18"/>
        </w:rPr>
        <w:t xml:space="preserve">恒力石化股份有限公司2025年年度报告 — https://static.cninfo.com.cn/finalpage/2026-04-15/1225101171.PDF?utm_source=openai</w:t>
      </w:r>
    </w:p>
    <w:p>
      <w:pPr>
        <w:spacing w:after="200"/>
      </w:pPr>
      <w:r>
        <w:rPr>
          <w:i/>
          <w:iCs/>
          <w:color w:val="595959"/>
          <w:sz w:val="18"/>
          <w:szCs w:val="18"/>
        </w:rPr>
        <w:t xml:space="preserve">江苏东方盛虹股份有限公司 2025 年年度报告全文 — https://disc.static.szse.cn/disc/disk03/finalpage/2026-04-29/7aeacb41-e758-4de3-b2e4-83a72349663f.pdf?utm_source=openai</w:t>
      </w:r>
    </w:p>
    <w:p>
      <w:pPr>
        <w:spacing w:after="200"/>
      </w:pPr>
      <w:r>
        <w:rPr>
          <w:i/>
          <w:iCs/>
          <w:color w:val="595959"/>
          <w:sz w:val="18"/>
          <w:szCs w:val="18"/>
        </w:rPr>
        <w:t xml:space="preserve">公司公告_恒逸石化：2025年年度报告新浪财经_新浪网 — https://money.finance.sina.com.cn/corp/view/vCB_AllBulletinDetail.php?id=12091149&amp;utm_source=openai</w:t>
      </w:r>
    </w:p>
    <w:p>
      <w:pPr>
        <w:spacing w:after="200"/>
      </w:pPr>
      <w:r>
        <w:rPr>
          <w:i/>
          <w:iCs/>
          <w:color w:val="595959"/>
          <w:sz w:val="18"/>
          <w:szCs w:val="18"/>
        </w:rPr>
        <w:t xml:space="preserve">桐昆股份(601233)_公司公告_桐昆股份：2025年年度报告新浪财经_新浪网 — https://money.finance.sina.com.cn/corp/view/vCB_AllBulletinDetail.php?id=12244503&amp;stockid=601233&amp;utm_source=openai</w:t>
      </w:r>
    </w:p>
    <w:p>
      <w:pPr>
        <w:spacing w:after="200"/>
      </w:pPr>
      <w:r>
        <w:rPr>
          <w:i/>
          <w:iCs/>
          <w:color w:val="595959"/>
          <w:sz w:val="18"/>
          <w:szCs w:val="18"/>
        </w:rPr>
        <w:t xml:space="preserve">新凤鸣(603225)2025年年报点评：规模化优势增强 长丝行业反内卷推进下公司有望受益_公司研究_新浪财经_新浪网 — https://stock.finance.sina.com.cn/stock/go.php/vReport_Show/kind/company/rptid/830084695026/index.phtml?utm_source=openai</w:t>
      </w:r>
    </w:p>
    <w:p>
      <w:pPr>
        <w:spacing w:after="200"/>
      </w:pPr>
      <w:r>
        <w:rPr>
          <w:i/>
          <w:iCs/>
          <w:color w:val="595959"/>
          <w:sz w:val="18"/>
          <w:szCs w:val="18"/>
        </w:rPr>
        <w:t xml:space="preserve">荣盛石化(002493)_公司公告_荣盛石化：2026年半年度报告新浪财经_新浪网 — https://money.finance.sina.com.cn/corp/view/vCB_AllBulletinDetail.php?id=12525231&amp;stockid=002493</w:t>
      </w:r>
    </w:p>
    <w:p>
      <w:pPr>
        <w:spacing w:after="200"/>
      </w:pPr>
      <w:r>
        <w:rPr>
          <w:i/>
          <w:iCs/>
          <w:color w:val="595959"/>
          <w:sz w:val="18"/>
          <w:szCs w:val="18"/>
        </w:rPr>
        <w:t xml:space="preserve">荣盛石化(002493)投资评级,荣盛石化(002493)最新评级_证劵之星 — https://stock.quote.stockstar.com/corp/rating_002493.shtml</w:t>
      </w:r>
    </w:p>
    <w:p>
      <w:pPr>
        <w:spacing w:after="200"/>
      </w:pPr>
      <w:r>
        <w:rPr>
          <w:i/>
          <w:iCs/>
          <w:color w:val="595959"/>
          <w:sz w:val="18"/>
          <w:szCs w:val="18"/>
        </w:rPr>
        <w:t xml:space="preserve">荣盛石化(002493) 盈利预测_F10_同花顺金融服务网 — https://basic.10jqka.com.cn/002493/worth.html?utm_source=openai</w:t>
      </w:r>
    </w:p>
    <w:p>
      <w:pPr>
        <w:spacing w:after="200"/>
      </w:pPr>
      <w:r>
        <w:rPr>
          <w:i/>
          <w:iCs/>
          <w:color w:val="595959"/>
          <w:sz w:val="18"/>
          <w:szCs w:val="18"/>
        </w:rPr>
        <w:t xml:space="preserve">荣盛石化(002493)投资评级,荣盛石化(002493)最新评级_证劵之星 — https://stock.quote.stockstar.com/corp/rating_002493.shtml?utm_source=openai</w:t>
      </w:r>
    </w:p>
    <w:p>
      <w:pPr>
        <w:spacing w:after="200"/>
      </w:pPr>
      <w:r>
        <w:rPr>
          <w:i/>
          <w:iCs/>
          <w:color w:val="595959"/>
          <w:sz w:val="18"/>
          <w:szCs w:val="18"/>
        </w:rPr>
        <w:t xml:space="preserve">荣盛石化(002493) 盈利预测_F10_同花顺金融服务网 — https://basic.10jqka.com.cn/002493/worth.html</w:t>
      </w:r>
    </w:p>
    <w:p>
      <w:pPr>
        <w:spacing w:after="200"/>
      </w:pPr>
      <w:r>
        <w:rPr>
          <w:i/>
          <w:iCs/>
          <w:color w:val="595959"/>
          <w:sz w:val="18"/>
          <w:szCs w:val="18"/>
        </w:rPr>
        <w:t xml:space="preserve">机构评级|2家机构更新荣盛石化评级 — https://stock.10jqka.com.cn/20260828/c679387079.shtml</w:t>
      </w:r>
    </w:p>
    <w:p>
      <w:pPr>
        <w:spacing w:after="200"/>
      </w:pPr>
      <w:r>
        <w:rPr>
          <w:i/>
          <w:iCs/>
          <w:color w:val="595959"/>
          <w:sz w:val="18"/>
          <w:szCs w:val="18"/>
        </w:rPr>
        <w:t xml:space="preserve">荣盛石化(002493)股票信息 - 数据平台 — https://data.agoer.com/cms/Index/detail?id=002493&amp;utm_source=openai</w:t>
      </w:r>
    </w:p>
    <w:p>
      <w:pPr>
        <w:spacing w:after="200"/>
      </w:pPr>
      <w:r>
        <w:rPr>
          <w:i/>
          <w:iCs/>
          <w:color w:val="595959"/>
          <w:sz w:val="18"/>
          <w:szCs w:val="18"/>
        </w:rPr>
        <w:t xml:space="preserve">荣盛石化股份有限公司  
RONGSHENG PETROCHEMICAL CO., LTD.
20 — https://static.cninfo.com.cn/finalpage/2026-08-25/1225495698.PDF?utm_source=openai</w:t>
      </w:r>
    </w:p>
    <w:p>
      <w:pPr>
        <w:spacing w:after="200"/>
      </w:pPr>
      <w:r>
        <w:rPr>
          <w:i/>
          <w:iCs/>
          <w:color w:val="595959"/>
          <w:sz w:val="18"/>
          <w:szCs w:val="18"/>
        </w:rPr>
        <w:t xml:space="preserve">荣盛石化(002493)公司公告_新浪财经_新浪网 — https://vip.stock.finance.sina.com.cn/corp/go.php/vCB_AllBulletin/stockid/002493.phtml</w:t>
      </w:r>
    </w:p>
    <w:p>
      <w:pPr>
        <w:spacing w:after="200"/>
      </w:pPr>
      <w:r>
        <w:rPr>
          <w:i/>
          <w:iCs/>
          <w:color w:val="595959"/>
          <w:sz w:val="18"/>
          <w:szCs w:val="18"/>
        </w:rPr>
        <w:t xml:space="preserve">证券代码：002493          证券简称：荣盛石化        公告编号：2011-035 — https://disc.static.szse.cn/disc/disk03/finalpage/2026-07-15/7759293d-4212-4a93-91fc-48b4892b4564.PDF</w:t>
      </w:r>
    </w:p>
    <w:p>
      <w:pPr>
        <w:spacing w:after="200"/>
      </w:pPr>
      <w:r>
        <w:rPr>
          <w:i/>
          <w:iCs/>
          <w:color w:val="595959"/>
          <w:sz w:val="18"/>
          <w:szCs w:val="18"/>
        </w:rPr>
        <w:t xml:space="preserve">https://static.cninfo.com.cn/finalpage/2026-08-25/1225495698.PDF — https://static.cninfo.com.cn/finalpage/2026-08-25/1225495698.PDF</w:t>
      </w:r>
    </w:p>
    <w:p>
      <w:pPr>
        <w:spacing w:after="200"/>
      </w:pPr>
      <w:r>
        <w:rPr>
          <w:i/>
          <w:iCs/>
          <w:color w:val="595959"/>
          <w:sz w:val="18"/>
          <w:szCs w:val="18"/>
        </w:rPr>
        <w:t xml:space="preserve">荣盛石化(002493)_公司公告_荣盛石化：关于2026年员工持股计划非交易过户完成的公告新浪财经_新浪网 — https://money.finance.sina.com.cn/corp/view/vCB_AllBulletinDetail.php?id=12438248&amp;stockid=002493&amp;utm_source=openai</w:t>
      </w:r>
    </w:p>
    <w:p>
      <w:pPr>
        <w:spacing w:after="200"/>
      </w:pPr>
      <w:r>
        <w:rPr>
          <w:i/>
          <w:iCs/>
          <w:color w:val="595959"/>
          <w:sz w:val="18"/>
          <w:szCs w:val="18"/>
        </w:rPr>
        <w:t xml:space="preserve">荣盛石化(002493)_公司公告_荣盛石化：2026年半年度报告新浪财经_新浪网 — https://money.finance.sina.com.cn/corp/view/vCB_AllBulletinDetail.php?id=12525231&amp;stockid=002493&amp;utm_source=openai</w:t>
      </w:r>
    </w:p>
    <w:p>
      <w:pPr>
        <w:spacing w:after="200"/>
      </w:pPr>
      <w:r>
        <w:rPr>
          <w:i/>
          <w:iCs/>
          <w:color w:val="595959"/>
          <w:sz w:val="18"/>
          <w:szCs w:val="18"/>
        </w:rPr>
        <w:t xml:space="preserve">荣盛石化(002493)_公司公告_荣盛石化：2026Semi-annual Report新浪财经_新浪网 — https://money.finance.sina.com.cn/corp/view/vCB_AllBulletinDetail.php?id=12594020&amp;stockid=002493&amp;utm_source=openai</w:t>
      </w:r>
    </w:p>
    <w:p>
      <w:pPr>
        <w:spacing w:after="200"/>
      </w:pPr>
      <w:r>
        <w:rPr>
          <w:i/>
          <w:iCs/>
          <w:color w:val="595959"/>
          <w:sz w:val="18"/>
          <w:szCs w:val="18"/>
        </w:rPr>
        <w:t xml:space="preserve">关于对荣盛石化股份有限公司采取责令改正措施的决定_浙江监管局 — https://www.csrc.gov.cn/zhejiang/c103952/c7651745/content.shtml?utm_source=openai</w:t>
      </w:r>
    </w:p>
    <w:p>
      <w:pPr>
        <w:spacing w:after="200"/>
      </w:pPr>
      <w:r>
        <w:rPr>
          <w:i/>
          <w:iCs/>
          <w:color w:val="595959"/>
          <w:sz w:val="18"/>
          <w:szCs w:val="18"/>
        </w:rPr>
        <w:t xml:space="preserve">关于对荣盛石化股份有限公司的监管函 | 中国投资者网 — https://www.investor.org.cn/xxcx/integritys/ssgswgxx/202608/t20260814_927717.shtml</w:t>
      </w:r>
    </w:p>
    <w:p>
      <w:pPr>
        <w:spacing w:after="200"/>
      </w:pPr>
      <w:r>
        <w:rPr>
          <w:i/>
          <w:iCs/>
          <w:color w:val="595959"/>
          <w:sz w:val="18"/>
          <w:szCs w:val="18"/>
        </w:rPr>
        <w:t xml:space="preserve">荣盛石化(002493)_公司公告_荣盛石化：关于选举职工董事的公告新浪财经_新浪网 — https://money.finance.sina.com.cn/corp/view/vCB_AllBulletinDetail.php?id=12516226&amp;stockid=002493</w:t>
      </w:r>
    </w:p>
    <w:p>
      <w:pPr>
        <w:spacing w:after="200"/>
      </w:pPr>
      <w:r>
        <w:rPr>
          <w:i/>
          <w:iCs/>
          <w:color w:val="595959"/>
          <w:sz w:val="18"/>
          <w:szCs w:val="18"/>
        </w:rPr>
        <w:t xml:space="preserve">荣盛石化(002493)_公司公告_荣盛石化：第七届董事会第八次会议决议公告新浪财经_新浪网 — https://vip.stock.finance.sina.com.cn/corp/view/vCB_AllBulletinDetail.php?id=12525228&amp;stockid=002493&amp;utm_source=openai</w:t>
      </w:r>
    </w:p>
    <w:p>
      <w:pPr>
        <w:spacing w:after="200"/>
      </w:pPr>
      <w:r>
        <w:rPr>
          <w:i/>
          <w:iCs/>
          <w:color w:val="595959"/>
          <w:sz w:val="18"/>
          <w:szCs w:val="18"/>
        </w:rPr>
        <w:t xml:space="preserve">证券代码：002493          证券简称：荣盛石化          公告编号：2010-016 — https://disc.static.szse.cn/disc/disk03/finalpage/2026-07-17/c6fb2e7b-6a56-4a15-9bdb-48afedccfb9b.PDF</w:t>
      </w:r>
    </w:p>
    <w:p>
      <w:pPr>
        <w:spacing w:after="200"/>
      </w:pPr>
      <w:r>
        <w:rPr>
          <w:i/>
          <w:iCs/>
          <w:color w:val="595959"/>
          <w:sz w:val="18"/>
          <w:szCs w:val="18"/>
        </w:rPr>
        <w:t xml:space="preserve">证券代码：002493          证券简称：荣盛石化        公告编号：2011-035 — https://disc.static.szse.cn/disc/disk03/finalpage/2026-07-17/a1b69259-6810-42a1-a8d4-936d5073c4b9.PDF</w:t>
      </w:r>
    </w:p>
    <w:p>
      <w:pPr>
        <w:spacing w:after="200"/>
      </w:pPr>
      <w:r>
        <w:rPr>
          <w:i/>
          <w:iCs/>
          <w:color w:val="595959"/>
          <w:sz w:val="18"/>
          <w:szCs w:val="18"/>
        </w:rPr>
        <w:t xml:space="preserve">本报告由AI基于公开渠道信息自动检索、整理并生成，信息截至 截至2026年9月11日收盘；技术指标页面部分数据截至2026年9月14日，股东数据截至2026年6月30日，存在时间窗口差异与数据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2026-09-14T04:53:46.514Z</dcterms:created>
  <dcterms:modified xsi:type="dcterms:W3CDTF">2026-09-14T04:53:46.514Z</dcterms:modified>
</cp:coreProperties>
</file>

<file path=docProps/custom.xml><?xml version="1.0" encoding="utf-8"?>
<Properties xmlns="http://schemas.openxmlformats.org/officeDocument/2006/custom-properties" xmlns:vt="http://schemas.openxmlformats.org/officeDocument/2006/docPropsVTypes"/>
</file>