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深圳科士达科技股份有限公司（科士达） (002518)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行业：电力电子设备与能源基础设施</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截至2026年9月11日收盘；技术位置主要以收盘价34.74元为基准，部分指标为第三方页面数据或基于历史收盘价的估算值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科士达2026年上半年实现营业收入25.91亿元，同比增长19.81%；归母净利润2.90亿元，同比增长13.61%，扣非归母净利润2.68亿元，同比增长13.39%，收入与利润继续增长，但利润增速低于收入增速。同期经营活动现金流净额为1.77亿元，同比增长29.46%。业务方面，智慧电源、数据中心产品收入15.26亿元，同比增长17.52%；光储充产品及系统收入10.05亿元，同比增长25.08%；境外收入15.12亿元，占营业收入58.35%，同比增长43.92%。</w:t>
      </w:r>
    </w:p>
    <w:p>
      <w:pPr>
        <w:spacing w:after="160" w:line="300"/>
      </w:pPr>
      <w:r>
        <w:rPr>
          <w:sz w:val="22"/>
          <w:szCs w:val="22"/>
        </w:rPr>
        <w:t xml:space="preserve">公司增长逻辑主要来自数据中心基础设施和新能源光储充业务的共同驱动。2025年数据中心行业收入31.31亿元，占营业收入59.40%；新能源行业收入20.87亿元，同比增长51.39%。数据中心UPS、液冷温控和一体化电力模块具备较高可靠性、认证和服务壁垒，新能源业务则受益于海外市场、储能业务修复及产品放量，但其标准化程度和价格竞争强度更高，盈利能力对产品结构和市场价格较为敏感。</w:t>
      </w:r>
    </w:p>
    <w:p>
      <w:pPr>
        <w:spacing w:after="160" w:line="300"/>
      </w:pPr>
      <w:r>
        <w:rPr>
          <w:sz w:val="22"/>
          <w:szCs w:val="22"/>
        </w:rPr>
        <w:t xml:space="preserve">盈利能力已从2024年的低位有所修复，但仍未回到2023年水平。2025年公司毛利率约28.98%、净利率约11.68%，新能源行业毛利率提升至19.42%，但仍显著低于数据中心业务；2026年上半年综合毛利率约29.4%，与上年同期基本持平。公司原材料成本占比较高，2025年数据中心产品和新能源产品原材料成本占各自产品成本的比例分别为84.01%和87.82%，成本、汇率及竞争格局对利润弹性影响较大。</w:t>
      </w:r>
    </w:p>
    <w:p>
      <w:pPr>
        <w:spacing w:after="160" w:line="300"/>
      </w:pPr>
      <w:r>
        <w:rPr>
          <w:sz w:val="22"/>
          <w:szCs w:val="22"/>
        </w:rPr>
        <w:t xml:space="preserve">截至2026年9月11日，股价收于34.74元，位于52周价格区间下部，低于MA20、MA50和MA100，但略高于MA200附近水平；MACD仍处于负值区间，RSI14为45.345，技术面呈现短线修复与中期偏弱并存。当前动态市盈率约31.33倍、扣非动态市盈率约33.23倍，估值已包含一定增长预期；机构对2026年归母净利润预测均值为8.87亿元，但该数据属于研究机构预测，不是公司业绩指引。</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002518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科士达</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1993年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2010年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数据中心关键基础设施、新能源，并延伸至新能源汽车充电设备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最新完整年度经营数据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以销定产为主、适当库存为辅；通用品和批量产品进行一定程度预生产</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产能数据说明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光伏逆变器和储能变流器产能数据主要来自2023年再融资审核问询回复，属于规划或预计产能，不等同于截至2026年的实际有效产能</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数据中心关键基础设施：包括UPS不间断电源、精密空调和数据中心温控设备、微模块数据中心、一体化电力模块、铅酸电池和磷酸铁锂电池、动力环境监控、预制化及集装箱式数据中心解决方案，以及面向AI算力中心的高功率UPS和液冷温控产品。2025年度数据中心行业收入31.31亿元，占营业收入59.40%；智慧电源、数据中心产品收入29.55亿元，占营业收入56.05%，同比增长13.76%。</w:t>
      </w:r>
    </w:p>
    <w:p>
      <w:pPr>
        <w:pStyle w:val="ListParagraph"/>
        <w:numPr>
          <w:ilvl w:val="0"/>
          <w:numId w:val="2"/>
        </w:numPr>
        <w:spacing w:after="80" w:line="280"/>
      </w:pPr>
      <w:r>
        <w:rPr>
          <w:sz w:val="22"/>
          <w:szCs w:val="22"/>
        </w:rPr>
        <w:t xml:space="preserve">新能源光储充业务：包括集中式和组串式光伏逆变器、户用光伏及储能逆变器、智能汇流箱及监控系统、储能变流器PCS、大型储能、工商业储能、户用储能、逆变升压一体化系统、EMS能量管理系统、调峰调频系统、大型集装箱式储能系统及光储充一体化系统。2025年度新能源行业收入20.87亿元，占营业收入39.61%，同比增长51.39%；光储充产品及系统收入20.69亿元，占营业收入39.26%，同比增长52.01%。</w:t>
      </w:r>
    </w:p>
    <w:p>
      <w:pPr>
        <w:pStyle w:val="ListParagraph"/>
        <w:numPr>
          <w:ilvl w:val="0"/>
          <w:numId w:val="2"/>
        </w:numPr>
        <w:spacing w:after="80" w:line="280"/>
      </w:pPr>
      <w:r>
        <w:rPr>
          <w:sz w:val="22"/>
          <w:szCs w:val="22"/>
        </w:rPr>
        <w:t xml:space="preserve">新能源汽车充电业务：包括直流分体式充电机、液冷直流充电机、直流一体式充电机、交流充电桩、充电模块和运营管理平台。2025年年报披露产品功率覆盖7kW交流桩、120—480kW直流分体式充电机、480—960kW全液冷直流分体式充电机及2.5MW直流充电桩。该业务主要面向电力、能源、城投交投、高速公路、充电运营商、重卡和车企，暂不是收入主体。</w:t>
      </w:r>
    </w:p>
    <w:p>
      <w:pPr>
        <w:pStyle w:val="ListParagraph"/>
        <w:numPr>
          <w:ilvl w:val="0"/>
          <w:numId w:val="2"/>
        </w:numPr>
        <w:spacing w:after="80" w:line="280"/>
      </w:pPr>
      <w:r>
        <w:rPr>
          <w:sz w:val="22"/>
          <w:szCs w:val="22"/>
        </w:rPr>
        <w:t xml:space="preserve">产量与销量侧证：2025年数据中心产品销售量237.99万套、生产量234.71万套、期末库存24.29万套；新能源产品销售量29.24万套、生产量30.92万套、期末库存7.56万套。与2024年相比，数据中心产品销量下降3.64%，新能源产品销量增长52.04%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科士达位于电力电子设备制造与能源基础设施系统集成环节。数据中心UPS和基础设施业务处于中游偏高附加值位置，光伏、储能和充电业务则处于竞争更激烈的电力变换设备和系统集成环节。</w:t>
      </w:r>
    </w:p>
    <w:p>
      <w:pPr>
        <w:pStyle w:val="ListParagraph"/>
        <w:numPr>
          <w:ilvl w:val="0"/>
          <w:numId w:val="2"/>
        </w:numPr>
        <w:spacing w:after="80" w:line="280"/>
      </w:pPr>
      <w:r>
        <w:rPr>
          <w:sz w:val="22"/>
          <w:szCs w:val="22"/>
        </w:rPr>
        <w:t xml:space="preserve">主要采购功率半导体、IGBT、MOSFET、芯片、控制板卡、电子元器件、电感、变压器、整流器、电容、继电器、开关器件，以及铜、铝、钢材和钣金结构件。</w:t>
      </w:r>
    </w:p>
    <w:p>
      <w:pPr>
        <w:pStyle w:val="ListParagraph"/>
        <w:numPr>
          <w:ilvl w:val="0"/>
          <w:numId w:val="2"/>
        </w:numPr>
        <w:spacing w:after="80" w:line="280"/>
      </w:pPr>
      <w:r>
        <w:rPr>
          <w:sz w:val="22"/>
          <w:szCs w:val="22"/>
        </w:rPr>
        <w:t xml:space="preserve">数据中心及温控产品还涉及铅酸电池、锂电池相关材料和电芯，以及空调压缩机、换热器、风机和制冷系统部件；光伏逆变器、储能PCS还需要功率器件和结构件。</w:t>
      </w:r>
    </w:p>
    <w:p>
      <w:pPr>
        <w:pStyle w:val="ListParagraph"/>
        <w:numPr>
          <w:ilvl w:val="0"/>
          <w:numId w:val="2"/>
        </w:numPr>
        <w:spacing w:after="80" w:line="280"/>
      </w:pPr>
      <w:r>
        <w:rPr>
          <w:sz w:val="22"/>
          <w:szCs w:val="22"/>
        </w:rPr>
        <w:t xml:space="preserve">2025年数据中心产品原材料成本17.24亿元，占该产品成本84.01%；新能源产品原材料成本14.77亿元，占新能源产品成本87.82%，显示材料成本占比较高。</w:t>
      </w:r>
    </w:p>
    <w:p>
      <w:pPr>
        <w:pStyle w:val="ListParagraph"/>
        <w:numPr>
          <w:ilvl w:val="0"/>
          <w:numId w:val="2"/>
        </w:numPr>
        <w:spacing w:after="80" w:line="280"/>
      </w:pPr>
      <w:r>
        <w:rPr>
          <w:sz w:val="22"/>
          <w:szCs w:val="22"/>
        </w:rPr>
        <w:t xml:space="preserve">2025年度前五大供应商采购金额6.91亿元，占年度采购总额22.13%；最大供应商占采购总额8.25%。公司未充分披露功率半导体、芯片和电芯等关键品类的供应商依赖，不能据此判断所有核心器件均具备多供应商替代能力。</w:t>
      </w:r>
    </w:p>
    <w:p>
      <w:pPr>
        <w:pStyle w:val="ListParagraph"/>
        <w:numPr>
          <w:ilvl w:val="0"/>
          <w:numId w:val="2"/>
        </w:numPr>
        <w:spacing w:after="80" w:line="280"/>
      </w:pPr>
      <w:r>
        <w:rPr>
          <w:sz w:val="22"/>
          <w:szCs w:val="22"/>
        </w:rPr>
        <w:t xml:space="preserve">公司对普通结构件、通用电子元件和部分标准化材料具备一定规模采购能力；但对功率半导体、核心芯片和电芯等关键器件，仍受全球供需、技术认证和供应商集中度影响，成本端具有一定价格接受者属性。成本改善主要依赖规模采购、产品平台化、供应链优化和产品结构升级。</w:t>
      </w:r>
    </w:p>
    <w:p>
      <w:pPr>
        <w:pStyle w:val="ListParagraph"/>
        <w:numPr>
          <w:ilvl w:val="0"/>
          <w:numId w:val="2"/>
        </w:numPr>
        <w:spacing w:after="80" w:line="280"/>
      </w:pPr>
      <w:r>
        <w:rPr>
          <w:sz w:val="22"/>
          <w:szCs w:val="22"/>
        </w:rPr>
        <w:t xml:space="preserve">下游客户包括金融机构、通信运营商、互联网及IDC企业、政府和公共基础设施客户、电力和能源集团、光伏电站及储能项目开发商、海外渠道商和ODM客户，以及充电运营商、高速公路和车企。</w:t>
      </w:r>
    </w:p>
    <w:p>
      <w:pPr>
        <w:pStyle w:val="ListParagraph"/>
        <w:numPr>
          <w:ilvl w:val="0"/>
          <w:numId w:val="2"/>
        </w:numPr>
        <w:spacing w:after="80" w:line="280"/>
      </w:pPr>
      <w:r>
        <w:rPr>
          <w:sz w:val="22"/>
          <w:szCs w:val="22"/>
        </w:rPr>
        <w:t xml:space="preserve">数据中心产品已进入中国移动、中国联通、中国电信等运营商采购体系，并服务于工商银行、农业银行、中国银行、建设银行等金融客户及互联网数据中心客户。该类客户重视可靠性、认证、交付和售后服务，供应商切换成本相对较高。</w:t>
      </w:r>
    </w:p>
    <w:p>
      <w:pPr>
        <w:pStyle w:val="ListParagraph"/>
        <w:numPr>
          <w:ilvl w:val="0"/>
          <w:numId w:val="2"/>
        </w:numPr>
        <w:spacing w:after="80" w:line="280"/>
      </w:pPr>
      <w:r>
        <w:rPr>
          <w:sz w:val="22"/>
          <w:szCs w:val="22"/>
        </w:rPr>
        <w:t xml:space="preserve">新能源业务更加市场化，光伏逆变器和储能系统对初始投资成本、系统效率、质保、交付和海外认证较为敏感，厂商对下游议价能力通常弱于高可靠数据中心UPS业务；储能业务还受电芯价格、项目收益率、海外政策和贸易壁垒影响。</w:t>
      </w:r>
    </w:p>
    <w:p>
      <w:pPr>
        <w:pStyle w:val="ListParagraph"/>
        <w:numPr>
          <w:ilvl w:val="0"/>
          <w:numId w:val="2"/>
        </w:numPr>
        <w:spacing w:after="80" w:line="280"/>
      </w:pPr>
      <w:r>
        <w:rPr>
          <w:sz w:val="22"/>
          <w:szCs w:val="22"/>
        </w:rPr>
        <w:t xml:space="preserve">2025年度前五大客户销售金额12.32亿元，占营业收入23.38%；最大客户占比11.82%。2024年度前五大客户占比为17.34%。上述数据来自公司年报，但客户采用匿名方式披露，无法判断是否存在单一大客户依赖或客户行业集中风险。</w:t>
      </w:r>
    </w:p>
    <w:p>
      <w:pPr>
        <w:pStyle w:val="ListParagraph"/>
        <w:numPr>
          <w:ilvl w:val="0"/>
          <w:numId w:val="2"/>
        </w:numPr>
        <w:spacing w:after="80" w:line="280"/>
      </w:pPr>
      <w:r>
        <w:rPr>
          <w:sz w:val="22"/>
          <w:szCs w:val="22"/>
        </w:rPr>
        <w:t xml:space="preserve">前五大客户集中度数据目前纪要仅列示2024年和2025年，且未披露真实客户名称，具体客户质量、行业分布和实际依赖程度无法进一步交叉核验，具体以最新年报为准。</w:t>
      </w:r>
    </w:p>
    <w:p>
      <w:pPr>
        <w:pStyle w:val="ListParagraph"/>
        <w:numPr>
          <w:ilvl w:val="0"/>
          <w:numId w:val="2"/>
        </w:numPr>
        <w:spacing w:after="80" w:line="280"/>
      </w:pPr>
      <w:r>
        <w:rPr>
          <w:sz w:val="22"/>
          <w:szCs w:val="22"/>
        </w:rPr>
        <w:t xml:space="preserve">截至2024年12月31日，应收账款账面价值14.99亿元，占当年营业收入约36.05%，约为归母净利润的3.80倍；2024年应收账款周转天数约124.54天，2023年约133.68天，周转效率有所改善但绝对天数仍较高。2025年经营活动现金流净额为9.11亿元，同比增长85.53%，主要与营业规模增长、销售回款增加及供应链端票据结算占比提高有关；2025年末应收账款账面价值15.90亿元，占资产总额20.22%。上述数据表明公司存在项目制、账期制和大型客户阶段性结算特征，现金回收并非完全由公司主导，仍需关注新能源海外客户、项目客户和ODM客户的回款质量。</w:t>
      </w:r>
    </w:p>
    <w:p>
      <w:pPr>
        <w:pStyle w:val="ListParagraph"/>
        <w:numPr>
          <w:ilvl w:val="0"/>
          <w:numId w:val="2"/>
        </w:numPr>
        <w:spacing w:after="80" w:line="280"/>
      </w:pPr>
      <w:r>
        <w:rPr>
          <w:sz w:val="22"/>
          <w:szCs w:val="22"/>
        </w:rPr>
        <w:t xml:space="preserve">2025年度前五大供应商采购占比为22.13%，最大供应商占比8.25%；前五大客户销售占比为23.38%，最大客户占比11.82%。供应商集中度整体不算极端，但关键功率半导体、芯片和电芯的单独供应商依赖未充分披露；客户集中度较2024年的17.34%有所上升，但因客户名称匿名，相关数据无法进一步核验客户质量、行业分布和单一客户依赖，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约36.87%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约12.55%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数据中心和UPS业务占比较高，传统高可靠电源业务对产品结构和盈利能力贡献较好，新能源业务尚未大规模拖累综合利润。</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约31.31%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约13.27%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毛利率较2020年下降，纪要认为可能与原材料、芯片及供应链成本压力以及业务结构变化有关；净利率仍保持，期间费用和非毛利因素对利润形成一定支撑。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约31.79%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约15.50%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新能源光储业务快速增长，规模效应和海外需求提升带动利润，电力电子技术、产品认证及渠道投入开始体现经营杠杆。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约32.89%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约16.02%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户用储能和光储充业务高速增长，新能源收入占比提升，同时数据中心业务保持增长，综合盈利能力达到阶段高点。</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约9.49%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数据中心业务毛利率为35.13%，新能源业务毛利率为16.70%；欧洲户用储能需求放缓、新能源出货下降和市场竞争加剧，导致低毛利新能源业务承压，数据中心业务毛利率也同比下降。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约28.98%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约11.68%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能源业务收入恢复，光储充产品收入同比增长52.01%，新能源行业毛利率提升至19.42%；但新能源业务收入占比提升且毛利率仍显著低于数据中心业务，综合毛利率未恢复至2023年水平。该年度数据来自公开财报摘要，正式口径以公司审计年报为准。</w:t>
            </w:r>
          </w:p>
        </w:tc>
      </w:tr>
    </w:tbl>
    <w:p>
      <w:pPr>
        <w:spacing w:before="200"/>
      </w:pPr>
    </w:p>
    <w:p>
      <w:pPr>
        <w:spacing w:after="160" w:line="300"/>
      </w:pPr>
      <w:r>
        <w:rPr>
          <w:sz w:val="22"/>
          <w:szCs w:val="22"/>
        </w:rPr>
        <w:t xml:space="preserve">科士达处于电力电子设备制造与系统集成的中游偏高附加值位置：数据中心UPS依靠可靠性、认证、品牌和服务形成较高附加值，新能源光储充业务则更接近竞争激烈、材料成本占比较高的电力变换设备环节。未来利润改善主要取决于AI数据中心高功率UPS、液冷和一体化电力模块放量，新能源向海外品牌、工商业储能和高附加值系统解决方案升级，海外本地化服务和客户认证拓展，以及规模采购、产品平台化和供应链优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25.9133亿元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同比增长19.81%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归属于上市公司股东的净利润2.9010亿元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同比增长13.61%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12.4029亿元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同比增长31.47%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归属于上市公司股东的净利润1.3864亿元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同比增长24.84%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52.7026亿元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同比增长26.72%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归属于上市公司股东的净利润6.1089亿元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同比增长54.97%</w:t>
            </w:r>
          </w:p>
        </w:tc>
      </w:tr>
    </w:tbl>
    <w:p>
      <w:pPr>
        <w:spacing w:after="200"/>
      </w:pPr>
      <w:r>
        <w:rPr>
          <w:i/>
          <w:iCs/>
          <w:color w:val="595959"/>
          <w:sz w:val="18"/>
          <w:szCs w:val="18"/>
        </w:rPr>
        <w:t xml:space="preserve">最新正式财报为公司于2026年8月27日披露的2026年半年度报告，报告期截至2026年6月30日。2026年上半年扣非归母净利润为2.6826亿元，同比增长13.39%；基本每股收益0.50元，同比增长13.64%；经营活动产生的现金流量净额1.7713亿元，同比增长29.46%。2025年度扣非归母净利润为5.7704亿元，同比增长67.51%；基本每股收益1.05元，同比增长54.41%；经营活动产生的现金流量净额9.1146亿元，同比增长85.53%。</w:t>
      </w:r>
    </w:p>
    <w:p>
      <w:pPr>
        <w:spacing w:after="160" w:line="300"/>
      </w:pPr>
      <w:r>
        <w:rPr>
          <w:sz w:val="22"/>
          <w:szCs w:val="22"/>
        </w:rPr>
        <w:t xml:space="preserve">2026年上半年公司收入和利润保持同比增长，但净利润增速低于收入增速。综合毛利率约29.4%，与上年同期基本持平；财务费用由2025年上半年的净收益4,306万元转为2026年上半年的费用2,841万元，主要由于美元、欧元汇率变动导致汇兑损失增加。按产品口径，2026年上半年智慧电源、数据中心产品收入15.2612亿元，同比增长17.52%；光储充产品及系统收入10.0520亿元，上年同期为8.0363亿元。2026年第二季度单季营业收入约13.5亿元，归母净利润约1.51亿元，相关数据及数据中心业务加速判断属于券商分析，不是公司正式披露数据。2025年业绩主要受数据中心业务、海外市场及储能业务修复推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同花顺F10汇总的各机构研究报告，截至2026年8月27日过去6个月内共有11家机构对2026年度业绩进行预测，不是公司业绩指引或交易所正式披露数据。代表性预测包括：华西证券于2026年6月30日预计2026—2028年营业收入为67.64亿元、85.87亿元、109.71亿元，归母净利润为9.04亿元、12.01亿元、15.42亿元，EPS为1.55元、2.06元、2.65元；华泰证券于2026年6月1日预计营业收入为67.58亿元、85.69亿元、107.18亿元，归母净利润为9.07亿元、11.79亿元、14.84亿元，EPS为1.56元、2.02元、2.55元；华福证券于2026年5月1日预计营业收入为70.26亿元、89.03亿元、109.31亿元，归母净利润为9.06亿元、11.91亿元、15.15亿元，EPS为1.56元、2.05元、2.60元。东吴证券于2026年4月28日预计2026—2028年归母净利润为9.25亿元、14.16亿元、19.51亿元，EPS约为1.59元、2.43元、3.35元，预测明显高于多数机构，属于相对乐观情景。</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机构预测大致集中在61.47亿至70.26亿元，部分机构预测更高</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机构预测均值8.87亿元，区间7.58亿至9.90亿元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较2025年实际归母净利润约增长45%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机构预测均值1.52元，区间1.30至1.70元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研究纪要未提供机构一致预测收入数据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机构预测均值11.87亿元，区间10.57亿至14.00亿元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研究纪要未提供统一的净利润增长率</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机构预测均值2.03元，区间1.82至2.40元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研究纪要未提供机构一致预测收入数据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机构预测均值15.49亿元，区间14.17亿至20.00亿元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研究纪要未提供统一的净利润增长率</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机构预测均值2.65元，区间2.37至3.44元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预计2026—2028年归母净利润分别为9.04亿元、12.01亿元、15.42亿元；EPS分别为1.55元、2.06元、2.65元。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目标价54.55元；预计2026年归母净利润9.07亿元，目标估值约35倍2026年PE。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华福证券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研究纪要未提供评级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预计2026—2028年归母净利润分别为9.06亿元、11.91亿元、15.15亿元；EPS分别为1.56元、2.05元、2.60元。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目标价64元；预计2026—2028年归母净利润分别为9.25亿元、14.16亿元、19.51亿元，EPS约为1.59元、2.43元、3.35元；属于相对乐观的单一券商预测。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公开汇总资料显示，其所在机构统计样本的目标价区间为54.55元至64元；具体目标价、统计日期及样本范围存在平台差异，应以原始研报为准。</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同花顺近6个月统计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3家买入、2家增持、1家跑赢行业、1家推荐、1家强烈推荐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截至研究纪要所述统计期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共8家机构发布相关研报，没有减持或卖出评级；2026年目标价最高64.00元、最低54.55元、平均57.99元。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行情平台统计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研究纪要未提供具体统计日期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7名分析师的12个月平均目标价为52.16元，最高60元、最低41.92元；该统计与同花顺机构统计存在样本和日期差异，不能简单合并。</w:t>
            </w:r>
          </w:p>
        </w:tc>
      </w:tr>
    </w:tbl>
    <w:p>
      <w:pPr>
        <w:spacing w:before="200"/>
      </w:pPr>
    </w:p>
    <w:p>
      <w:pPr>
        <w:spacing w:after="160" w:line="300"/>
      </w:pPr>
      <w:r>
        <w:rPr>
          <w:sz w:val="22"/>
          <w:szCs w:val="22"/>
        </w:rPr>
        <w:t xml:space="preserve">截至2026年9月11日收盘，公司收盘价34.74元，总市值约202.3亿元，动态市盈率约31.33倍，扣非动态市盈率约33.23倍，市净率约4.07倍，TTM每股收益约1.11元。按股价34.74元不变及同花顺机构一致预测EPS计算，2026—2028年预测PE分别约22.9倍、17.1倍和13.1倍；按机构一致预测归母净利润计算，2026—2028年预测PE分别约22.8倍、17.0倍和13.1倍。华泰证券目标价54.55元，对应约35倍2026年PE；东吴证券目标价64元，对应约40倍2026年PE。当前TTM PE约31倍，高于基于2026年机构预测利润计算的远期PE，估值已包含一定业绩增长预期。若AIDC订单、海外ODM、大功率UPS及海外储能需求兑现，盈利增长可能推动估值逐年下降；若汇率波动、海外贸易政策、储能价格竞争、原材料价格或订单交付节奏不及预期，则存在盈利预测下修和估值压力。上述估值计算未考虑未来股本变化、分红除权和预测调整。</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2026年9月暂无新的重大公司公告</w:t>
      </w:r>
    </w:p>
    <w:p>
      <w:pPr>
        <w:spacing w:after="160" w:line="300"/>
      </w:pPr>
      <w:r>
        <w:rPr>
          <w:sz w:val="22"/>
          <w:szCs w:val="22"/>
        </w:rPr>
        <w:t xml:space="preserve">截至2026年9月12日，公开检索未发现科士达在2026年9月1日至9月12日期间披露新的业绩预告、股份回购、控股股东增减持计划、重大并购或监管处罚公告。当前9月信息主要涉及股东户数、融资融券及市场资讯。部分深交所、巨潮资讯检索页面存在动态加载情况，不能完全排除刚披露但尚未被搜索引擎收录的公告。</w:t>
      </w:r>
    </w:p>
    <w:p>
      <w:pPr>
        <w:pStyle w:val="Heading2"/>
        <w:spacing w:after="120" w:before="240"/>
      </w:pPr>
      <w:r>
        <w:rPr>
          <w:b/>
          <w:bCs/>
          <w:color w:val="2E74B5"/>
          <w:sz w:val="24"/>
          <w:szCs w:val="24"/>
        </w:rPr>
        <w:t xml:space="preserve">4.2 2026年半年度报告：收入和利润保持增长</w:t>
      </w:r>
    </w:p>
    <w:p>
      <w:pPr>
        <w:spacing w:after="160" w:line="300"/>
      </w:pPr>
      <w:r>
        <w:rPr>
          <w:sz w:val="22"/>
          <w:szCs w:val="22"/>
        </w:rPr>
        <w:t xml:space="preserve">科士达于2026年8月28日披露2026年半年度报告及摘要。2026年上半年实现营业收入25.91亿元，同比增长19.81%；归属于上市公司股东的净利润2.90亿元，同比增长13.61%；扣除非经常性损益后的归母净利润2.68亿元，同比增长13.39%。</w:t>
      </w:r>
    </w:p>
    <w:p>
      <w:pPr>
        <w:pStyle w:val="Heading2"/>
        <w:spacing w:after="120" w:before="240"/>
      </w:pPr>
      <w:r>
        <w:rPr>
          <w:b/>
          <w:bCs/>
          <w:color w:val="2E74B5"/>
          <w:sz w:val="24"/>
          <w:szCs w:val="24"/>
        </w:rPr>
        <w:t xml:space="preserve">4.3 数据中心及光储充业务增长，境外收入增速较快</w:t>
      </w:r>
    </w:p>
    <w:p>
      <w:pPr>
        <w:spacing w:after="160" w:line="300"/>
      </w:pPr>
      <w:r>
        <w:rPr>
          <w:sz w:val="22"/>
          <w:szCs w:val="22"/>
        </w:rPr>
        <w:t xml:space="preserve">2026年上半年，智慧电源、数据中心产品收入15.26亿元，占营业收入约58.89%，同比增长17.52%；光储充产品及系统收入10.05亿元，占比约38.79%，同比增长25.08%。境外收入15.12亿元，占营业收入58.35%，同比增长43.92%。</w:t>
      </w:r>
    </w:p>
    <w:p>
      <w:pPr>
        <w:pStyle w:val="Heading2"/>
        <w:spacing w:after="120" w:before="240"/>
      </w:pPr>
      <w:r>
        <w:rPr>
          <w:b/>
          <w:bCs/>
          <w:color w:val="2E74B5"/>
          <w:sz w:val="24"/>
          <w:szCs w:val="24"/>
        </w:rPr>
        <w:t xml:space="preserve">4.4 半年度报告未披露重大资产出售及利润分配安排</w:t>
      </w:r>
    </w:p>
    <w:p>
      <w:pPr>
        <w:spacing w:after="160" w:line="300"/>
      </w:pPr>
      <w:r>
        <w:rPr>
          <w:sz w:val="22"/>
          <w:szCs w:val="22"/>
        </w:rPr>
        <w:t xml:space="preserve">公司披露2026年上半年不存在需要说明的其他重大事项，未披露重大资产出售或重大股权出售事项。本报告期利润分配预案为不派发现金红利、不送红股、不以公积金转增股本。</w:t>
      </w:r>
    </w:p>
    <w:p>
      <w:pPr>
        <w:pStyle w:val="Heading2"/>
        <w:spacing w:after="120" w:before="240"/>
      </w:pPr>
      <w:r>
        <w:rPr>
          <w:b/>
          <w:bCs/>
          <w:color w:val="2E74B5"/>
          <w:sz w:val="24"/>
          <w:szCs w:val="24"/>
        </w:rPr>
        <w:t xml:space="preserve">4.5 为全资子公司提供合计2亿元最高额担保</w:t>
      </w:r>
    </w:p>
    <w:p>
      <w:pPr>
        <w:spacing w:after="160" w:line="300"/>
      </w:pPr>
      <w:r>
        <w:rPr>
          <w:sz w:val="22"/>
          <w:szCs w:val="22"/>
        </w:rPr>
        <w:t xml:space="preserve">2026年8月8日，公司披露为全资子公司提供担保的进展公告。公司与平安银行深圳分行签署最高额保证担保合同，分别为深圳科士达新能源有限公司、广东科士达工业科技有限公司提供最高本金限额各1亿元的连带责任担保，合计2亿元，保证期间为主合同债务履行期届满之日起三年。截至公告披露日，公司及控股子公司已审批担保总额度为13.05亿元，实际发生的有效担保余额为6.05亿元；不存在逾期担保、涉及诉讼的担保或对合并报表外单位提供担保的情况。</w:t>
      </w:r>
    </w:p>
    <w:p>
      <w:pPr>
        <w:pStyle w:val="Heading2"/>
        <w:spacing w:after="120" w:before="240"/>
      </w:pPr>
      <w:r>
        <w:rPr>
          <w:b/>
          <w:bCs/>
          <w:color w:val="2E74B5"/>
          <w:sz w:val="24"/>
          <w:szCs w:val="24"/>
        </w:rPr>
        <w:t xml:space="preserve">4.6 控股股东减持计划已完成，持股比例降至55.76%</w:t>
      </w:r>
    </w:p>
    <w:p>
      <w:pPr>
        <w:spacing w:after="160" w:line="300"/>
      </w:pPr>
      <w:r>
        <w:rPr>
          <w:sz w:val="22"/>
          <w:szCs w:val="22"/>
        </w:rPr>
        <w:t xml:space="preserve">控股股东宁波科士达创业投资合伙企业（有限合伙）于2026年3月11日至5月12日期间，通过集中竞价累计减持582.22万股，占公司总股本1.00%。减持完成后，持股由3.3046206亿股、占比56.76%降至3.2463986亿股、占比55.76%。截至2026年6月30日，半年度报告显示其持股比例仍为55.76%，未披露新的控股股东减持计划。</w:t>
      </w:r>
    </w:p>
    <w:p>
      <w:pPr>
        <w:pStyle w:val="Heading2"/>
        <w:spacing w:after="120" w:before="240"/>
      </w:pPr>
      <w:r>
        <w:rPr>
          <w:b/>
          <w:bCs/>
          <w:color w:val="2E74B5"/>
          <w:sz w:val="24"/>
          <w:szCs w:val="24"/>
        </w:rPr>
        <w:t xml:space="preserve">4.7 董事李春英报告期内减持42.40万股</w:t>
      </w:r>
    </w:p>
    <w:p>
      <w:pPr>
        <w:spacing w:after="160" w:line="300"/>
      </w:pPr>
      <w:r>
        <w:rPr>
          <w:sz w:val="22"/>
          <w:szCs w:val="22"/>
        </w:rPr>
        <w:t xml:space="preserve">公司2026年半年度报告披露，董事李春英报告期内减持42.40万股，期末持股由169.638万股降至127.238万股。截至2026年9月12日，未检索到2026年9月新的高管减持计划或完成公告。</w:t>
      </w:r>
    </w:p>
    <w:p>
      <w:pPr>
        <w:pStyle w:val="Heading2"/>
        <w:spacing w:after="120" w:before="240"/>
      </w:pPr>
      <w:r>
        <w:rPr>
          <w:b/>
          <w:bCs/>
          <w:color w:val="2E74B5"/>
          <w:sz w:val="24"/>
          <w:szCs w:val="24"/>
        </w:rPr>
        <w:t xml:space="preserve">4.8 股东户数较为稳定</w:t>
      </w:r>
    </w:p>
    <w:p>
      <w:pPr>
        <w:spacing w:after="160" w:line="300"/>
      </w:pPr>
      <w:r>
        <w:rPr>
          <w:sz w:val="22"/>
          <w:szCs w:val="22"/>
        </w:rPr>
        <w:t xml:space="preserve">截至2026年6月30日，公司普通股股东总数为46,699户。截至2026年8月10日和8月20日，市场数据平台显示股东户数约5.3万户，8月20日较8月10日基本持平。后两项数据主要来自行情及股东户数数据库，不是半年度报告中的正式定期披露数据。</w:t>
      </w:r>
    </w:p>
    <w:p>
      <w:pPr>
        <w:pStyle w:val="Heading2"/>
        <w:spacing w:after="120" w:before="240"/>
      </w:pPr>
      <w:r>
        <w:rPr>
          <w:b/>
          <w:bCs/>
          <w:color w:val="2E74B5"/>
          <w:sz w:val="24"/>
          <w:szCs w:val="24"/>
        </w:rPr>
        <w:t xml:space="preserve">4.9 2025年度业绩预告与实际业绩基本兑现</w:t>
      </w:r>
    </w:p>
    <w:p>
      <w:pPr>
        <w:spacing w:after="160" w:line="300"/>
      </w:pPr>
      <w:r>
        <w:rPr>
          <w:sz w:val="22"/>
          <w:szCs w:val="22"/>
        </w:rPr>
        <w:t xml:space="preserve">公司于2026年1月17日披露2025年度业绩预告，预计2025年归属于上市公司股东的净利润为6.00亿元至6.60亿元，同比增长52.21%至67.43%。2025年年报实际归母净利润为6.11亿元，落在业绩预告区间内。截至2026年9月12日，尚未检索到2026年半年度或2026年三季度业绩预告，公司已于2026年8月28日直接披露半年度报告。</w:t>
      </w:r>
    </w:p>
    <w:p>
      <w:pPr>
        <w:pStyle w:val="Heading2"/>
        <w:spacing w:after="120" w:before="240"/>
      </w:pPr>
      <w:r>
        <w:rPr>
          <w:b/>
          <w:bCs/>
          <w:color w:val="2E74B5"/>
          <w:sz w:val="24"/>
          <w:szCs w:val="24"/>
        </w:rPr>
        <w:t xml:space="preserve">4.10 2026年内未发现股份回购公告</w:t>
      </w:r>
    </w:p>
    <w:p>
      <w:pPr>
        <w:spacing w:after="160" w:line="300"/>
      </w:pPr>
      <w:r>
        <w:rPr>
          <w:sz w:val="22"/>
          <w:szCs w:val="22"/>
        </w:rPr>
        <w:t xml:space="preserve">截至2026年9月12日，未检索到科士达在2026年内实施股份回购、发布新的回购方案或披露回购进度的有效公告。2026年半年度报告披露，报告期内股份回购的实施进展情况不适用，前十名股东中不存在回购专户。</w:t>
      </w:r>
    </w:p>
    <w:p>
      <w:pPr>
        <w:pStyle w:val="Heading2"/>
        <w:spacing w:after="120" w:before="240"/>
      </w:pPr>
      <w:r>
        <w:rPr>
          <w:b/>
          <w:bCs/>
          <w:color w:val="2E74B5"/>
          <w:sz w:val="24"/>
          <w:szCs w:val="24"/>
        </w:rPr>
        <w:t xml:space="preserve">4.11 暂未发现新的重大并购、资产重组或监管负面事项</w:t>
      </w:r>
    </w:p>
    <w:p>
      <w:pPr>
        <w:spacing w:after="160" w:line="300"/>
      </w:pPr>
      <w:r>
        <w:rPr>
          <w:sz w:val="22"/>
          <w:szCs w:val="22"/>
        </w:rPr>
        <w:t xml:space="preserve">截至2026年9月12日，未检索到科士达在2026年9月披露新的重大并购、重大资产重组或重大股权收购公告。同期未检索到深交所、证监会或公司公告披露科士达受到监管措施、纪律处分、问询函或立案调查。市场关于海外ODM、数据中心、储能、AIDC等内容，主要属于经营展望、投资者关系活动或券商研报解读，不能直接认定为已签署并生效的重大并购或重大订单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34.74元/股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-0.56元，跌幅-1.59%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33.50~35.29元，日振幅5.07%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145,883手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50,145.61万元，约5.01亿元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29.26~65.58元；最新收盘价处于区间下部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约196.33亿元/约190.06亿元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动态/当前口径约31.33倍，扣非市盈率约33.23倍；其他平台TTM口径约30~32倍，存在统计口径差异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34.28元/34.73元/35.08元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股价高于MA5、接近并略高于MA10，但低于MA20；短线出现修复迹象，中短期仍面临均线压制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35.59元/35.07元/34.10元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股价低于MA50和MA100，高于MA200附近水平；MA200约34.10元可作为中长期观察位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均线综合信号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Investing页面显示5个买入信号、7个卖出信号；综合信号为“卖出”或偏弱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短线均线有所修复，但中期均线结构尚未转强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-0.34，信号为卖出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MACD处于负值区间，反弹动能不足，尚未形成明确的多头金叉确认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45.345，中性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位于50以下但距离30超卖线仍有一定距离，市场偏弱但尚未达到明显超卖状态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公开页面未找到截至2026年9月11日的可交叉核实官方数值；根据近期收盘序列自行重算可能接近0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该结果受起始样本、复权口径和计算方式影响较大，仅为技术估算，不视为行情软件官方指标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中轨约35.26元，上轨约37.57元，下轨约32.95元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基于截至9月11日最近20个交易日未复权收盘价、20日均线和2倍标准差估算；股价位于中轨下方、下轨上方，处于偏弱震荡区间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最高65.58元，约出现在2026年5月20日前后；最低29.26元，约出现在2026年2月21日前后</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最新收盘价较52周高点低约47%，较52周低点高约19%，尚未形成明确的中期反转结构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9月11日资金流向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超大单净流出约2,113.47万元，大单净流出约42.07万元，中单净流出约267.82万元，小单净流入约2,423.36万元；超大单与大单合计净流出约2,155.54万元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大资金流出、较小资金承接，与当日股价下跌相互印证；该数据为第三方按成交单大小划分的估算口径，不等同于机构真实持仓变化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近5个交易日成交与换手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成交额约4.88亿~8.79亿元，换手率约2.46%~4.24%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整体属于中等活跃水平；9月11日成交额约5.01亿元、换手率2.58%，较9月7日至9月8日高成交水平回落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截至2026年6月30日，前十大流通股东合计持有约3.88亿股，占流通股约68.70%；截至2026年8月20日股东总数约5.30万户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前十大流通股东集中度较高，且有公募基金、社保基金及香港中央结算有限公司等机构参与；股东数据存在披露滞后，可能已因调仓、增减持发生变化</w:t>
            </w:r>
          </w:p>
        </w:tc>
      </w:tr>
    </w:tbl>
    <w:p>
      <w:pPr>
        <w:spacing w:before="200"/>
      </w:pPr>
    </w:p>
    <w:p>
      <w:pPr>
        <w:spacing w:after="160" w:line="300"/>
      </w:pPr>
      <w:r>
        <w:rPr>
          <w:sz w:val="22"/>
          <w:szCs w:val="22"/>
        </w:rPr>
        <w:t xml:space="preserve">截至2026年9月11日，科士达收盘34.74元，价格位于52周区间下部，低于MA20、MA50和MA100，但略高于MA5、MA10及MA200附近水平。技术面呈现短线修复与中期偏弱并存的特征：MACD为-0.34且处于负值区间，RSI14为45.345，尚未进入明显超卖区域；布林带估算显示股价位于中轨下方、下轨上方。资金面上，9月11日超大单与大单合计净流出约2,155.54万元，近5日成交额和换手率较前期高位有所回落，暂未体现出明确的主力持续回流信号。股东结构方面，前十大流通股东集中度较高，但相关集中度数据截至2026年6月30日，不能直接视为9月11日的实时筹码结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风险提示：以下内容仅为基于截至2026年9月11日收盘数据的主观情景推演，不构成投资建议，也不构成对未来走势的确定性判断。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35.00~35.60元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对应MA20约35.08元、MA50约35.59元、经典枢轴R1/R2约34.97~35.43元等位置。若有效站上35.60元并伴随成交额重新放大，下一观察区域为36.10~36.70元；若多次冲击失败，仍可能回到区间震荡。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33.80~34.30元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对应经典枢轴点约34.30元、DeMark支撑约34.07元及9月11日盘中低点33.50元附近的短线承接区域。若跌破33.80元，短线结构进一步转弱，可能测试33.20~33.50元。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32.70~33.20元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带下轨估算约32.95元、经典枢轴S2约33.17元及8月20日至8月21日前后形成的阶段性低位区域约32.34~32.75元。若有效跌破，下一观察方向为32.30元附近，甚至可能重新测试52周低点29.26元，但需结合放量下跌或市场环境恶化确认。</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六成左右；该权重基于当前技术和资金结构，不是统计概率）：参考价格区间为33.80~35.60元。触发条件包括守住33.80~34.30元支撑区、成交额维持约4.5亿~7亿元、无明显新增利空，且35.00~35.60元压力区未能有效突破。在此情景下，MA20和MA50附近可能形成反复压力，价格更可能围绕34~35元区间波动。</w:t>
      </w:r>
    </w:p>
    <w:p>
      <w:pPr>
        <w:pStyle w:val="ListParagraph"/>
        <w:numPr>
          <w:ilvl w:val="0"/>
          <w:numId w:val="2"/>
        </w:numPr>
        <w:spacing w:after="80" w:line="280"/>
      </w:pPr>
      <w:r>
        <w:rPr>
          <w:sz w:val="22"/>
          <w:szCs w:val="22"/>
        </w:rPr>
        <w:t xml:space="preserve">偏弱下行（主观启发式权重中等；该权重基于当前技术和资金结构，不是统计概率）：参考价格区间为32.30~33.80元。触发条件包括收盘有效跌破33.80元、主力资金连续净流出、单日成交额放大但股价收跌，或电气设备、储能、数据中心相关板块同步走弱。若33.80元失守，需观察33.20元及32.70~32.95元区域；若强支撑同时失守，则进一步观察32.30元附近及52周低点29.26元。</w:t>
      </w:r>
    </w:p>
    <w:p>
      <w:pPr>
        <w:pStyle w:val="ListParagraph"/>
        <w:numPr>
          <w:ilvl w:val="0"/>
          <w:numId w:val="2"/>
        </w:numPr>
        <w:spacing w:after="80" w:line="280"/>
      </w:pPr>
      <w:r>
        <w:rPr>
          <w:sz w:val="22"/>
          <w:szCs w:val="22"/>
        </w:rPr>
        <w:t xml:space="preserve">反弹走强（主观启发式权重偏低；该权重基于当前技术和资金结构，不是统计概率）：参考价格区间为35.60~36.70元。触发条件包括放量突破35.60元、成交额连续放大至约7.5亿~8亿元以上、MACD负值收窄并出现短线金叉迹象，或相关板块持续上涨、公司出现新的订单、业绩或产业政策催化。若突破有效，短线观察36.10元及36.60~36.70元区域；在MACD仍为负且MA20、MA50构成压制的情况下，反弹暂定义为技术性修复，而非已确认的中期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5个交易日成交额约4.88亿~8.79亿元，换手率约2.46%~4.24%，属于中等活跃水平；9月11日成交额约5.01亿元、换手率2.58%，较9月7日至9月8日的高成交水平回落。股东结构方面，截至2026年6月30日，前十大流通股东合计持有约3.88亿股，占流通股约68.70%，其中宁波科士达创业投资合伙企业持股约3.25亿股、占流通股约57.44%；香港中央结算有限公司持股约2,811万股、占流通股约4.97%，易方达环保主题混合A、社保基金17022组合、易方达高端制造混合A、汇添富科技创新混合A等基金或社保产品进入前十大流通股东。同花顺统计显示，截至2026年6月30日，约311家机构持仓，占流通股约72.65%，其中基金持股约9.45%、保险公司持股约0.61%、其他机构持股约62.41%。截至2026年8月20日股东总数约5.30万户，较2026年7月31日增加约8.16%，显示7月以来筹码集中度较6月底至7月中旬有所下降。上述股东数据最晚截至2026年6月30日，距当前收盘日已有两个多月，期间可能发生调仓、减持或增持，不能直接视为2026年9月11日的实时筹码结构。实际含义是：控股股东及前十大流通股东集中度较高，实际可交易筹码相对集中，控股股东减持、机构调仓或大资金集中交易可能对价格造成较明显影响；但当前成交额和换手率尚未显示极端低流动性特征。</w:t>
      </w:r>
    </w:p>
    <w:p>
      <w:pPr>
        <w:spacing w:after="160" w:line="300"/>
      </w:pPr>
      <w:r>
        <w:rPr>
          <w:sz w:val="22"/>
          <w:szCs w:val="22"/>
        </w:rPr>
        <w:t xml:space="preserve">可检查的成交确认信号是：若未来一周单日成交额能够连续或至少连续两日放大至约7.5亿~8亿元以上，并且股价同时站上35.60元，可视为短线资金重新增强的确认信号；若成交额放大但股价跌破33.80元，则更偏向于放量兑现或资金流出，而非有效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观察35.00~35.60元压力区能否伴随成交额放大而有效突破；该观察思路不构成操作指令。</w:t>
      </w:r>
    </w:p>
    <w:p>
      <w:pPr>
        <w:pStyle w:val="ListParagraph"/>
        <w:numPr>
          <w:ilvl w:val="0"/>
          <w:numId w:val="2"/>
        </w:numPr>
        <w:spacing w:after="80" w:line="280"/>
      </w:pPr>
      <w:r>
        <w:rPr>
          <w:sz w:val="22"/>
          <w:szCs w:val="22"/>
        </w:rPr>
        <w:t xml:space="preserve">观察33.80~34.30元第一支撑区能否保持，以及跌破33.80元后是否向33.20元附近扩散；该观察思路不构成操作指令。</w:t>
      </w:r>
    </w:p>
    <w:p>
      <w:pPr>
        <w:pStyle w:val="ListParagraph"/>
        <w:numPr>
          <w:ilvl w:val="0"/>
          <w:numId w:val="2"/>
        </w:numPr>
        <w:spacing w:after="80" w:line="280"/>
      </w:pPr>
      <w:r>
        <w:rPr>
          <w:sz w:val="22"/>
          <w:szCs w:val="22"/>
        </w:rPr>
        <w:t xml:space="preserve">观察32.70~33.20元强支撑区与布林下轨、枢轴支撑及阶段低位的共同支撑效果；该观察思路不构成操作指令。</w:t>
      </w:r>
    </w:p>
    <w:p>
      <w:pPr>
        <w:pStyle w:val="ListParagraph"/>
        <w:numPr>
          <w:ilvl w:val="0"/>
          <w:numId w:val="2"/>
        </w:numPr>
        <w:spacing w:after="80" w:line="280"/>
      </w:pPr>
      <w:r>
        <w:rPr>
          <w:sz w:val="22"/>
          <w:szCs w:val="22"/>
        </w:rPr>
        <w:t xml:space="preserve">观察成交额能否重新回到约7.5亿~8亿元以上，并结合价格是站上35.60元还是跌破33.80元判断资金性质；该观察思路不构成操作指令。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横跨数据中心UPS及基础设施、光伏逆变器、储能PCS和新能源汽车充电设备。数据中心业务竞争重点在功率段覆盖、模块化和高功率产品技术、供电可靠性和能效、液冷及微模块能力、重点行业客户认证、项目交付和售后服务；新能源业务竞争重点在电芯和功率器件成本、转换效率、安全与热管理、海外认证、项目交付、融资与可融资性、质保和海外本地化服务。</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数据中心UPS及基础设施竞争者包括施耐德、维谛技术、伊顿等国际综合厂商，华为数字能源、科华数据、科士达等国内综合型数字能源厂商，以及易事特、中恒电气、英威腾等细分市场厂商。</w:t>
      </w:r>
    </w:p>
    <w:p>
      <w:pPr>
        <w:pStyle w:val="ListParagraph"/>
        <w:numPr>
          <w:ilvl w:val="0"/>
          <w:numId w:val="2"/>
        </w:numPr>
        <w:spacing w:after="80" w:line="280"/>
      </w:pPr>
      <w:r>
        <w:rPr>
          <w:sz w:val="22"/>
          <w:szCs w:val="22"/>
        </w:rPr>
        <w:t xml:space="preserve">公开行业资料显示，2023年中国高端UPS市场主要参与者包括科华数据、华为、维谛、施耐德、伊顿和科士达；ICTresearch发布的2024—2025年度中国UPS产品市场报告将施耐德、维谛、伊顿、华为和科华数据列为重点竞争企业。</w:t>
      </w:r>
    </w:p>
    <w:p>
      <w:pPr>
        <w:pStyle w:val="ListParagraph"/>
        <w:numPr>
          <w:ilvl w:val="0"/>
          <w:numId w:val="2"/>
        </w:numPr>
        <w:spacing w:after="80" w:line="280"/>
      </w:pPr>
      <w:r>
        <w:rPr>
          <w:sz w:val="22"/>
          <w:szCs w:val="22"/>
        </w:rPr>
        <w:t xml:space="preserve">光伏逆变器主要竞争者包括华为、阳光电源、上能电气、特变电工、科华数据、固德威、锦浪科技、禾望电气、德业股份和科士达等。</w:t>
      </w:r>
    </w:p>
    <w:p>
      <w:pPr>
        <w:pStyle w:val="ListParagraph"/>
        <w:numPr>
          <w:ilvl w:val="0"/>
          <w:numId w:val="2"/>
        </w:numPr>
        <w:spacing w:after="80" w:line="280"/>
      </w:pPr>
      <w:r>
        <w:rPr>
          <w:sz w:val="22"/>
          <w:szCs w:val="22"/>
        </w:rPr>
        <w:t xml:space="preserve">储能PCS竞争者包括阳光电源、科华数能、上能电气、南瑞继保、汇川技术、许继电气、禾望电气和英博电气等。CNESA披露的2024年度国内储能PCS出货排名中，科士达未进入前十，表明其国内大储PCS规模与头部厂商相比仍有差距。</w:t>
      </w:r>
    </w:p>
    <w:p>
      <w:pPr>
        <w:pStyle w:val="ListParagraph"/>
        <w:numPr>
          <w:ilvl w:val="0"/>
          <w:numId w:val="2"/>
        </w:numPr>
        <w:spacing w:after="80" w:line="280"/>
      </w:pPr>
      <w:r>
        <w:rPr>
          <w:sz w:val="22"/>
          <w:szCs w:val="22"/>
        </w:rPr>
        <w:t xml:space="preserve">科士达在UPS和数据中心领域具备本土品牌、研发、制造、客户认证和交付基础，但与华为、施耐德、维谛等相比，在全球收入规模、软件平台、超大规模数据中心生态和海外服务网络方面仍有差距。</w:t>
      </w:r>
    </w:p>
    <w:p>
      <w:pPr>
        <w:pStyle w:val="ListParagraph"/>
        <w:numPr>
          <w:ilvl w:val="0"/>
          <w:numId w:val="2"/>
        </w:numPr>
        <w:spacing w:after="80" w:line="280"/>
      </w:pPr>
      <w:r>
        <w:rPr>
          <w:sz w:val="22"/>
          <w:szCs w:val="22"/>
        </w:rPr>
        <w:t xml:space="preserve">新能源行业标准化程度更高、产品价格变化更快。科士达能够复用UPS领域的电力电子技术、客户关系和海外渠道，但新能源竞争优势尚未达到数据中心UPS业务的稳固程度。</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科华数据（002335）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UPS、数据中心电源、储能、IDC及智慧电能综合厂商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与科士达在UPS、数据中心电源和储能PCS等领域重合度较高，在高端UPS、金融、电力、交通和数据中心领域品牌较强。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易事特（300376）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UPS、数据中心电源、光伏逆变器、储能和充电设备综合厂商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与科士达同属电力电子综合设备厂商，业务结构和客户结构更为多元，历史上新能源和储能业务占比较高。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阳光电源（300274）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光伏逆变器和储能系统全球头部企业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在规模、海外渠道、品牌和系统集成能力方面显著强于科士达，双方主要在光伏逆变器、储能PCS和大型储能系统方面竞争。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上能电气（300827）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光伏逆变器、储能PCS和电能质量设备厂商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重点布局大型电站和储能变流器，与科士达直接竞争；数据中心UPS业务不如科士达突出。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华为数字能源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数据中心UPS、模块化电源、储能、光伏逆变器和数字能源解决方案提供商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不是A股上市公司；优势在ICT技术、软件平台、系统集成、全球客户和AI数据中心生态，科士达优势在本土制造、成本、灵活交付及UPS专业能力。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维谛技术、施耐德、伊顿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国际综合型数据中心电源及基础设施厂商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在全球品牌、产品线完整性、大型数据中心项目经验和海外服务网络方面具备优势，是科士达数据中心UPS业务的重要竞争者。</w:t>
            </w:r>
          </w:p>
        </w:tc>
      </w:tr>
    </w:tbl>
    <w:p>
      <w:pPr>
        <w:spacing w:before="200"/>
      </w:pPr>
    </w:p>
    <w:p>
      <w:pPr>
        <w:spacing w:after="160" w:line="300"/>
      </w:pPr>
      <w:r>
        <w:rPr>
          <w:sz w:val="22"/>
          <w:szCs w:val="22"/>
        </w:rPr>
        <w:t xml:space="preserve">科士达的核心差异化在于UPS和数据中心基础设施领域的本土品牌、研发制造能力、客户认证基础及灵活交付能力；相较国际综合厂商，其全球化和软件生态仍有差距；相较阳光电源等新能源头部厂商，其光伏逆变器和储能PCS规模、国内大储排名及海外系统集成能力仍偏弱。公司业务结构正在由数据中心业务绝对占主导向“数据中心+新能源”相对均衡变化，2025年新能源收入恢复但毛利率仍低于数据中心业务，综合盈利能力对新能源价格竞争、海外需求和产品结构较为敏感。</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新能源业务盈利能力及综合毛利率承压风险：2025年新能源业务收入占比约39.61%，但其毛利率为19.42%，仍显著低于数据中心业务；若光伏逆变器、储能PCS及光储充产品竞争加剧，收入增长可能无法同步转化为利润增长。</w:t>
      </w:r>
    </w:p>
    <w:p>
      <w:pPr>
        <w:pStyle w:val="ListParagraph"/>
        <w:numPr>
          <w:ilvl w:val="0"/>
          <w:numId w:val="2"/>
        </w:numPr>
        <w:spacing w:after="80" w:line="280"/>
      </w:pPr>
      <w:r>
        <w:rPr>
          <w:sz w:val="22"/>
          <w:szCs w:val="22"/>
        </w:rPr>
        <w:t xml:space="preserve">原材料和核心器件成本风险：2025年数据中心产品、新能源产品原材料成本分别占各自产品成本的84.01%和87.82%，公司对功率半导体、芯片、电芯等关键器件的单独供应商依赖披露不足，若器件价格上涨或供应受限，可能压缩毛利率并影响交付。</w:t>
      </w:r>
    </w:p>
    <w:p>
      <w:pPr>
        <w:pStyle w:val="ListParagraph"/>
        <w:numPr>
          <w:ilvl w:val="0"/>
          <w:numId w:val="2"/>
        </w:numPr>
        <w:spacing w:after="80" w:line="280"/>
      </w:pPr>
      <w:r>
        <w:rPr>
          <w:sz w:val="22"/>
          <w:szCs w:val="22"/>
        </w:rPr>
        <w:t xml:space="preserve">海外业务、汇率及贸易政策风险：2026年上半年境外收入占营业收入58.35%，同比增长43.92%；同期财务费用由2025年上半年的净收益转为费用，主要与美元、欧元汇率变动导致汇兑损失增加有关，海外政策、贸易壁垒、认证及本地化服务变化可能影响订单、回款和利润。</w:t>
      </w:r>
    </w:p>
    <w:p>
      <w:pPr>
        <w:pStyle w:val="ListParagraph"/>
        <w:numPr>
          <w:ilvl w:val="0"/>
          <w:numId w:val="2"/>
        </w:numPr>
        <w:spacing w:after="80" w:line="280"/>
      </w:pPr>
      <w:r>
        <w:rPr>
          <w:sz w:val="22"/>
          <w:szCs w:val="22"/>
        </w:rPr>
        <w:t xml:space="preserve">应收账款和项目回款风险：2025年末应收账款账面价值15.90亿元，占资产总额20.22%；2024年应收账款周转天数约124.54天。公司客户包含大型项目客户、海外客户和ODM客户，项目制及账期制结算特征可能导致收入增长与现金回收不同步。</w:t>
      </w:r>
    </w:p>
    <w:p>
      <w:pPr>
        <w:pStyle w:val="ListParagraph"/>
        <w:numPr>
          <w:ilvl w:val="0"/>
          <w:numId w:val="2"/>
        </w:numPr>
        <w:spacing w:after="80" w:line="280"/>
      </w:pPr>
      <w:r>
        <w:rPr>
          <w:sz w:val="22"/>
          <w:szCs w:val="22"/>
        </w:rPr>
        <w:t xml:space="preserve">客户集中度上升及大客户依赖风险：2025年前五大客户销售金额占营业收入23.38%，高于2024年的17.34%，最大客户占比11.82%；客户名称匿名披露，无法进一步核验真实客户质量、行业分布及单一客户依赖程度，重要客户采购节奏变化可能影响收入。</w:t>
      </w:r>
    </w:p>
    <w:p>
      <w:pPr>
        <w:pStyle w:val="ListParagraph"/>
        <w:numPr>
          <w:ilvl w:val="0"/>
          <w:numId w:val="2"/>
        </w:numPr>
        <w:spacing w:after="80" w:line="280"/>
      </w:pPr>
      <w:r>
        <w:rPr>
          <w:sz w:val="22"/>
          <w:szCs w:val="22"/>
        </w:rPr>
        <w:t xml:space="preserve">数据中心业务竞争和订单兑现风险：数据中心产品虽具备客户认证、可靠性和服务优势，但面临华为数字能源、科华数据、施耐德、维谛技术及伊顿等厂商竞争；AI算力中心、高功率UPS和液冷等增长逻辑仍需通过实际订单、交付和利润表现验证，不能将市场展望直接等同于已生效重大订单。</w:t>
      </w:r>
    </w:p>
    <w:p>
      <w:pPr>
        <w:pStyle w:val="ListParagraph"/>
        <w:numPr>
          <w:ilvl w:val="0"/>
          <w:numId w:val="2"/>
        </w:numPr>
        <w:spacing w:after="80" w:line="280"/>
      </w:pPr>
      <w:r>
        <w:rPr>
          <w:sz w:val="22"/>
          <w:szCs w:val="22"/>
        </w:rPr>
        <w:t xml:space="preserve">担保及控股股东减持带来的经营与市场波动风险：公司为两家全资子公司分别提供最高本金限额1亿元的连带责任担保，已审批担保总额度13.05亿元、实际有效担保余额6.05亿元；同时控股股东2026年已完成减持1%股份，持股比例降至55.76%，相关事项可能增加市场对资金安排和股东减持的关注。</w:t>
      </w:r>
    </w:p>
    <w:p>
      <w:pPr>
        <w:pStyle w:val="ListParagraph"/>
        <w:numPr>
          <w:ilvl w:val="0"/>
          <w:numId w:val="2"/>
        </w:numPr>
        <w:spacing w:after="80" w:line="280"/>
      </w:pPr>
      <w:r>
        <w:rPr>
          <w:sz w:val="22"/>
          <w:szCs w:val="22"/>
        </w:rPr>
        <w:t xml:space="preserve">估值与技术面波动风险：截至2026年9月11日，动态市盈率约31.33倍，股价较52周高点回落约47%，MACD为负且低于多条中期均线；若机构盈利预测下修、业绩兑现不及预期或股价跌破技术支撑区域，可能面临估值和价格双重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科士达的中期增长取决于数据中心和新能源两条业务线能否形成互补：数据中心业务可依托UPS、液冷温控、高功率电源及客户认证基础，新能源业务则需要通过海外渠道、工商业储能、海外本地化服务及系统解决方案提升附加值。2026年上半年两项核心业务均保持增长，境外收入增速较快，显示海外市场和光储充业务仍是重要增量来源。</w:t>
      </w:r>
    </w:p>
    <w:p>
      <w:pPr>
        <w:spacing w:after="160" w:line="300"/>
      </w:pPr>
      <w:r>
        <w:rPr>
          <w:sz w:val="22"/>
          <w:szCs w:val="22"/>
        </w:rPr>
        <w:t xml:space="preserve">从盈利质量看，公司经营现金流改善、2025年业绩预告基本兑现，基本面延续增长；但新能源收入占比提升会使综合利润率更容易受到价格竞争、原材料成本和海外需求波动影响。后续需关注高功率UPS、数据中心相关产品、海外ODM及储能业务的实际订单和交付情况，以及收入增长能否转化为更快的利润增长。</w:t>
      </w:r>
    </w:p>
    <w:p>
      <w:pPr>
        <w:spacing w:after="160" w:line="300"/>
      </w:pPr>
      <w:r>
        <w:rPr>
          <w:sz w:val="22"/>
          <w:szCs w:val="22"/>
        </w:rPr>
        <w:t xml:space="preserve">股价目前处于52周区间下部，技术指标尚未确认中期反转，35.00至35.60元一带面临多条均线压力，33.80至34.30元及32.70至33.20元为技术观察区域。公司未来表现仍取决于业绩兑现、海外经营环境、汇率及市场风险偏好，机构盈利预测和技术情景均不构成确定性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公司公告_科士达：2024年年度报告摘要新浪财经_新浪网 — https://vip.stock.finance.sina.com.cn/corp/view/vCB_AllBulletinDetail.php?id=10974667&amp;utm_source=openai</w:t>
      </w:r>
    </w:p>
    <w:p>
      <w:pPr>
        <w:spacing w:after="200"/>
      </w:pPr>
      <w:r>
        <w:rPr>
          <w:i/>
          <w:iCs/>
          <w:color w:val="595959"/>
          <w:sz w:val="18"/>
          <w:szCs w:val="18"/>
        </w:rPr>
        <w:t xml:space="preserve">https://static.cninfo.com.cn/finalpage/2026-04-27/1225189515.PDF — https://static.cninfo.com.cn/finalpage/2026-04-27/1225189515.PDF</w:t>
      </w:r>
    </w:p>
    <w:p>
      <w:pPr>
        <w:spacing w:after="200"/>
      </w:pPr>
      <w:r>
        <w:rPr>
          <w:i/>
          <w:iCs/>
          <w:color w:val="595959"/>
          <w:sz w:val="18"/>
          <w:szCs w:val="18"/>
        </w:rPr>
        <w:t xml:space="preserve">科士达(002518)_公司公告_科士达：关于深圳科士达科技股份有限公司向特定对象发行股票申请文件的审核问询函的回复新浪财经_新浪网 — https://vip.stock.finance.sina.com.cn/corp/view/vCB_AllBulletinDetail.php?id=9923556&amp;stockid=002518</w:t>
      </w:r>
    </w:p>
    <w:p>
      <w:pPr>
        <w:spacing w:after="200"/>
      </w:pPr>
      <w:r>
        <w:rPr>
          <w:i/>
          <w:iCs/>
          <w:color w:val="595959"/>
          <w:sz w:val="18"/>
          <w:szCs w:val="18"/>
        </w:rPr>
        <w:t xml:space="preserve">科士达(002518)_公司公告_科士达：2024年年度报告新浪财经_新浪网 — https://money.finance.sina.com.cn/corp/view/vCB_AllBulletinDetail.php?id=10974691&amp;stockid=002518&amp;utm_source=openai</w:t>
      </w:r>
    </w:p>
    <w:p>
      <w:pPr>
        <w:spacing w:after="200"/>
      </w:pPr>
      <w:r>
        <w:rPr>
          <w:i/>
          <w:iCs/>
          <w:color w:val="595959"/>
          <w:sz w:val="18"/>
          <w:szCs w:val="18"/>
        </w:rPr>
        <w:t xml:space="preserve">https://static.cninfo.com.cn/finalpage/2025-04-25/1223277009.PDF — https://static.cninfo.com.cn/finalpage/2025-04-25/1223277009.PDF</w:t>
      </w:r>
    </w:p>
    <w:p>
      <w:pPr>
        <w:spacing w:after="200"/>
      </w:pPr>
      <w:r>
        <w:rPr>
          <w:i/>
          <w:iCs/>
          <w:color w:val="595959"/>
          <w:sz w:val="18"/>
          <w:szCs w:val="18"/>
        </w:rPr>
        <w:t xml:space="preserve">2024年中国高端电源(UPS)行业市场现状及竞争格局分析 2023年科华数据市场份额位居第一_研究报告 - 前瞻产业研究院 — https://bg.qianzhan.com/report/detail/300/240606-3f435efd.html?utm_source=openai</w:t>
      </w:r>
    </w:p>
    <w:p>
      <w:pPr>
        <w:spacing w:after="200"/>
      </w:pPr>
      <w:r>
        <w:rPr>
          <w:i/>
          <w:iCs/>
          <w:color w:val="595959"/>
          <w:sz w:val="18"/>
          <w:szCs w:val="18"/>
        </w:rPr>
        <w:t xml:space="preserve">〖行业深度〗洞察2024：中国光伏逆变器行业竞争格局及市场份额(附市场集中度、企业竞争力评价等)_行业研究报告 - 前瞻网 — https://www.qianzhan.com/analyst/detail/220/240626-0093fec8.html?utm_source=openai</w:t>
      </w:r>
    </w:p>
    <w:p>
      <w:pPr>
        <w:spacing w:after="200"/>
      </w:pPr>
      <w:r>
        <w:rPr>
          <w:i/>
          <w:iCs/>
          <w:color w:val="595959"/>
          <w:sz w:val="18"/>
          <w:szCs w:val="18"/>
        </w:rPr>
        <w:t xml:space="preserve">https://research.cnesa.org/report/info/?id=6052&amp;utm_source=openai — https://research.cnesa.org/report/info/?id=6052&amp;utm_source=openai</w:t>
      </w:r>
    </w:p>
    <w:p>
      <w:pPr>
        <w:spacing w:after="200"/>
      </w:pPr>
      <w:r>
        <w:rPr>
          <w:i/>
          <w:iCs/>
          <w:color w:val="595959"/>
          <w:sz w:val="18"/>
          <w:szCs w:val="18"/>
        </w:rPr>
        <w:t xml:space="preserve">深圳科士达科技股份有限公司 2025 年年度报告摘要 — https://static.cninfo.com.cn/finalpage/2026-04-27/1225189514.PDF?utm_source=openai</w:t>
      </w:r>
    </w:p>
    <w:p>
      <w:pPr>
        <w:spacing w:after="200"/>
      </w:pPr>
      <w:r>
        <w:rPr>
          <w:i/>
          <w:iCs/>
          <w:color w:val="595959"/>
          <w:sz w:val="18"/>
          <w:szCs w:val="18"/>
        </w:rPr>
        <w:t xml:space="preserve">科士达(002518)_公司公告_科士达：2026年半年度报告新浪财经_新浪网 — https://vip.stock.finance.sina.com.cn/corp/view/vCB_AllBulletinDetail.php?id=12560742&amp;stockid=002518</w:t>
      </w:r>
    </w:p>
    <w:p>
      <w:pPr>
        <w:spacing w:after="200"/>
      </w:pPr>
      <w:r>
        <w:rPr>
          <w:i/>
          <w:iCs/>
          <w:color w:val="595959"/>
          <w:sz w:val="18"/>
          <w:szCs w:val="18"/>
        </w:rPr>
        <w:t xml:space="preserve">科士达: 2026年半年度报告_股票频道_证券之星 — https://stock.stockstar.com/notice/SN2026082700054686.shtml?utm_source=openai</w:t>
      </w:r>
    </w:p>
    <w:p>
      <w:pPr>
        <w:spacing w:after="200"/>
      </w:pPr>
      <w:r>
        <w:rPr>
          <w:i/>
          <w:iCs/>
          <w:color w:val="595959"/>
          <w:sz w:val="18"/>
          <w:szCs w:val="18"/>
        </w:rPr>
        <w:t xml:space="preserve">2026半年报点评：Q2数据中心加速，海外ODM+工商储驱动增长- 宏观研究报告 _ 数据中心 _ 东方财富网 — https://data.eastmoney.com/report/info/AP202609011828846679.html</w:t>
      </w:r>
    </w:p>
    <w:p>
      <w:pPr>
        <w:spacing w:after="200"/>
      </w:pPr>
      <w:r>
        <w:rPr>
          <w:i/>
          <w:iCs/>
          <w:color w:val="595959"/>
          <w:sz w:val="18"/>
          <w:szCs w:val="18"/>
        </w:rPr>
        <w:t xml:space="preserve">科士达(002518)_公司公告_科士达：2025年年度报告新浪财经_新浪网 — https://money.finance.sina.com.cn/corp/view/vCB_AllBulletinDetail.php?id=12204290&amp;stockid=002518&amp;utm_source=openai</w:t>
      </w:r>
    </w:p>
    <w:p>
      <w:pPr>
        <w:spacing w:after="200"/>
      </w:pPr>
      <w:r>
        <w:rPr>
          <w:i/>
          <w:iCs/>
          <w:color w:val="595959"/>
          <w:sz w:val="18"/>
          <w:szCs w:val="18"/>
        </w:rPr>
        <w:t xml:space="preserve">科士达(002518) 盈利预测_F10_同花顺金融服务网 — https://basic.10jqka.com.cn/48/002518/worth.html</w:t>
      </w:r>
    </w:p>
    <w:p>
      <w:pPr>
        <w:spacing w:after="200"/>
      </w:pPr>
      <w:r>
        <w:rPr>
          <w:i/>
          <w:iCs/>
          <w:color w:val="595959"/>
          <w:sz w:val="18"/>
          <w:szCs w:val="18"/>
        </w:rPr>
        <w:t xml:space="preserve">B23
信息披露
Disclosure
2026年4月27日星期一
zqsb@stcn.com (0 — https://epaper.stcn.com/att/202604/27/ZQ27B023-MM_eBook.pdf?utm_source=openai</w:t>
      </w:r>
    </w:p>
    <w:p>
      <w:pPr>
        <w:spacing w:after="200"/>
      </w:pPr>
      <w:r>
        <w:rPr>
          <w:i/>
          <w:iCs/>
          <w:color w:val="595959"/>
          <w:sz w:val="18"/>
          <w:szCs w:val="18"/>
        </w:rPr>
        <w:t xml:space="preserve">机构评级|中金公司给予科士达“跑赢行业”评级 — https://stock.10jqka.com.cn/20260430/c676409376.shtml</w:t>
      </w:r>
    </w:p>
    <w:p>
      <w:pPr>
        <w:spacing w:after="200"/>
      </w:pPr>
      <w:r>
        <w:rPr>
          <w:i/>
          <w:iCs/>
          <w:color w:val="595959"/>
          <w:sz w:val="18"/>
          <w:szCs w:val="18"/>
        </w:rPr>
        <w:t xml:space="preserve">科士达(002518)股票最新价格行情,实时走势图,股价分析预测_英为财情Investing.com — https://cn.investing.com/equities/kstar-science-a?utm_source=openai</w:t>
      </w:r>
    </w:p>
    <w:p>
      <w:pPr>
        <w:spacing w:after="200"/>
      </w:pPr>
      <w:r>
        <w:rPr>
          <w:i/>
          <w:iCs/>
          <w:color w:val="595959"/>
          <w:sz w:val="18"/>
          <w:szCs w:val="18"/>
        </w:rPr>
        <w:t xml:space="preserve">科士达(002518)_股票行情，行情首页_中财网 — https://quotewh.cfi.cn/quote.aspx?client=pc&amp;lm=cgtj&amp;stockid=11392&amp;utm_source=openai</w:t>
      </w:r>
    </w:p>
    <w:p>
      <w:pPr>
        <w:spacing w:after="200"/>
      </w:pPr>
      <w:r>
        <w:rPr>
          <w:i/>
          <w:iCs/>
          <w:color w:val="595959"/>
          <w:sz w:val="18"/>
          <w:szCs w:val="18"/>
        </w:rPr>
        <w:t xml:space="preserve">科士达(002518)_公司公告_科士达：2026年半年度报告新浪财经_新浪网 — https://money.finance.sina.com.cn/corp/view/vCB_AllBulletinDetail.php?id=12560742&amp;stockid=002518</w:t>
      </w:r>
    </w:p>
    <w:p>
      <w:pPr>
        <w:spacing w:after="200"/>
      </w:pPr>
      <w:r>
        <w:rPr>
          <w:i/>
          <w:iCs/>
          <w:color w:val="595959"/>
          <w:sz w:val="18"/>
          <w:szCs w:val="18"/>
        </w:rPr>
        <w:t xml:space="preserve">科士达A股股东户数不变，流通A股户均持股1.07万股增幅0.00%，户均持股市值34.92万元降幅1.92%_新浪财经_新浪网 — https://finance.sina.com.cn/stock/aiassist/gdhs/2026-09-02/doc-iniqmfsy1401449.shtml?utm_source=openai</w:t>
      </w:r>
    </w:p>
    <w:p>
      <w:pPr>
        <w:spacing w:after="200"/>
      </w:pPr>
      <w:r>
        <w:rPr>
          <w:i/>
          <w:iCs/>
          <w:color w:val="595959"/>
          <w:sz w:val="18"/>
          <w:szCs w:val="18"/>
        </w:rPr>
        <w:t xml:space="preserve">https://static.cninfo.com.cn/finalpage/2026-08-08/1225463283.PDF — https://static.cninfo.com.cn/finalpage/2026-08-08/1225463283.PDF</w:t>
      </w:r>
    </w:p>
    <w:p>
      <w:pPr>
        <w:spacing w:after="200"/>
      </w:pPr>
      <w:r>
        <w:rPr>
          <w:i/>
          <w:iCs/>
          <w:color w:val="595959"/>
          <w:sz w:val="18"/>
          <w:szCs w:val="18"/>
        </w:rPr>
        <w:t xml:space="preserve">科士达(002518)_公司公告_科士达：关于为全资子公司提供担保的进展公告新浪财经_新浪网 — https://money.finance.sina.com.cn/corp/view/vCB_AllBulletinDetail.php?id=12482998&amp;stockid=002518&amp;utm_source=openai</w:t>
      </w:r>
    </w:p>
    <w:p>
      <w:pPr>
        <w:spacing w:after="200"/>
      </w:pPr>
      <w:r>
        <w:rPr>
          <w:i/>
          <w:iCs/>
          <w:color w:val="595959"/>
          <w:sz w:val="18"/>
          <w:szCs w:val="18"/>
        </w:rPr>
        <w:t xml:space="preserve">近日，公司收到控股股东宁波科士达的通知，截至本公告披露日，本次减持计划已实施完成。现将具体情况公告如下： — https://static.cninfo.com.cn/finalpage/2026-05-14/1225305324.PDF?utm_source=openai</w:t>
      </w:r>
    </w:p>
    <w:p>
      <w:pPr>
        <w:spacing w:after="200"/>
      </w:pPr>
      <w:r>
        <w:rPr>
          <w:i/>
          <w:iCs/>
          <w:color w:val="595959"/>
          <w:sz w:val="18"/>
          <w:szCs w:val="18"/>
        </w:rPr>
        <w:t xml:space="preserve">科士达(002518)业绩预告_新浪财经_新浪网 — https://money.finance.sina.com.cn/corp/go.php/vFD_AchievementNotice/stockid/002518.phtml?utm_source=openai</w:t>
      </w:r>
    </w:p>
    <w:p>
      <w:pPr>
        <w:spacing w:after="200"/>
      </w:pPr>
      <w:r>
        <w:rPr>
          <w:i/>
          <w:iCs/>
          <w:color w:val="595959"/>
          <w:sz w:val="18"/>
          <w:szCs w:val="18"/>
        </w:rPr>
        <w:t xml:space="preserve">科士达(002518) 公司大事_F10_同花顺金融服务网 — https://basic.10jqka.com.cn/002518/event.html?utm_source=openai</w:t>
      </w:r>
    </w:p>
    <w:p>
      <w:pPr>
        <w:spacing w:after="200"/>
      </w:pPr>
      <w:r>
        <w:rPr>
          <w:i/>
          <w:iCs/>
          <w:color w:val="595959"/>
          <w:sz w:val="18"/>
          <w:szCs w:val="18"/>
        </w:rPr>
        <w:t xml:space="preserve">深圳科士达科技股份有限公司2026年半年度报告摘要|上海证券报 — https://paper.cnstock.com/html/2026-08/28/content_2261461.htm?utm_source=openai</w:t>
      </w:r>
    </w:p>
    <w:p>
      <w:pPr>
        <w:spacing w:after="200"/>
      </w:pPr>
      <w:r>
        <w:rPr>
          <w:i/>
          <w:iCs/>
          <w:color w:val="595959"/>
          <w:sz w:val="18"/>
          <w:szCs w:val="18"/>
        </w:rPr>
        <w:t xml:space="preserve">Historical 002518.SZ stock prices (quote) - Shenzhen Kstar Science And Technology — https://stockinvest.us/stock-price/002518.SZ?utm_source=openai</w:t>
      </w:r>
    </w:p>
    <w:p>
      <w:pPr>
        <w:spacing w:after="200"/>
      </w:pPr>
      <w:r>
        <w:rPr>
          <w:i/>
          <w:iCs/>
          <w:color w:val="595959"/>
          <w:sz w:val="18"/>
          <w:szCs w:val="18"/>
        </w:rPr>
        <w:t xml:space="preserve">科士达(002518)股票行情走势技术分析_未来预测_买卖操作建议_英为财情Investing.com — https://cn.investing.com/equities/kstar-science-a-technical?utm_source=openai</w:t>
      </w:r>
    </w:p>
    <w:p>
      <w:pPr>
        <w:spacing w:after="200"/>
      </w:pPr>
      <w:r>
        <w:rPr>
          <w:i/>
          <w:iCs/>
          <w:color w:val="595959"/>
          <w:sz w:val="18"/>
          <w:szCs w:val="18"/>
        </w:rPr>
        <w:t xml:space="preserve">科士达(002518)_资金流向_证券之星 — https://stock.quote.stockstar.com/capital_002518.shtml?utm_source=openai</w:t>
      </w:r>
    </w:p>
    <w:p>
      <w:pPr>
        <w:spacing w:after="200"/>
      </w:pPr>
      <w:r>
        <w:rPr>
          <w:i/>
          <w:iCs/>
          <w:color w:val="595959"/>
          <w:sz w:val="18"/>
          <w:szCs w:val="18"/>
        </w:rPr>
        <w:t xml:space="preserve">科士达(002518)资金流向_个股行情_同花顺财经 — https://profile.10jqka.com.cn/002518/funds/</w:t>
      </w:r>
    </w:p>
    <w:p>
      <w:pPr>
        <w:spacing w:after="200"/>
      </w:pPr>
      <w:r>
        <w:rPr>
          <w:i/>
          <w:iCs/>
          <w:color w:val="595959"/>
          <w:sz w:val="18"/>
          <w:szCs w:val="18"/>
        </w:rPr>
        <w:t xml:space="preserve">科士达(002518)股票历史数据:历史行情,价格,走势图表_英为财情Investing.com — https://cn.investing.com/equities/kstar-science-a-historical-data?utm_source=openai</w:t>
      </w:r>
    </w:p>
    <w:p>
      <w:pPr>
        <w:spacing w:after="200"/>
      </w:pPr>
      <w:r>
        <w:rPr>
          <w:i/>
          <w:iCs/>
          <w:color w:val="595959"/>
          <w:sz w:val="18"/>
          <w:szCs w:val="18"/>
        </w:rPr>
        <w:t xml:space="preserve">科士达(002518) 股东研究_F10_同花顺金融服务网 — https://basic.10jqka.com.cn/002518/holder.html</w:t>
      </w:r>
    </w:p>
    <w:p>
      <w:pPr>
        <w:spacing w:after="200"/>
      </w:pPr>
      <w:r>
        <w:rPr>
          <w:i/>
          <w:iCs/>
          <w:color w:val="595959"/>
          <w:sz w:val="18"/>
          <w:szCs w:val="18"/>
        </w:rPr>
        <w:t xml:space="preserve">本报告由AI基于公开渠道信息自动检索、整理并生成，信息截至 截至2026年9月11日收盘；技术位置主要以收盘价34.74元为基准，部分指标为第三方页面数据或基于历史收盘价的估算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2026-09-13T12:21:56.477Z</dcterms:created>
  <dcterms:modified xsi:type="dcterms:W3CDTF">2026-09-13T12:21:56.477Z</dcterms:modified>
</cp:coreProperties>
</file>

<file path=docProps/custom.xml><?xml version="1.0" encoding="utf-8"?>
<Properties xmlns="http://schemas.openxmlformats.org/officeDocument/2006/custom-properties" xmlns:vt="http://schemas.openxmlformats.org/officeDocument/2006/docPropsVTypes"/>
</file>