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光正眼科医院集团股份有限公司 (002524)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行业：民营眼科医疗服务连锁</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截至2026年9月11日收盘；技术指标快照截至2026年9月10日，未提供9月11日收盘后重新计算的完整技术指标。</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光正眼科当前最具决策意义的事实是：公司主营盈利尚未稳定。2025年实现营业收入8.85亿元，同比下降0.86%，归母净利润亏损1949.74万元；2026年上半年营业收入3.90亿元，同比下降10.55%，归母净利润虽同比增长1152.76%至1777.58万元，但扣非后归母净利润仍亏损323.17万元，盈利转正主要受低基数及非经常性因素影响，持续性仍需验证。</w:t>
      </w:r>
    </w:p>
    <w:p>
      <w:pPr>
        <w:spacing w:after="160" w:line="300"/>
      </w:pPr>
      <w:r>
        <w:rPr>
          <w:sz w:val="22"/>
          <w:szCs w:val="22"/>
        </w:rPr>
        <w:t xml:space="preserve">公司业务已以眼科医疗为核心，2025年眼科医疗收入7.59亿元，占总收入85.70%，其中屈光和白内障合计约占总收入59.9%，对应毛利率分别为45.79%和47.26%；相比之下，钢结构业务收入约1.01亿元、毛利率仅6.74%。公司通过14家眼科医院和3家眼视光诊所覆盖10个中心城市，但相较大型民营眼科连锁，网络规模和规模效应较弱。2026年公司增资成都新视界眼科医院3000万元，并转让能源板块股权，显示资源进一步向眼科医疗主业集中。</w:t>
      </w:r>
    </w:p>
    <w:p>
      <w:pPr>
        <w:spacing w:after="160" w:line="300"/>
      </w:pPr>
      <w:r>
        <w:rPr>
          <w:sz w:val="22"/>
          <w:szCs w:val="22"/>
        </w:rPr>
        <w:t xml:space="preserve">公司盈利改善取决于成熟医院手术量和设备利用率提升、屈光及视光等高毛利业务发展、医生与学科能力建设，以及耗材、人工和房租摊销成本控制。与此同时，公司历史收购形成商誉初始金额约6.17亿元，累计计提商誉减值准备约3.76亿元，既往商誉减值曾显著影响业绩；截至2025年末应收账款9610.91万元，同比增加14.83%，高于同期收入增速，营运资金占用亦需关注。</w:t>
      </w:r>
    </w:p>
    <w:p>
      <w:pPr>
        <w:spacing w:after="160" w:line="300"/>
      </w:pPr>
      <w:r>
        <w:rPr>
          <w:sz w:val="22"/>
          <w:szCs w:val="22"/>
        </w:rPr>
        <w:t xml:space="preserve">截至2026年9月11日，公司股价收于4.00元，低于MA5、MA10和MA20，MACD柱为负，且当日放量下跌，短线技术面偏弱；但RSI中短周期仍未明显转空，尚不足以确认趋势性下跌。按市场数据，公司总市值约20.61亿元，因最近四个季度归母净利润仍为负，PE约为负值，按不同口径计算PB约18至22倍，估值缺乏稳定盈利和机构一致预期支撑。</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002524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光正眼科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报告依据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公司2025年年度报告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年报公告日期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2026年4月24日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数据截至日期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审计意见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中审众环会计师事务所出具标准无保留意见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营业收入（2025年）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8.85亿元，同比下降0.86%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归母净利润（2025年）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-1949.74万元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医疗网络（2025年末）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14家专业眼科医院、3家眼视光诊所，分布于10个中心城市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历史商誉（2025年末）</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收购形成的商誉初始金额约6.17亿元，累计计提商誉减值准备约3.76亿元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眼科医疗服务：包括屈光、白内障、眼前段、眼后段、视光、眼综合及其他眼病诊疗服务。2025年收入7.59亿元，占营业收入85.70%。</w:t>
      </w:r>
    </w:p>
    <w:p>
      <w:pPr>
        <w:pStyle w:val="ListParagraph"/>
        <w:numPr>
          <w:ilvl w:val="0"/>
          <w:numId w:val="2"/>
        </w:numPr>
        <w:spacing w:after="80" w:line="280"/>
      </w:pPr>
      <w:r>
        <w:rPr>
          <w:sz w:val="22"/>
          <w:szCs w:val="22"/>
        </w:rPr>
        <w:t xml:space="preserve">钢结构业务：主要包括钢结构制作、安装及工程施工，2025年收入约1.01亿元，占营业收入11.42%，毛利率6.74%。</w:t>
      </w:r>
    </w:p>
    <w:p>
      <w:pPr>
        <w:pStyle w:val="ListParagraph"/>
        <w:numPr>
          <w:ilvl w:val="0"/>
          <w:numId w:val="2"/>
        </w:numPr>
        <w:spacing w:after="80" w:line="280"/>
      </w:pPr>
      <w:r>
        <w:rPr>
          <w:sz w:val="22"/>
          <w:szCs w:val="22"/>
        </w:rPr>
        <w:t xml:space="preserve">能源及其他业务：能源业务包括燃气、油品等，2025年收入约2548万元，占营业收入2.88%；此外还有租赁等其他收入。</w:t>
      </w:r>
    </w:p>
    <w:p>
      <w:pPr>
        <w:pStyle w:val="ListParagraph"/>
        <w:numPr>
          <w:ilvl w:val="0"/>
          <w:numId w:val="2"/>
        </w:numPr>
        <w:spacing w:after="80" w:line="280"/>
      </w:pPr>
      <w:r>
        <w:rPr>
          <w:sz w:val="22"/>
          <w:szCs w:val="22"/>
        </w:rPr>
        <w:t xml:space="preserve">眼科医疗产品结构：2025年屈光项目收入2.70亿元，占总收入30.46%；白内障项目收入2.61亿元，占29.45%；视光服务收入1.08亿元，占12.23%；眼后段项目收入6978万元，占7.88%；眼前段项目收入3999万元，占4.52%。屈光和白内障合计占总收入约59.9%。</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光正眼科处于眼科医疗服务产业链中下游，是连接医疗耗材、医生资源与患者需求的医疗服务运营商。公司通过旗下眼科医院和诊所提供诊断、手术、视光及眼健康管理服务，利润核心取决于手术量、医生技术、品牌获客和单院运营效率。公司同时保留钢结构和能源等非核心业务。</w:t>
      </w:r>
    </w:p>
    <w:p>
      <w:pPr>
        <w:pStyle w:val="ListParagraph"/>
        <w:numPr>
          <w:ilvl w:val="0"/>
          <w:numId w:val="2"/>
        </w:numPr>
        <w:spacing w:after="80" w:line="280"/>
      </w:pPr>
      <w:r>
        <w:rPr>
          <w:sz w:val="22"/>
          <w:szCs w:val="22"/>
        </w:rPr>
        <w:t xml:space="preserve">医疗业务主要采购人工晶体、手术耗材、药品及检查相关耗材；2025年医疗行业营业成本约4.60亿元，其中医用材料2.52亿元，占医疗成本54.65%，为最大成本项目。</w:t>
      </w:r>
    </w:p>
    <w:p>
      <w:pPr>
        <w:pStyle w:val="ListParagraph"/>
        <w:numPr>
          <w:ilvl w:val="0"/>
          <w:numId w:val="2"/>
        </w:numPr>
        <w:spacing w:after="80" w:line="280"/>
      </w:pPr>
      <w:r>
        <w:rPr>
          <w:sz w:val="22"/>
          <w:szCs w:val="22"/>
        </w:rPr>
        <w:t xml:space="preserve">人工晶体等高端晶体材料较多依赖进口，价格和供应稳定性会影响白内障业务成本及毛利率；公司受到集中采购、医保支付改革和进口材料价格波动影响，对上游耗材供应商议价能力不强，更多属于价格接受者。</w:t>
      </w:r>
    </w:p>
    <w:p>
      <w:pPr>
        <w:pStyle w:val="ListParagraph"/>
        <w:numPr>
          <w:ilvl w:val="0"/>
          <w:numId w:val="2"/>
        </w:numPr>
        <w:spacing w:after="80" w:line="280"/>
      </w:pPr>
      <w:r>
        <w:rPr>
          <w:sz w:val="22"/>
          <w:szCs w:val="22"/>
        </w:rPr>
        <w:t xml:space="preserve">医生、学科带头人和手术团队是核心生产要素。优秀医生供给不足时，公司可能需要提高薪酬或引进专家，对利润率形成压力。2025年人力工资1.13亿元，占医疗成本24.60%。</w:t>
      </w:r>
    </w:p>
    <w:p>
      <w:pPr>
        <w:pStyle w:val="ListParagraph"/>
        <w:numPr>
          <w:ilvl w:val="0"/>
          <w:numId w:val="2"/>
        </w:numPr>
        <w:spacing w:after="80" w:line="280"/>
      </w:pPr>
      <w:r>
        <w:rPr>
          <w:sz w:val="22"/>
          <w:szCs w:val="22"/>
        </w:rPr>
        <w:t xml:space="preserve">房租及摊销是另一项重要成本。2025年房租及摊销5000.78万元，占医疗成本10.86%；大中城市选址、新院培育和单院利用率会影响盈利能力。</w:t>
      </w:r>
    </w:p>
    <w:p>
      <w:pPr>
        <w:pStyle w:val="ListParagraph"/>
        <w:numPr>
          <w:ilvl w:val="0"/>
          <w:numId w:val="2"/>
        </w:numPr>
        <w:spacing w:after="80" w:line="280"/>
      </w:pPr>
      <w:r>
        <w:rPr>
          <w:sz w:val="22"/>
          <w:szCs w:val="22"/>
        </w:rPr>
        <w:t xml:space="preserve">钢结构业务主要采购钢板等钢材。2025年钢结构业务成本中材料成本约4289.59万元，占45.50%；安装费约3571.98万元，占37.89%。钢材价格受大宗商品价格影响，公司难以完全转嫁原材料波动。</w:t>
      </w:r>
    </w:p>
    <w:p>
      <w:pPr>
        <w:pStyle w:val="ListParagraph"/>
        <w:numPr>
          <w:ilvl w:val="0"/>
          <w:numId w:val="2"/>
        </w:numPr>
        <w:spacing w:after="80" w:line="280"/>
      </w:pPr>
      <w:r>
        <w:rPr>
          <w:sz w:val="22"/>
          <w:szCs w:val="22"/>
        </w:rPr>
        <w:t xml:space="preserve">研究纪要未披露主要医疗耗材供应商集中度，也未披露具体供应商前五大采购占比，因此无法进一步量化上游集中度。</w:t>
      </w:r>
    </w:p>
    <w:p>
      <w:pPr>
        <w:pStyle w:val="ListParagraph"/>
        <w:numPr>
          <w:ilvl w:val="0"/>
          <w:numId w:val="2"/>
        </w:numPr>
        <w:spacing w:after="80" w:line="280"/>
      </w:pPr>
      <w:r>
        <w:rPr>
          <w:sz w:val="22"/>
          <w:szCs w:val="22"/>
        </w:rPr>
        <w:t xml:space="preserve">医疗业务下游主要为白内障等疾病患者、屈光手术和视光服务的自费消费者、医保患者及医保结算机构，以及儿童青少年近视防控和家庭眼健康客户。</w:t>
      </w:r>
    </w:p>
    <w:p>
      <w:pPr>
        <w:pStyle w:val="ListParagraph"/>
        <w:numPr>
          <w:ilvl w:val="0"/>
          <w:numId w:val="2"/>
        </w:numPr>
        <w:spacing w:after="80" w:line="280"/>
      </w:pPr>
      <w:r>
        <w:rPr>
          <w:sz w:val="22"/>
          <w:szCs w:val="22"/>
        </w:rPr>
        <w:t xml:space="preserve">白内障等医保业务受到医保支付、人工晶体集采、医疗服务价格改革及DRG/DIP等政策影响，医院服务价格和部分耗材价格受到约束，提价能力有限，利润更多依靠手术量、医生效率、耗材管理及高端功能性晶体占比提升。</w:t>
      </w:r>
    </w:p>
    <w:p>
      <w:pPr>
        <w:pStyle w:val="ListParagraph"/>
        <w:numPr>
          <w:ilvl w:val="0"/>
          <w:numId w:val="2"/>
        </w:numPr>
        <w:spacing w:after="80" w:line="280"/>
      </w:pPr>
      <w:r>
        <w:rPr>
          <w:sz w:val="22"/>
          <w:szCs w:val="22"/>
        </w:rPr>
        <w:t xml:space="preserve">屈光、部分视光服务及高端人工晶体的消费属性更强，患者更关注品牌、医生技术、设备、服务体验和术后效果；该类业务毛利相对较高，但面临爱尔眼科、华厦眼科、普瑞眼科及公立医院眼科竞争。</w:t>
      </w:r>
    </w:p>
    <w:p>
      <w:pPr>
        <w:pStyle w:val="ListParagraph"/>
        <w:numPr>
          <w:ilvl w:val="0"/>
          <w:numId w:val="2"/>
        </w:numPr>
        <w:spacing w:after="80" w:line="280"/>
      </w:pPr>
      <w:r>
        <w:rPr>
          <w:sz w:val="22"/>
          <w:szCs w:val="22"/>
        </w:rPr>
        <w:t xml:space="preserve">公司下游客户主要是分散的个人患者，而非少数大型机构客户。2025年年报未披露前五大患者客户收入占比，也未披露患者来源、医保结算方及自费患者的详细收入比例，因此无法以传统工业企业的前五大客户占比直接衡量下游议价能力。</w:t>
      </w:r>
    </w:p>
    <w:p>
      <w:pPr>
        <w:pStyle w:val="ListParagraph"/>
        <w:numPr>
          <w:ilvl w:val="0"/>
          <w:numId w:val="2"/>
        </w:numPr>
        <w:spacing w:after="80" w:line="280"/>
      </w:pPr>
      <w:r>
        <w:rPr>
          <w:sz w:val="22"/>
          <w:szCs w:val="22"/>
        </w:rPr>
        <w:t xml:space="preserve">客户集中度数据缺失，且未能获得前五大客户合计占比的年度数据；具体下游集中度及医保、自费收入结构以公司最新年报披露为准。</w:t>
      </w:r>
    </w:p>
    <w:p>
      <w:pPr>
        <w:pStyle w:val="ListParagraph"/>
        <w:numPr>
          <w:ilvl w:val="0"/>
          <w:numId w:val="2"/>
        </w:numPr>
        <w:spacing w:after="80" w:line="280"/>
      </w:pPr>
      <w:r>
        <w:rPr>
          <w:sz w:val="22"/>
          <w:szCs w:val="22"/>
        </w:rPr>
        <w:t xml:space="preserve">公司在医疗业务之外还承接钢结构工程客户，相关业务受钢材价格、工程结算和项目竞争影响，且2025年钢结构业务毛利率仅6.74%，明显低于眼科医疗业务。</w:t>
      </w:r>
    </w:p>
    <w:p>
      <w:pPr>
        <w:pStyle w:val="ListParagraph"/>
        <w:numPr>
          <w:ilvl w:val="0"/>
          <w:numId w:val="2"/>
        </w:numPr>
        <w:spacing w:after="80" w:line="280"/>
      </w:pPr>
      <w:r>
        <w:rPr>
          <w:sz w:val="22"/>
          <w:szCs w:val="22"/>
        </w:rPr>
        <w:t xml:space="preserve">截至2025年12月31日，公司应收账款9610.91万元，占营业收入约10.86%，应收账款周转率6.43次；应付账款2.03亿元，预付款项1423.29万元，合同资产3045.71万元。应收账款较2024年末增长14.83%，高于同期营业收入增速，显示部分医保结算、工程结算或客户回款仍占用营运资金。应收账款涉及不同业务板块，不能全部归因于医保患者欠款；应付账款高于应收账款也不能简单推断医疗业务对上游具备较强账期优势。</w:t>
      </w:r>
    </w:p>
    <w:p>
      <w:pPr>
        <w:pStyle w:val="ListParagraph"/>
        <w:numPr>
          <w:ilvl w:val="0"/>
          <w:numId w:val="2"/>
        </w:numPr>
        <w:spacing w:after="80" w:line="280"/>
      </w:pPr>
      <w:r>
        <w:rPr>
          <w:sz w:val="22"/>
          <w:szCs w:val="22"/>
        </w:rPr>
        <w:t xml:space="preserve">下游客户集中度：公司2025年年报未披露前五大患者客户收入占比、医保结算方占比或自费患者收入占比，传统工业企业常用的前五大客户集中度指标不适用于本公司。上游供应商集中度：研究纪要未披露主要医疗耗材供应商及前五大采购占比。上述数据缺失，具体以公司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约35.07%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约0.86%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医疗业务收入增长、医疗业务占比提升，但钢结构业务仍占较高比重，低毛利工程业务拖累整体毛利率。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约36.84%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约-19.56%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钢结构业务收入大幅下降、医疗业务占比继续提升，推动整体毛利率小幅改善；但较大商誉减值导致归母净利润大幅亏损。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约36.30%；医疗业务毛利率39.31%，钢结构业务毛利率6.74%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医疗业务收入略有下降，整体毛利率小幅回落，但亏损明显收窄；屈光项目毛利率45.79%、白内障项目毛利率47.26%，高毛利医疗项目明显优于钢结构业务。医院运营成本、耗材价格、医保支付改革、竞争及历史商誉继续压制净利润。</w:t>
            </w:r>
          </w:p>
        </w:tc>
      </w:tr>
    </w:tbl>
    <w:p>
      <w:pPr>
        <w:spacing w:before="200"/>
      </w:pPr>
    </w:p>
    <w:p>
      <w:pPr>
        <w:spacing w:after="160" w:line="300"/>
      </w:pPr>
      <w:r>
        <w:rPr>
          <w:sz w:val="22"/>
          <w:szCs w:val="22"/>
        </w:rPr>
        <w:t xml:space="preserve">公司位于眼科医疗服务产业链中下游，属于医疗服务运营商，既非上游医疗器械企业，也非下游强品牌消费品企业。其毛利率主要由屈光、白内障、视光等业务结构和医生服务能力驱动，净利润还受到人工晶体及其他耗材成本、医保支付约束、医院培育成本、期间费用和商誉减值影响。进一步改善利润需要提升高毛利业务占比、提高成熟医院手术量和设备利用率、控制人工与耗材成本、降低非核心低毛利业务占用，并改善并购医院经营质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2026年上半年（截至2026年6月30日，未经审计）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390,144,820.93元（约3.90亿元）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同比下降10.55%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归属于上市公司股东的净利润17,775,783.47元（约1,777.58万元）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同比增长1,152.76%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885,181,180.03元（约8.85亿元）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同比下降0.86%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归属于上市公司股东的净利润-19,497,356.96元（约亏损1,949.74万元）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同比减亏88.84%</w:t>
            </w:r>
          </w:p>
        </w:tc>
      </w:tr>
    </w:tbl>
    <w:p>
      <w:pPr>
        <w:spacing w:after="200"/>
      </w:pPr>
      <w:r>
        <w:rPr>
          <w:i/>
          <w:iCs/>
          <w:color w:val="595959"/>
          <w:sz w:val="18"/>
          <w:szCs w:val="18"/>
        </w:rPr>
        <w:t xml:space="preserve">2026年上半年扣除非经常性损益后的归母净利润为-3,231,677.73元（约亏损323.17万元），上年同期为-3,279,782.89元，同比改善1.47%，但仍处于亏损状态。2026年上半年经营活动产生的现金流量净额为31,302,681.73元（约3,130万元），同比增长4.86%。截至2026年6月30日，总资产为1,142,402,121.48元，较2025年末下降3.34%；归属于上市公司股东的净资产约1.125亿元，加权平均净资产收益率为17.15%。</w:t>
      </w:r>
    </w:p>
    <w:p>
      <w:pPr>
        <w:spacing w:after="160" w:line="300"/>
      </w:pPr>
      <w:r>
        <w:rPr>
          <w:sz w:val="22"/>
          <w:szCs w:val="22"/>
        </w:rPr>
        <w:t xml:space="preserve">公司2026年上半年呈现收入下滑、归母净利润转正但扣非后仍亏损的特征。归母净利润同比大幅增长主要受低基数影响，2025年同期归母净利润仅约141.89万元，当前盈利绝对规模仍较小，主营业务盈利质量和持续性仍需进一步验证。2025年全年收入基本持平但仍亏损，扣非后亏损约2,805.39万元，尚未形成稳定的年度盈利记录。收入结构方面，2026年上半年医疗行业收入约3.695亿元、钢结构行业收入约826万元、能源行业收入约1,241万元；2025年医疗行业收入约7.586亿元，占85.70%，钢结构行业收入约1.011亿元，占11.42%，能源行业收入约2,548万元，占2.88%。</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13日，同花顺盈利预测页面显示暂无机构对光正眼科2026年及以后年度给出有效的收入、净利润或EPS预测；同花顺个股分析页面也显示暂时没有机构预测公司2026年收益。未发现可核实的券商研报预测数字、目标价或正式评级。不建议将2026年上半年净利润年化后作为全年盈利预测，也不宜将单一媒体或量化平台推算视为机构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暂无公开机构一致预测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暂无公开机构一致预测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暂无公开机构一致预测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暂无公开机构一致预测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暂无公开机构一致预测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暂无公开机构一致预测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暂无公开机构一致预测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暂无公开机构一致预测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未发现可靠的公开机构一致预测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未发现可靠的公开机构一致预测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未发现可靠的公开机构一致预测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未发现可靠的公开机构一致预测</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公开机构及券商研究覆盖</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暂无有效评级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最近6个月内未检索到明确的买入、增持、中性、减持或卖出评级；同花顺盈利预测页面显示最近6个月各类机构评级数量均为0。未发现可交叉核实的最新券商目标价。</w:t>
            </w:r>
          </w:p>
        </w:tc>
      </w:tr>
    </w:tbl>
    <w:p>
      <w:pPr>
        <w:spacing w:before="200"/>
      </w:pPr>
    </w:p>
    <w:p>
      <w:pPr>
        <w:spacing w:after="160" w:line="300"/>
      </w:pPr>
      <w:r>
        <w:rPr>
          <w:sz w:val="22"/>
          <w:szCs w:val="22"/>
        </w:rPr>
        <w:t xml:space="preserve">截至2026年9月11日收盘，公司股价为4.00元，总市值约20.61亿元。市盈率方面，截至2026年9月10日理杏仁数据显示PE（TTM）约为-85.36倍，因最近四个季度归母净利润仍为负，传统PE估值不具备正常解释意义。市净率方面，截至2026年9月11日市场数据平台显示PB约18.32倍，理杏仁截至9月10日显示PB约22.17倍，差异可能来自股价时点、净资产口径及数据更新时间不同；按2026年6月30日归母净资产约1.125亿元、总股本约5.153亿股估算，每股净资产约0.22元，按4.00元股价计算对应PB约18倍。申万医疗服务行业截至2026年9月10日的PE约37.33倍、PB约4.65倍，但公司自身因亏损导致PE为负，且净资产规模偏低，不能简单以行业平均PE作为估值锚。当前估值主要依赖已披露财务数据和市场价格，缺少机构盈利预测、评级及目标价支持。公司若不能持续改善扣非后盈利，较高PB缺乏稳定盈利支撑；若眼科医疗业务收入恢复增长、扣非净利润持续转正，估值体系才可能逐步由PB转向PE或PEG。</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下属子公司新增500万元综合授信，公司及子公司提供担保</w:t>
      </w:r>
    </w:p>
    <w:p>
      <w:pPr>
        <w:spacing w:after="160" w:line="300"/>
      </w:pPr>
      <w:r>
        <w:rPr>
          <w:sz w:val="22"/>
          <w:szCs w:val="22"/>
        </w:rPr>
        <w:t xml:space="preserve">2026年9月11日，公司披露《关于下属子公司综合授信及担保事项的进展公告》（公告编号：2026-055）。上海新视界东区眼科医院有限公司向中国银行上海市闸北支行申请500万元人民币综合授信，期限12个月；光正眼科及上海光正新视界眼科医院投资有限公司为该授信提供连带责任担保。本次担保合同约定的担保债权最高本金余额为1000万元，叠加此前2026年6月29日申请的500万元授信后，相关担保本金余额合计为1000万元。截至公告披露日，公司及子公司担保额度总金额和实际发生担保总金额均为39,869万元，占公司最近一期经审计归属于上市公司股东净资产的416.22%。公司称，目前担保对象均为公司、全资子公司及其下属公司之间的相互担保，不存在对合并报表范围外单位或个人提供担保、逾期担保、涉及诉讼担保或因败诉而应承担担保责任的情况。担保总额超过最近一期经审计归母净资产100%，需关注相关偿债及经营现金流风险。来源：https://money.finance.sina.com.cn/corp/view/vCB_AllBulletinDetail.php?id=12595574&amp;stockid=002524</w:t>
      </w:r>
    </w:p>
    <w:p>
      <w:pPr>
        <w:pStyle w:val="Heading2"/>
        <w:spacing w:after="120" w:before="240"/>
      </w:pPr>
      <w:r>
        <w:rPr>
          <w:b/>
          <w:bCs/>
          <w:color w:val="2E74B5"/>
          <w:sz w:val="24"/>
          <w:szCs w:val="24"/>
        </w:rPr>
        <w:t xml:space="preserve">4.2 董事会秘书取得深交所董事会秘书培训证明</w:t>
      </w:r>
    </w:p>
    <w:p>
      <w:pPr>
        <w:spacing w:after="160" w:line="300"/>
      </w:pPr>
      <w:r>
        <w:rPr>
          <w:sz w:val="22"/>
          <w:szCs w:val="22"/>
        </w:rPr>
        <w:t xml:space="preserve">2026年9月9日，公司披露《关于董事会秘书取得董事会秘书培训证明的公告》。董事会秘书李俊英此前于2025年12月28日获聘，近日参加深圳证券交易所组织的上市公司董事会秘书任前培训并取得《董事会秘书培训证明》，证书编号为2026-4A-1752，自取得资格证明之日起正式履行董事会秘书职责。该事项属于公司治理及信息披露合规事项，不涉及经营业绩、股权变动或重大资产交易。来源：https://vip.stock.finance.sina.com.cn/corp/view/vCB_AllBulletinDetail.php?id=12589257&amp;stockid=002524</w:t>
      </w:r>
    </w:p>
    <w:p>
      <w:pPr>
        <w:pStyle w:val="Heading2"/>
        <w:spacing w:after="120" w:before="240"/>
      </w:pPr>
      <w:r>
        <w:rPr>
          <w:b/>
          <w:bCs/>
          <w:color w:val="2E74B5"/>
          <w:sz w:val="24"/>
          <w:szCs w:val="24"/>
        </w:rPr>
        <w:t xml:space="preserve">4.3 2026年半年度报告：收入下降，归母净利润扭亏但扣非后仍亏损</w:t>
      </w:r>
    </w:p>
    <w:p>
      <w:pPr>
        <w:spacing w:after="160" w:line="300"/>
      </w:pPr>
      <w:r>
        <w:rPr>
          <w:sz w:val="22"/>
          <w:szCs w:val="22"/>
        </w:rPr>
        <w:t xml:space="preserve">公司于2026年8月22日披露2026年半年度报告。2026年上半年营业收入3.9014亿元，同比下降10.55%；归属于上市公司股东的净利润1777.58万元，上年同期为141.89万元，同比增长1152.76%；扣除非经常性损益后的归母净利润为-323.17万元，上年同期为-327.98万元；经营活动产生的现金流量净额3130.27万元，同比增长4.86%；基本每股收益0.03元。公司2026年半年度不派发现金红利、不送红股、不以公积金转增股本。归母净利润大幅增长与非经常性因素及业务结构变化有关，扣非后归母净利润仍为负，主营盈利能力仍需观察。来源：https://vip.stock.finance.sina.com.cn/corp/view/vCB_AllBulletinDetail.php?id=12517604&amp;stockid=002524</w:t>
      </w:r>
    </w:p>
    <w:p>
      <w:pPr>
        <w:pStyle w:val="Heading2"/>
        <w:spacing w:after="120" w:before="240"/>
      </w:pPr>
      <w:r>
        <w:rPr>
          <w:b/>
          <w:bCs/>
          <w:color w:val="2E74B5"/>
          <w:sz w:val="24"/>
          <w:szCs w:val="24"/>
        </w:rPr>
        <w:t xml:space="preserve">4.4 2026年限制性股票激励计划完成授予登记</w:t>
      </w:r>
    </w:p>
    <w:p>
      <w:pPr>
        <w:spacing w:after="160" w:line="300"/>
      </w:pPr>
      <w:r>
        <w:rPr>
          <w:sz w:val="22"/>
          <w:szCs w:val="22"/>
        </w:rPr>
        <w:t xml:space="preserve">2026年8月7日，公司披露《关于2026年限制性股票激励计划授予登记完成的公告》。本次授予日为2026年7月28日，授予登记人数为103人，登记数量为150万股，授予价格为1.84元/股，股票来源为公司从二级市场回购的本公司A股普通股，激励对象包括董事、高级管理人员、中层管理人员及核心骨干员工。由于使用已回购股份，本次授予不会增加公司总股本，授予登记后公司总股本仍为515,331,574股；103名激励对象缴纳的认购款合计276万元。核心业绩目标为2026年实现净利润扭亏为盈、2027年净利润不低于2000万元，计划期限最长不超过48个月，分两期解除限售，每期50%。上述目标属于公司考核目标，不是盈利预测或业绩承诺。来源：https://static.cninfo.com.cn/finalpage/2026-08-07/1225461081.PDF</w:t>
      </w:r>
    </w:p>
    <w:p>
      <w:pPr>
        <w:pStyle w:val="Heading2"/>
        <w:spacing w:after="120" w:before="240"/>
      </w:pPr>
      <w:r>
        <w:rPr>
          <w:b/>
          <w:bCs/>
          <w:color w:val="2E74B5"/>
          <w:sz w:val="24"/>
          <w:szCs w:val="24"/>
        </w:rPr>
        <w:t xml:space="preserve">4.5 转让中景利华51%股权，剥离能源板块业务</w:t>
      </w:r>
    </w:p>
    <w:p>
      <w:pPr>
        <w:spacing w:after="160" w:line="300"/>
      </w:pPr>
      <w:r>
        <w:rPr>
          <w:sz w:val="22"/>
          <w:szCs w:val="22"/>
        </w:rPr>
        <w:t xml:space="preserve">公司于2026年4月29日审议转让乌鲁木齐中景利华石油化工有限公司51%股权，交易价格为3470万元，2026年5月20日经年度股东会审议通过，2026年6月完成工商变更。交易完成后，公司不再持有中景利华股权，中景利华不再纳入公司合并报表范围，股权由陈明惠和苏欢持有，其中陈明惠持股85.3%、苏欢持股14.7%。公司披露该交易旨在优化资产结构、提高资产运营效率，集中资源发展眼科医疗等主营及优势业务。半年报显示，中景利华在2026年年初至出售日贡献净利润117.75万元，占公司相关期间净利润总额的115.94%，该比例受公司同期净利润规模较小影响。来源：https://money.finance.sina.com.cn/corp/view/vCB_AllBulletinDetail.php?id=12365857&amp;stockid=002524</w:t>
      </w:r>
    </w:p>
    <w:p>
      <w:pPr>
        <w:pStyle w:val="Heading2"/>
        <w:spacing w:after="120" w:before="240"/>
      </w:pPr>
      <w:r>
        <w:rPr>
          <w:b/>
          <w:bCs/>
          <w:color w:val="2E74B5"/>
          <w:sz w:val="24"/>
          <w:szCs w:val="24"/>
        </w:rPr>
        <w:t xml:space="preserve">4.6 增资成都新视界眼科医院3000万元</w:t>
      </w:r>
    </w:p>
    <w:p>
      <w:pPr>
        <w:spacing w:after="160" w:line="300"/>
      </w:pPr>
      <w:r>
        <w:rPr>
          <w:sz w:val="22"/>
          <w:szCs w:val="22"/>
        </w:rPr>
        <w:t xml:space="preserve">公司于2026年2月12日审议对成都新视界眼科医院有限公司增资3000万元，增资完成后注册资本由1000万元增至4000万元，公司仍持有100%股权，工商变更于2026年3月17日完成。该事项体现公司继续向眼科医疗主业投入，并将资本投向医院扩张、区域布局及医疗服务能力建设。</w:t>
      </w:r>
    </w:p>
    <w:p>
      <w:pPr>
        <w:pStyle w:val="Heading2"/>
        <w:spacing w:after="120" w:before="240"/>
      </w:pPr>
      <w:r>
        <w:rPr>
          <w:b/>
          <w:bCs/>
          <w:color w:val="2E74B5"/>
          <w:sz w:val="24"/>
          <w:szCs w:val="24"/>
        </w:rPr>
        <w:t xml:space="preserve">4.7 收购上海新视界明眸眼科诊所20%股权</w:t>
      </w:r>
    </w:p>
    <w:p>
      <w:pPr>
        <w:spacing w:after="160" w:line="300"/>
      </w:pPr>
      <w:r>
        <w:rPr>
          <w:sz w:val="22"/>
          <w:szCs w:val="22"/>
        </w:rPr>
        <w:t xml:space="preserve">公司通过全资子公司上海光正新视界眼科医院投资有限公司，收购上海新视界明眸眼科诊所有限公司20%股权，交易金额为60万元，交易对手为公司董事、高级管理人员陈少伟，属于关联交易，相关工商变更于2026年7月完成。交易金额较小，但需关注交易定价和后续经营整合情况。来源：https://money.finance.sina.com.cn/corp/view/vCB_AllBulletinDetail.php?id=12517599&amp;stockid=002524</w:t>
      </w:r>
    </w:p>
    <w:p>
      <w:pPr>
        <w:pStyle w:val="Heading2"/>
        <w:spacing w:after="120" w:before="240"/>
      </w:pPr>
      <w:r>
        <w:rPr>
          <w:b/>
          <w:bCs/>
          <w:color w:val="2E74B5"/>
          <w:sz w:val="24"/>
          <w:szCs w:val="24"/>
        </w:rPr>
        <w:t xml:space="preserve">4.8 2025年度业绩预告修正，最终年报归母净利润亏损1949.74万元</w:t>
      </w:r>
    </w:p>
    <w:p>
      <w:pPr>
        <w:spacing w:after="160" w:line="300"/>
      </w:pPr>
      <w:r>
        <w:rPr>
          <w:sz w:val="22"/>
          <w:szCs w:val="22"/>
        </w:rPr>
        <w:t xml:space="preserve">截至2026年9月13日，检索到的最近一项业绩预告修正为公司2026年3月披露的《2025年度业绩预告修正公告》，并非2026年三季度业绩预告。公司将2025年度归属于上市公司股东的净利润预计区间由亏损500万元至300万元修正为亏损2000万元至1500万元；扣除非经常性损益后的净利润预计由亏损1800万元至1200万元修正为亏损3000万元至2400万元。随后披露的2025年年报显示，2025年度归母净利润为亏损1949.74万元。截至该日期，未检索到新的2026年度业绩预告、2026年前三季度业绩预告或业绩快报；该结论基于公开公告列表及关键词检索，不能排除部分第三方数据库收录延迟或遗漏。来源：https://static.cninfo.com.cn/finalpage/2026-03-21/1225021664.PDF</w:t>
      </w:r>
    </w:p>
    <w:p>
      <w:pPr>
        <w:pStyle w:val="Heading2"/>
        <w:spacing w:after="120" w:before="240"/>
      </w:pPr>
      <w:r>
        <w:rPr>
          <w:b/>
          <w:bCs/>
          <w:color w:val="2E74B5"/>
          <w:sz w:val="24"/>
          <w:szCs w:val="24"/>
        </w:rPr>
        <w:t xml:space="preserve">4.9 近期未发现新的大额股份回购及重大股东变动公告</w:t>
      </w:r>
    </w:p>
    <w:p>
      <w:pPr>
        <w:spacing w:after="160" w:line="300"/>
      </w:pPr>
      <w:r>
        <w:rPr>
          <w:sz w:val="22"/>
          <w:szCs w:val="22"/>
        </w:rPr>
        <w:t xml:space="preserve">截至2026年9月13日，近期明确的回购事项是公司将此前从二级市场回购的150万股库存股用于2026年限制性股票激励，而非新发布现金回购方案。本次激励股份来自已回购股份，不改变公司总股本。未检索到2026年9月新披露的大额股份回购计划、回购进展公告或回购注销公告；本次检索范围内也未发现控股股东增持、减持、协议转让、质押或被动减持等重大股东动态公告。上述结论基于截至2026年9月13日的公开检索结果，不代表公司未来不会披露相关公告。</w:t>
      </w:r>
    </w:p>
    <w:p>
      <w:pPr>
        <w:pStyle w:val="Heading2"/>
        <w:spacing w:after="120" w:before="240"/>
      </w:pPr>
      <w:r>
        <w:rPr>
          <w:b/>
          <w:bCs/>
          <w:color w:val="2E74B5"/>
          <w:sz w:val="24"/>
          <w:szCs w:val="24"/>
        </w:rPr>
        <w:t xml:space="preserve">4.10 近期未检索到重大监管处罚，治理重点为董秘资格及担保风险</w:t>
      </w:r>
    </w:p>
    <w:p>
      <w:pPr>
        <w:spacing w:after="160" w:line="300"/>
      </w:pPr>
      <w:r>
        <w:rPr>
          <w:sz w:val="22"/>
          <w:szCs w:val="22"/>
        </w:rPr>
        <w:t xml:space="preserve">近期未检索到针对光正眼科的证监会立案调查、交易所纪律处分、行政处罚或重大监管措施公告。公司近期较明确的监管及公司治理事项包括董事会秘书取得深交所培训证明、持续披露子公司授信与担保进展，以及实施限制性股票激励。公司担保总额超过最近一期经审计归母净资产100%，其中实际担保总额为39,869万元，占最近一期经审计归母净资产的416.22%，该事项较董事会秘书资格事项更值得重点关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-0.08元/-1.96%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4.05元/4.07元/3.93元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132,160手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5,261.87万元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约20.61亿元/约20.37亿元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5.56元（2026年1月27日）至3.19元（2026年6月29日）；采用大波浪数据前复权统计口径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4.12元/4.10元/4.05元（截至2026年9月10日）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9月11日收盘价4.00元低于三条均线，重新处于20日均线下方，短线趋势偏弱；MA5仍高于MA10和MA20，但价格走弱显示此前反弹动能减弱。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0.08；DEA 0.09；MACD柱-0.01（截至2026年9月10日）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DIF低于DEA且MACD柱为负，属于短线弱化信号，但负值幅度较小，尚未形成明显的趋势性杀跌结构。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48.9；RSI12 54.9；RSI24 55.3（截至2026年9月10日）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RSI6接近50，短线未明显超买或严重超卖；RSI12和RSI24仍高于50，中短周期动能尚未完全转空。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上轨4.19元；中轨4.05元；下轨3.91元（截至2026年9月10日）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股价位于布林中轨下方、下轨上方，处于布林带中下部，短线存在向3.91元附近寻求支撑的可能。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K 63.7；D 70.4；J 50.2（截至2026年9月10日）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D值高于K值，显示短线存在一定死叉或回落压力。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近期量价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9月11日成交额5,261.87万元、换手率2.60%；9月10日成交额4,079.62万元、换手率1.96%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成交额和换手率较前一交易日放大，同时股价下跌1.96%，呈现放量下跌特征，短线卖压较前一交易日增强。近期成交额大致处于4,000万至5,300万元区间。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9月8日净流入约731万元；9月9日净流出约257万元；9月10日净流出约61万元；9月1日至9月10日合计净流入约446万元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区间内存在阶段性流入，但连续性不足；统计区间内10日中有7日净流出，最近两个完整交易日连续净流出，资金面边际转弱。9月11日主力资金精确净额未获两个独立来源交叉确认。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截至2026年6月30日：前十大股东合计持股约30.93%；前十大流通股东持股约1.59亿股、占流通盘约31.18%；同花顺统计机构持股约1.49亿股、占流通A股约29.25%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股东结构数据距离2026年9月11日已有两个多月，期间可能发生变化。机构化资金占比并不高，公开披露机构包括高盛、UBS、Barclays及J.P. Morgan等；同花顺口径下QFII约1.95%、基金约1.37%、其他机构约25.90%。</w:t>
            </w:r>
          </w:p>
        </w:tc>
      </w:tr>
    </w:tbl>
    <w:p>
      <w:pPr>
        <w:spacing w:before="200"/>
      </w:pPr>
    </w:p>
    <w:p>
      <w:pPr>
        <w:spacing w:after="160" w:line="300"/>
      </w:pPr>
      <w:r>
        <w:rPr>
          <w:sz w:val="22"/>
          <w:szCs w:val="22"/>
        </w:rPr>
        <w:t xml:space="preserve">截至2026年9月11日，光正眼科收盘4.00元，较MA5、MA10和MA20均低，且MACD柱转负、DIF低于DEA，短线技术面偏弱；不过RSI12和RSI24仍高于50，MACD负值幅度较小，尚不足以确认趋势性杀跌。股价位于布林中轨4.05元下方、下轨3.91元上方，4.00元附近及3.91元附近是短期重要观察区域。量价方面，9月11日成交额较前一交易日放大并伴随下跌，近期主力资金虽有阶段性流入，但连续性不足，整体呈现区间内有流入、近期边际转弱的特征。52周价格区间为3.19元至5.56元，但历史高低点采用前复权口径，使用时需与技术指标保持一致的复权口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风险提示：以下内容仅为基于截至2026年9月11日收盘数据及截至9月10日技术指标快照的主观情景推演，不构成投资建议，也不构成对未来股价的确定性预测。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4.15~4.21元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由MA5约4.12元、MA10约4.10元、布林上轨约4.19元及9月8日至9月9日阶段高点约4.20~4.21元共同构成。若放量突破并站稳4.20~4.21元，上方可观察4.25~4.30元区域；若成交额不足，4.15~4.21元可能继续构成抛压。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3.98~4.05元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包含当前收盘价4.00元、MA20约4.05元及近期4.00元附近的价格博弈区。若守住该区间，可能围绕4.00~4.05元震荡；若有效跌破3.98元，调整可能向布林下轨约3.91元延伸。</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3.87~3.93元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由布林下轨约3.91元、9月11日盘中低点3.93元及2026年8月24日低点约3.87元构成。若该区域被放量跌破，技术上可能进一步回测前期3.80元附近支撑，甚至重新接近52周低点3.19元方向。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该权重是基于当前技术形态和资金流向的主观启发式判断，不是统计概率。）：价格区间约3.95~4.15元。触发条件包括股价守住3.98~4.00元、成交额维持约4,000万~5,500万元、医疗服务板块未出现明显系统性下跌，且MACD负柱不继续明显放大。观察重点为4.10~4.15元压力及3.91~4.00元支撑。</w:t>
      </w:r>
    </w:p>
    <w:p>
      <w:pPr>
        <w:pStyle w:val="ListParagraph"/>
        <w:numPr>
          <w:ilvl w:val="0"/>
          <w:numId w:val="2"/>
        </w:numPr>
        <w:spacing w:after="80" w:line="280"/>
      </w:pPr>
      <w:r>
        <w:rPr>
          <w:sz w:val="22"/>
          <w:szCs w:val="22"/>
        </w:rPr>
        <w:t xml:space="preserve">偏弱下行（主观权重中等；该判断基于当前技术形态和资金流向，不是统计概率。）：价格区间约3.80~3.98元。触发条件包括收盘有效跌破3.98元、成交额放大至6,000万元以上但价格继续走弱、主力资金连续净流出，或医疗服务板块及大盘风险偏好继续下降。若跌破3.91元并伴随成交额放大，可能向3.87~3.90元区域寻找支撑；若3.87元失守，则需关注更低的前期成交密集区。</w:t>
      </w:r>
    </w:p>
    <w:p>
      <w:pPr>
        <w:pStyle w:val="ListParagraph"/>
        <w:numPr>
          <w:ilvl w:val="0"/>
          <w:numId w:val="2"/>
        </w:numPr>
        <w:spacing w:after="80" w:line="280"/>
      </w:pPr>
      <w:r>
        <w:rPr>
          <w:sz w:val="22"/>
          <w:szCs w:val="22"/>
        </w:rPr>
        <w:t xml:space="preserve">反弹走强（主观权重偏低；该判断基于当前技术形态和资金流向，不是统计概率。）：价格区间约4.15~4.30元。触发条件包括股价重新站上4.10~4.15元、单日成交额达到约6,500万~7,000万元以上并至少维持一至两个交易日、放量突破4.20~4.21元前高压力，且医疗服务板块同步走强、主力资金由连续净流出转为持续净流入。若仅缩量反弹至4.10元附近，更可能属于弱势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为5,261.87万元、换手率为2.60%；近期成交额大多处于4,000万~5,300万元附近，换手率约2%左右，属于小市值、流动性一般的股票。若成交额快速萎缩，盘口深度可能下降，短线买卖价差和冲击成本可能扩大；若成交额突然放大，价格弹性可能提高。股东数据截至2026年6月30日：前十大流通股东持股约占流通盘31.18%，机构持仓合计约占流通A股29.25%；该数据距离当前行情已有两个多月，不能据此确认2026年9月的实际筹码结构。第一大股东光正投资有限公司持股占总股本25.07%，其中约6,460万股质押、约1,325.99万股冻结，相关情况仍需结合后续披露观察。前十大股东中公开披露了高盛、UBS、Barclays及J.P. Morgan等境外机构，但机构化资金占比并不高。</w:t>
      </w:r>
    </w:p>
    <w:p>
      <w:pPr>
        <w:spacing w:after="160" w:line="300"/>
      </w:pPr>
      <w:r>
        <w:rPr>
          <w:sz w:val="22"/>
          <w:szCs w:val="22"/>
        </w:rPr>
        <w:t xml:space="preserve">若未来单日成交额持续放大至约6,500万~7,000万元以上，同时价格能够站上4.15元，可视为相对明确的量价改善信号；该阈值根据股票近期约4,000万~5,300万元的自身成交额区间设定。</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观察4.00元附近能否形成有效支撑，以及3.91~3.93元区域是否出现缩量止跌。</w:t>
      </w:r>
    </w:p>
    <w:p>
      <w:pPr>
        <w:pStyle w:val="ListParagraph"/>
        <w:numPr>
          <w:ilvl w:val="0"/>
          <w:numId w:val="2"/>
        </w:numPr>
        <w:spacing w:after="80" w:line="280"/>
      </w:pPr>
      <w:r>
        <w:rPr>
          <w:sz w:val="22"/>
          <w:szCs w:val="22"/>
        </w:rPr>
        <w:t xml:space="preserve">观察4.10~4.15元能否重新站稳，以及4.20~4.21元能否在成交额配合下突破。</w:t>
      </w:r>
    </w:p>
    <w:p>
      <w:pPr>
        <w:pStyle w:val="ListParagraph"/>
        <w:numPr>
          <w:ilvl w:val="0"/>
          <w:numId w:val="2"/>
        </w:numPr>
        <w:spacing w:after="80" w:line="280"/>
      </w:pPr>
      <w:r>
        <w:rPr>
          <w:sz w:val="22"/>
          <w:szCs w:val="22"/>
        </w:rPr>
        <w:t xml:space="preserve">观察主力资金是否结束连续净流出，避免仅依据单日资金流入判断趋势反转。</w:t>
      </w:r>
    </w:p>
    <w:p>
      <w:pPr>
        <w:pStyle w:val="ListParagraph"/>
        <w:numPr>
          <w:ilvl w:val="0"/>
          <w:numId w:val="2"/>
        </w:numPr>
        <w:spacing w:after="80" w:line="280"/>
      </w:pPr>
      <w:r>
        <w:rPr>
          <w:sz w:val="22"/>
          <w:szCs w:val="22"/>
        </w:rPr>
        <w:t xml:space="preserve">观察单日成交额能否持续达到约6,500万~7,000万元以上。以上关注点仅为技术分析和数据跟踪思路，非操作指令。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光正眼科属于医疗服务行业中的民营眼科连锁赛道，兼有钢结构和能源等非核心业务。眼科医疗需求具有一定刚性，白内障和眼底病等疾病诊疗需求受人口老龄化推动；屈光、视光、近视防控及高端白内障具有较强消费医疗属性。行业核心生产要素为医生和学科能力，同时受到医保支付、人工晶体集采及医疗服务价格改革影响。</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行业由公立医院、民营眼科连锁和区域专科医院共同竞争，仍较为分散，头部企业通过并购、连锁化和分级诊疗提升集中度。</w:t>
      </w:r>
    </w:p>
    <w:p>
      <w:pPr>
        <w:pStyle w:val="ListParagraph"/>
        <w:numPr>
          <w:ilvl w:val="0"/>
          <w:numId w:val="2"/>
        </w:numPr>
        <w:spacing w:after="80" w:line="280"/>
      </w:pPr>
      <w:r>
        <w:rPr>
          <w:sz w:val="22"/>
          <w:szCs w:val="22"/>
        </w:rPr>
        <w:t xml:space="preserve">公开行业资料将民营眼科市场概括为“一超多强”，爱尔眼科规模明显领先，华厦眼科、普瑞眼科、何氏眼科、朝聚眼科和光正眼科等在不同区域形成竞争。该判断来自行业研究和上市公司公开资料，并非国家统计部门公布的官方分类结论。</w:t>
      </w:r>
    </w:p>
    <w:p>
      <w:pPr>
        <w:pStyle w:val="ListParagraph"/>
        <w:numPr>
          <w:ilvl w:val="0"/>
          <w:numId w:val="2"/>
        </w:numPr>
        <w:spacing w:after="80" w:line="280"/>
      </w:pPr>
      <w:r>
        <w:rPr>
          <w:sz w:val="22"/>
          <w:szCs w:val="22"/>
        </w:rPr>
        <w:t xml:space="preserve">部分第三方行业研究数据显示，2024年中国眼科医疗服务市场规模约2231亿元，民营机构市场份额约42%，2025年市场规模预计进一步增长。但该数据统计口径和范围可能包含公立医院、民营医院、视光机构及其他服务，未能通过国家官方统计口径完全交叉验证，不宜直接等同于上市眼科公司的可服务市场。</w:t>
      </w:r>
    </w:p>
    <w:p>
      <w:pPr>
        <w:pStyle w:val="ListParagraph"/>
        <w:numPr>
          <w:ilvl w:val="0"/>
          <w:numId w:val="2"/>
        </w:numPr>
        <w:spacing w:after="80" w:line="280"/>
      </w:pPr>
      <w:r>
        <w:rPr>
          <w:sz w:val="22"/>
          <w:szCs w:val="22"/>
        </w:rPr>
        <w:t xml:space="preserve">光正眼科截至2025年末拥有14家眼科医院和3家眼视光诊所，规模明显小于爱尔眼科、华厦眼科和普瑞眼科等全国性或区域大型连锁；新院培育、医生资源和患者流量是限制扩张速度及盈利能力的主要因素。</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爱尔眼科（300015）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全国及全球规模较大的眼科连锁集团之一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截至2025年12月31日，官网披露全球眼科中心及诊所共842家，其中中国内地663家，规模显著高于光正眼科；在品牌、医生培养、区域转诊和采购等方面具备规模优势。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华厦眼科（301267）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以核心医院为基础，强调高水平专科、医教研体系和全国连锁布局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重点发展屈光、视光、干眼等消费医疗业务，在疑难眼病、高端屈光、专科品牌和人才吸引方面与光正形成竞争。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普瑞眼科（301239）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全国性民营眼科连锁，重点布局省会及主要经济区域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截至2025年末在25个城市投资运营36家眼科医院和4家眼科门诊部，网络规模高于光正；在屈光、白内障、疑难眼病及高端设备方面形成竞争。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何氏眼科（301103）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以辽宁和东北地区为重要根据地，突出三级眼健康医疗服务模式</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2025年拥有121家眼科服务直营机构，其中包括87家视光门店；在视光网络、基层眼健康和东北区域品牌方面更具特色。</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朝聚眼科（2219.HK）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以中国北方、内蒙古及华北地区为核心的区域性眼科连锁集团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截至2025年末拥有31家眼科医院和32家视光中心，覆盖中国7个省、自治区或直辖市，在内蒙古及北方区域具有品牌和网络优势。</w:t>
            </w:r>
          </w:p>
        </w:tc>
      </w:tr>
    </w:tbl>
    <w:p>
      <w:pPr>
        <w:spacing w:before="200"/>
      </w:pPr>
    </w:p>
    <w:p>
      <w:pPr>
        <w:spacing w:after="160" w:line="300"/>
      </w:pPr>
      <w:r>
        <w:rPr>
          <w:sz w:val="22"/>
          <w:szCs w:val="22"/>
        </w:rPr>
        <w:t xml:space="preserve">光正眼科与爱尔眼科、华厦眼科、普瑞眼科相比，医院和诊所数量较少，全国化程度及规模效应较弱；与何氏眼科、朝聚眼科类似，主要依靠区域网络和专科服务参与竞争。公司优势区域包括上海、成渝、山东及部分中部和西北城市，潜在提升方向是区域聚焦规模化发展、以白内障为基础并以屈光和视光为中心，发展眼表、干眼及眼整形等业务。公司相对竞争力取决于区域医院运营质量、医生和学科能力、品牌获客、成熟医院手术量提升以及商誉风险控制。</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盈利持续性风险：2026年上半年营业收入同比下降10.55%，归母净利润虽转正至1777.58万元，但扣非后仍亏损323.17万元；2025年全年亦处于亏损状态，若非经常性收益或低基数因素减弱，公司可能再次出现归母亏损。</w:t>
      </w:r>
    </w:p>
    <w:p>
      <w:pPr>
        <w:pStyle w:val="ListParagraph"/>
        <w:numPr>
          <w:ilvl w:val="0"/>
          <w:numId w:val="2"/>
        </w:numPr>
        <w:spacing w:after="80" w:line="280"/>
      </w:pPr>
      <w:r>
        <w:rPr>
          <w:sz w:val="22"/>
          <w:szCs w:val="22"/>
        </w:rPr>
        <w:t xml:space="preserve">医疗业务运营效率风险：公司医疗网络包含14家眼科医院和3家眼视光诊所，但整体规模小于主要大型民营眼科连锁；若成熟医院手术量、设备利用率、患者获客或医生团队建设不及预期，新增投入和医院培育成本可能继续压制利润。</w:t>
      </w:r>
    </w:p>
    <w:p>
      <w:pPr>
        <w:pStyle w:val="ListParagraph"/>
        <w:numPr>
          <w:ilvl w:val="0"/>
          <w:numId w:val="2"/>
        </w:numPr>
        <w:spacing w:after="80" w:line="280"/>
      </w:pPr>
      <w:r>
        <w:rPr>
          <w:sz w:val="22"/>
          <w:szCs w:val="22"/>
        </w:rPr>
        <w:t xml:space="preserve">业务结构与价格压力风险：屈光和白内障合计约占2025年总收入59.9%，白内障等业务受医保支付、人工晶体集采、医疗服务价格改革及DRG/DIP等因素影响，服务及耗材价格存在约束；若高毛利项目占比下降，整体毛利率可能承压。</w:t>
      </w:r>
    </w:p>
    <w:p>
      <w:pPr>
        <w:pStyle w:val="ListParagraph"/>
        <w:numPr>
          <w:ilvl w:val="0"/>
          <w:numId w:val="2"/>
        </w:numPr>
        <w:spacing w:after="80" w:line="280"/>
      </w:pPr>
      <w:r>
        <w:rPr>
          <w:sz w:val="22"/>
          <w:szCs w:val="22"/>
        </w:rPr>
        <w:t xml:space="preserve">耗材与人力成本风险：2025年医疗成本中医用材料约2.52亿元，占医疗成本54.65%，人工工资约1.13亿元，占24.60%；人工晶体等高端材料较多依赖进口，若耗材价格、供应稳定性或医生薪酬成本发生不利变化，医疗业务毛利率可能下降。</w:t>
      </w:r>
    </w:p>
    <w:p>
      <w:pPr>
        <w:pStyle w:val="ListParagraph"/>
        <w:numPr>
          <w:ilvl w:val="0"/>
          <w:numId w:val="2"/>
        </w:numPr>
        <w:spacing w:after="80" w:line="280"/>
      </w:pPr>
      <w:r>
        <w:rPr>
          <w:sz w:val="22"/>
          <w:szCs w:val="22"/>
        </w:rPr>
        <w:t xml:space="preserve">商誉减值风险：截至2025年末，公司收购形成的商誉初始金额约6.17亿元，累计计提商誉减值准备约3.76亿元；若相关医院经营质量继续低于预期，剩余商誉仍可能带来进一步减值压力，并导致归母净利润大幅波动。</w:t>
      </w:r>
    </w:p>
    <w:p>
      <w:pPr>
        <w:pStyle w:val="ListParagraph"/>
        <w:numPr>
          <w:ilvl w:val="0"/>
          <w:numId w:val="2"/>
        </w:numPr>
        <w:spacing w:after="80" w:line="280"/>
      </w:pPr>
      <w:r>
        <w:rPr>
          <w:sz w:val="22"/>
          <w:szCs w:val="22"/>
        </w:rPr>
        <w:t xml:space="preserve">担保与偿债风险：截至2026年9月11日，公司及子公司担保实际总额为39869万元，占最近一期经审计归母净资产的416.22%，虽担保对象均为合并报表范围内公司及子公司，但担保规模相对净资产较高，相关子公司经营或偿债能力变化可能增加或有负债风险。</w:t>
      </w:r>
    </w:p>
    <w:p>
      <w:pPr>
        <w:pStyle w:val="ListParagraph"/>
        <w:numPr>
          <w:ilvl w:val="0"/>
          <w:numId w:val="2"/>
        </w:numPr>
        <w:spacing w:after="80" w:line="280"/>
      </w:pPr>
      <w:r>
        <w:rPr>
          <w:sz w:val="22"/>
          <w:szCs w:val="22"/>
        </w:rPr>
        <w:t xml:space="preserve">营运资金占用风险：截至2025年末应收账款为9610.91万元，占营业收入约10.86%，同比增长14.83%，高于同期收入增速；应收账款涉及医疗及钢结构等不同业务，若医保结算、工程结算或其他客户回款放缓，可能对经营现金流和资金周转造成压力。</w:t>
      </w:r>
    </w:p>
    <w:p>
      <w:pPr>
        <w:pStyle w:val="ListParagraph"/>
        <w:numPr>
          <w:ilvl w:val="0"/>
          <w:numId w:val="2"/>
        </w:numPr>
        <w:spacing w:after="80" w:line="280"/>
      </w:pPr>
      <w:r>
        <w:rPr>
          <w:sz w:val="22"/>
          <w:szCs w:val="22"/>
        </w:rPr>
        <w:t xml:space="preserve">低毛利非核心业务风险：2025年钢结构业务收入约1.01亿元，毛利率仅6.74%，其成本中材料和安装费用占比较高，钢材价格波动、工程结算及项目竞争可能拖累整体盈利；能源板块虽已于2026年剥离，但处置前相关业务对利润仍有影响。</w:t>
      </w:r>
    </w:p>
    <w:p>
      <w:pPr>
        <w:pStyle w:val="ListParagraph"/>
        <w:numPr>
          <w:ilvl w:val="0"/>
          <w:numId w:val="2"/>
        </w:numPr>
        <w:spacing w:after="80" w:line="280"/>
      </w:pPr>
      <w:r>
        <w:rPr>
          <w:sz w:val="22"/>
          <w:szCs w:val="22"/>
        </w:rPr>
        <w:t xml:space="preserve">估值与市场波动风险：公司最近四个季度归母净利润仍为负，PE缺乏正常解释意义，按市场数据计算PB约18至22倍，且暂无可靠公开机构盈利预测和评级；若扣非后盈利改善不及预期，估值缺乏稳定盈利支撑。技术面上股价已低于多条均线并出现放量下跌，若支撑区域失守，短期价格波动可能加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光正眼科的中期增长逻辑在于聚焦眼科医疗主业，并依托现有区域网络提升成熟医院运营效率。屈光、白内障和视光业务具备较高收入或毛利贡献，能源板块剥离以及对成都医院增资有助于减少非核心业务占用、加强医疗服务能力建设。2026年限制性股票激励计划将2026年净利润扭亏为盈、2027年净利润不低于2000万元设为考核目标，但该目标属于公司内部考核目标，并非盈利预测或业绩承诺。</w:t>
      </w:r>
    </w:p>
    <w:p>
      <w:pPr>
        <w:spacing w:after="160" w:line="300"/>
      </w:pPr>
      <w:r>
        <w:rPr>
          <w:sz w:val="22"/>
          <w:szCs w:val="22"/>
        </w:rPr>
        <w:t xml:space="preserve">展望公司能否形成持续盈利，关键在于2026年下半年及以后收入下滑能否止住、扣非后利润能否持续转正，以及高毛利项目占比、成熟医院手术量和单院效率能否改善。公司仍面临医保支付改革、人工晶体集采及耗材价格变化、医生成本、区域竞争和新院培育等压力，且目前暂无可靠的公开机构盈利预测、评级或目标价，因此后续业绩验证的重要性高于单一期间归母净利润增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光正眼科医院集团股份有限公司 2025 年年度报告全文 — https://static.cninfo.com.cn/finalpage/2026-04-24/1225161319.PDF?utm_source=openai</w:t>
      </w:r>
    </w:p>
    <w:p>
      <w:pPr>
        <w:spacing w:after="200"/>
      </w:pPr>
      <w:r>
        <w:rPr>
          <w:i/>
          <w:iCs/>
          <w:color w:val="595959"/>
          <w:sz w:val="18"/>
          <w:szCs w:val="18"/>
        </w:rPr>
        <w:t xml:space="preserve">https://static.cninfo.com.cn/finalpage/2026-04-24/1225161319.PDF — https://static.cninfo.com.cn/finalpage/2026-04-24/1225161319.PDF</w:t>
      </w:r>
    </w:p>
    <w:p>
      <w:pPr>
        <w:spacing w:after="200"/>
      </w:pPr>
      <w:r>
        <w:rPr>
          <w:i/>
          <w:iCs/>
          <w:color w:val="595959"/>
          <w:sz w:val="18"/>
          <w:szCs w:val="18"/>
        </w:rPr>
        <w:t xml:space="preserve">光正眼科(002524)_公司公告_光正眼科：2025年年度报告新浪财经_新浪网 — https://vip.stock.finance.sina.com.cn/corp/view/vCB_AllBulletinDetail.php?id=12164994&amp;stockid=002524&amp;utm_source=openai</w:t>
      </w:r>
    </w:p>
    <w:p>
      <w:pPr>
        <w:spacing w:after="200"/>
      </w:pPr>
      <w:r>
        <w:rPr>
          <w:i/>
          <w:iCs/>
          <w:color w:val="595959"/>
          <w:sz w:val="18"/>
          <w:szCs w:val="18"/>
        </w:rPr>
        <w:t xml:space="preserve">光正眼科医院集团股份有限公司 2024 年年度报告全文 — https://static.cninfo.com.cn/finalpage/2025-04-24/1223248586.PDF?utm_source=openai</w:t>
      </w:r>
    </w:p>
    <w:p>
      <w:pPr>
        <w:spacing w:after="200"/>
      </w:pPr>
      <w:r>
        <w:rPr>
          <w:i/>
          <w:iCs/>
          <w:color w:val="595959"/>
          <w:sz w:val="18"/>
          <w:szCs w:val="18"/>
        </w:rPr>
        <w:t xml:space="preserve">光正眼科(002524)_公司公告_光正眼科：2025年年度报告新浪财经_新浪网 — https://money.finance.sina.com.cn/corp/view/vCB_AllBulletinDetail.php?id=12164994&amp;stockid=002524&amp;utm_source=openai</w:t>
      </w:r>
    </w:p>
    <w:p>
      <w:pPr>
        <w:spacing w:after="200"/>
      </w:pPr>
      <w:r>
        <w:rPr>
          <w:i/>
          <w:iCs/>
          <w:color w:val="595959"/>
          <w:sz w:val="18"/>
          <w:szCs w:val="18"/>
        </w:rPr>
        <w:t xml:space="preserve">光正眼科(002524)_公司公告_光正眼科：2023年年度报告摘要新浪财经_新浪网 — https://money.finance.sina.com.cn/corp/view/vCB_AllBulletinDetail.php?id=10063984&amp;stockid=002524&amp;utm_source=openai</w:t>
      </w:r>
    </w:p>
    <w:p>
      <w:pPr>
        <w:spacing w:after="200"/>
      </w:pPr>
      <w:r>
        <w:rPr>
          <w:i/>
          <w:iCs/>
          <w:color w:val="595959"/>
          <w:sz w:val="18"/>
          <w:szCs w:val="18"/>
        </w:rPr>
        <w:t xml:space="preserve">https://static.cninfo.com.cn/finalpage/2025-04-24/1223248586.PDF — https://static.cninfo.com.cn/finalpage/2025-04-24/1223248586.PDF</w:t>
      </w:r>
    </w:p>
    <w:p>
      <w:pPr>
        <w:spacing w:after="200"/>
      </w:pPr>
      <w:r>
        <w:rPr>
          <w:i/>
          <w:iCs/>
          <w:color w:val="595959"/>
          <w:sz w:val="18"/>
          <w:szCs w:val="18"/>
        </w:rPr>
        <w:t xml:space="preserve">中国眼科医疗服务市场运营现状分析与投资战略评估报告（2023-2030年）_观研报告网 — https://www.chinabaogao.com/baogao/202302/624645.html?utm_source=openai</w:t>
      </w:r>
    </w:p>
    <w:p>
      <w:pPr>
        <w:spacing w:after="200"/>
      </w:pPr>
      <w:r>
        <w:rPr>
          <w:i/>
          <w:iCs/>
          <w:color w:val="595959"/>
          <w:sz w:val="18"/>
          <w:szCs w:val="18"/>
        </w:rPr>
        <w:t xml:space="preserve">眼科专题：营收筑底，盈利分化-摩熵咨询 — https://consult.pharnexcloud.com/report/detail/114018.html?utm_source=openai</w:t>
      </w:r>
    </w:p>
    <w:p>
      <w:pPr>
        <w:spacing w:after="200"/>
      </w:pPr>
      <w:r>
        <w:rPr>
          <w:i/>
          <w:iCs/>
          <w:color w:val="595959"/>
          <w:sz w:val="18"/>
          <w:szCs w:val="18"/>
        </w:rPr>
        <w:t xml:space="preserve">集团简介_爱尔简介_爱尔概况_爱尔眼科 — https://www.aierchina.com/jtjj/?utm_source=openai</w:t>
      </w:r>
    </w:p>
    <w:p>
      <w:pPr>
        <w:spacing w:after="200"/>
      </w:pPr>
      <w:r>
        <w:rPr>
          <w:i/>
          <w:iCs/>
          <w:color w:val="595959"/>
          <w:sz w:val="18"/>
          <w:szCs w:val="18"/>
        </w:rPr>
        <w:t xml:space="preserve">华厦眼科医院集团股份有限公司 2025 年年度报告全文 — https://static.cninfo.com.cn/finalpage/2026-04-28/1225216267.PDF?utm_source=openai</w:t>
      </w:r>
    </w:p>
    <w:p>
      <w:pPr>
        <w:spacing w:after="200"/>
      </w:pPr>
      <w:r>
        <w:rPr>
          <w:i/>
          <w:iCs/>
          <w:color w:val="595959"/>
          <w:sz w:val="18"/>
          <w:szCs w:val="18"/>
        </w:rPr>
        <w:t xml:space="preserve">普瑞眼科(301239)_公司公告_普瑞眼科：2025年年度报告摘要新浪财经_新浪网 — https://money.finance.sina.com.cn/corp/view/vCB_AllBulletinDetail.php?id=12224968&amp;stockid=301239&amp;utm_source=openai</w:t>
      </w:r>
    </w:p>
    <w:p>
      <w:pPr>
        <w:spacing w:after="200"/>
      </w:pPr>
      <w:r>
        <w:rPr>
          <w:i/>
          <w:iCs/>
          <w:color w:val="595959"/>
          <w:sz w:val="18"/>
          <w:szCs w:val="18"/>
        </w:rPr>
        <w:t xml:space="preserve">何氏眼科2025年实现营业收入10.93亿元，盈利能力稳步提升 — https://www.stcn.com/article/detail/3809170.html?utm_source=openai</w:t>
      </w:r>
    </w:p>
    <w:p>
      <w:pPr>
        <w:spacing w:after="200"/>
      </w:pPr>
      <w:r>
        <w:rPr>
          <w:i/>
          <w:iCs/>
          <w:color w:val="595959"/>
          <w:sz w:val="18"/>
          <w:szCs w:val="18"/>
        </w:rPr>
        <w:t xml:space="preserve">Chaoju Eye Care Holdings Limited - Earnings Release 2025 | FinancialFilings — https://financialfilings.com/filings/chaoju-eye-care-holdings-limited/earnings-release/2026/33109008/?utm_source=openai</w:t>
      </w:r>
    </w:p>
    <w:p>
      <w:pPr>
        <w:spacing w:after="200"/>
      </w:pPr>
      <w:r>
        <w:rPr>
          <w:i/>
          <w:iCs/>
          <w:color w:val="595959"/>
          <w:sz w:val="18"/>
          <w:szCs w:val="18"/>
        </w:rPr>
        <w:t xml:space="preserve">光正眼科(002524)_公司公告_光正眼科：2026年半年度报告摘要新浪财经_新浪网 — https://money.finance.sina.com.cn/corp/view/vCB_AllBulletinDetail.php?id=12517599&amp;stockid=002524&amp;utm_source=openai</w:t>
      </w:r>
    </w:p>
    <w:p>
      <w:pPr>
        <w:spacing w:after="200"/>
      </w:pPr>
      <w:r>
        <w:rPr>
          <w:i/>
          <w:iCs/>
          <w:color w:val="595959"/>
          <w:sz w:val="18"/>
          <w:szCs w:val="18"/>
        </w:rPr>
        <w:t xml:space="preserve">光正眼科(002524)_公司公告_光正眼科：2026年半年度报告新浪财经_新浪网 — https://vip.stock.finance.sina.com.cn/corp/view/vCB_AllBulletinDetail.php?id=12517604&amp;stockid=002524&amp;utm_source=openai</w:t>
      </w:r>
    </w:p>
    <w:p>
      <w:pPr>
        <w:spacing w:after="200"/>
      </w:pPr>
      <w:r>
        <w:rPr>
          <w:i/>
          <w:iCs/>
          <w:color w:val="595959"/>
          <w:sz w:val="18"/>
          <w:szCs w:val="18"/>
        </w:rPr>
        <w:t xml:space="preserve">光正眼科(002524)-公司资料 — https://basic.10jqka.com.cn/mobile/002524/companyn.html?utm_source=openai</w:t>
      </w:r>
    </w:p>
    <w:p>
      <w:pPr>
        <w:spacing w:after="200"/>
      </w:pPr>
      <w:r>
        <w:rPr>
          <w:i/>
          <w:iCs/>
          <w:color w:val="595959"/>
          <w:sz w:val="18"/>
          <w:szCs w:val="18"/>
        </w:rPr>
        <w:t xml:space="preserve">光正眼科(002524)_公司公告_光正眼科：2025年度财务决算报告新浪财经_新浪网 — https://money.finance.sina.com.cn/corp/view/vCB_AllBulletinDetail.php?id=12164968&amp;stockid=002524&amp;utm_source=openai</w:t>
      </w:r>
    </w:p>
    <w:p>
      <w:pPr>
        <w:spacing w:after="200"/>
      </w:pPr>
      <w:r>
        <w:rPr>
          <w:i/>
          <w:iCs/>
          <w:color w:val="595959"/>
          <w:sz w:val="18"/>
          <w:szCs w:val="18"/>
        </w:rPr>
        <w:t xml:space="preserve">光正眼科(002524) 盈利预测_F10_同花顺金融服务网 — https://basic.10jqka.com.cn/002524/worth.html?utm_source=openai</w:t>
      </w:r>
    </w:p>
    <w:p>
      <w:pPr>
        <w:spacing w:after="200"/>
      </w:pPr>
      <w:r>
        <w:rPr>
          <w:i/>
          <w:iCs/>
          <w:color w:val="595959"/>
          <w:sz w:val="18"/>
          <w:szCs w:val="18"/>
        </w:rPr>
        <w:t xml:space="preserve">光正眼科(002524)个股分析_牛叉诊股_同花顺财经 — https://doctor.10jqka.com.cn/002524/?utm_source=openai</w:t>
      </w:r>
    </w:p>
    <w:p>
      <w:pPr>
        <w:spacing w:after="200"/>
      </w:pPr>
      <w:r>
        <w:rPr>
          <w:i/>
          <w:iCs/>
          <w:color w:val="595959"/>
          <w:sz w:val="18"/>
          <w:szCs w:val="18"/>
        </w:rPr>
        <w:t xml:space="preserve">光正眼科(002524)股票信息 - 数据平台 — https://data.agoer.com/cms/Index/detail?id=002524&amp;utm_source=openai</w:t>
      </w:r>
    </w:p>
    <w:p>
      <w:pPr>
        <w:spacing w:after="200"/>
      </w:pPr>
      <w:r>
        <w:rPr>
          <w:i/>
          <w:iCs/>
          <w:color w:val="595959"/>
          <w:sz w:val="18"/>
          <w:szCs w:val="18"/>
        </w:rPr>
        <w:t xml:space="preserve">光正眼科(002524)市盈率|估值|基本面 - 理杏仁 — https://www.lixinger.com/equity/company/detail/sz/002524/2524/fundamental/valuation/pe-ttm?utm_source=openai</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光正眼科(002524)_公司公告_光正眼科：关于下属子公司综合授信及担保事项的进展公告新浪财经_新浪网 — https://money.finance.sina.com.cn/corp/view/vCB_AllBulletinDetail.php?id=12595574&amp;stockid=002524&amp;utm_source=openai</w:t>
      </w:r>
    </w:p>
    <w:p>
      <w:pPr>
        <w:spacing w:after="200"/>
      </w:pPr>
      <w:r>
        <w:rPr>
          <w:i/>
          <w:iCs/>
          <w:color w:val="595959"/>
          <w:sz w:val="18"/>
          <w:szCs w:val="18"/>
        </w:rPr>
        <w:t xml:space="preserve">光正眼科(002524)_公司公告_光正眼科：关于董事会秘书取得董事会秘书培训证明的公告新浪财经_新浪网 — https://vip.stock.finance.sina.com.cn/corp/view/vCB_AllBulletinDetail.php?id=12589257&amp;stockid=002524&amp;utm_source=openai</w:t>
      </w:r>
    </w:p>
    <w:p>
      <w:pPr>
        <w:spacing w:after="200"/>
      </w:pPr>
      <w:r>
        <w:rPr>
          <w:i/>
          <w:iCs/>
          <w:color w:val="595959"/>
          <w:sz w:val="18"/>
          <w:szCs w:val="18"/>
        </w:rPr>
        <w:t xml:space="preserve">证券代码：002524              证券简称：光正集团             公告编号：2015-048 — https://static.cninfo.com.cn/finalpage/2026-08-07/1225461081.PDF?utm_source=openai</w:t>
      </w:r>
    </w:p>
    <w:p>
      <w:pPr>
        <w:spacing w:after="200"/>
      </w:pPr>
      <w:r>
        <w:rPr>
          <w:i/>
          <w:iCs/>
          <w:color w:val="595959"/>
          <w:sz w:val="18"/>
          <w:szCs w:val="18"/>
        </w:rPr>
        <w:t xml:space="preserve">光正眼科(002524)_公司公告_光正眼科：关于转让子公司股权进展暨完成工商变更登记的公告新浪财经_新浪网 — https://money.finance.sina.com.cn/corp/view/vCB_AllBulletinDetail.php?id=12365857&amp;stockid=002524&amp;utm_source=openai</w:t>
      </w:r>
    </w:p>
    <w:p>
      <w:pPr>
        <w:spacing w:after="200"/>
      </w:pPr>
      <w:r>
        <w:rPr>
          <w:i/>
          <w:iCs/>
          <w:color w:val="595959"/>
          <w:sz w:val="18"/>
          <w:szCs w:val="18"/>
        </w:rPr>
        <w:t xml:space="preserve">证券代码：002524  证券简称：光正眼科  公告编号：2026-009 — https://static.cninfo.com.cn/finalpage/2026-03-21/1225021664.PDF?utm_source=openai</w:t>
      </w:r>
    </w:p>
    <w:p>
      <w:pPr>
        <w:spacing w:after="200"/>
      </w:pPr>
      <w:r>
        <w:rPr>
          <w:i/>
          <w:iCs/>
          <w:color w:val="595959"/>
          <w:sz w:val="18"/>
          <w:szCs w:val="18"/>
        </w:rPr>
        <w:t xml:space="preserve">光正眼科(002524.SZ) 股票行情_历史数据_主力资金 - 大波浪数据 — https://www.yyqyx.com/s/002524.SZ</w:t>
      </w:r>
    </w:p>
    <w:p>
      <w:pPr>
        <w:spacing w:after="200"/>
      </w:pPr>
      <w:r>
        <w:rPr>
          <w:i/>
          <w:iCs/>
          <w:color w:val="595959"/>
          <w:sz w:val="18"/>
          <w:szCs w:val="18"/>
        </w:rPr>
        <w:t xml:space="preserve">光正眼科(002524.SZ) 股票行情_历史数据_主力资金 - 大波浪数据 — https://www.yyqyx.com/s/002524.SZ?utm_source=openai</w:t>
      </w:r>
    </w:p>
    <w:p>
      <w:pPr>
        <w:spacing w:after="200"/>
      </w:pPr>
      <w:r>
        <w:rPr>
          <w:i/>
          <w:iCs/>
          <w:color w:val="595959"/>
          <w:sz w:val="18"/>
          <w:szCs w:val="18"/>
        </w:rPr>
        <w:t xml:space="preserve">本报告由AI基于公开渠道信息自动检索、整理并生成，信息截至 截至2026年9月11日收盘；技术指标快照截至2026年9月10日，未提供9月11日收盘后重新计算的完整技术指标。，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2026-09-13T11:38:01.954Z</dcterms:created>
  <dcterms:modified xsi:type="dcterms:W3CDTF">2026-09-13T11:38:01.954Z</dcterms:modified>
</cp:coreProperties>
</file>

<file path=docProps/custom.xml><?xml version="1.0" encoding="utf-8"?>
<Properties xmlns="http://schemas.openxmlformats.org/officeDocument/2006/custom-properties" xmlns:vt="http://schemas.openxmlformats.org/officeDocument/2006/docPropsVTypes"/>
</file>