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三七互娱网络科技集团股份有限公司 (002555)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行业：网络游戏研发、发行与运营</w:t>
      </w:r>
    </w:p>
    <w:p>
      <w:pPr>
        <w:jc w:val="center"/>
      </w:pPr>
      <w:r>
        <w:rPr>
          <w:color w:val="595959"/>
          <w:sz w:val="22"/>
          <w:szCs w:val="22"/>
        </w:rPr>
        <w:t xml:space="preserve">报告日期：2026年9月14日</w:t>
      </w:r>
    </w:p>
    <w:p>
      <w:pPr>
        <w:jc w:val="center"/>
      </w:pPr>
      <w:r>
        <w:rPr>
          <w:color w:val="595959"/>
          <w:sz w:val="20"/>
          <w:szCs w:val="20"/>
        </w:rPr>
        <w:t xml:space="preserve">截至2026年9月14日，最近一个已完成交易日为2026年9月11日；价格、成交量、换手率主要采用2026年9月11日收盘数据，部分技术指标存在日期滞后或测算口径差异。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三七互娱2026年上半年实现营业收入72.75亿元，同比下降14.28%；归母净利润17.66亿元，同比增长26.14%，但扣非归母净利润仅10.16亿元，同比下降26.74%，其中投资收益约10.16亿元、同比增长约1541%，因此归母净利润增长不能完全代表游戏主业盈利改善。公司当前经营的核心矛盾是存量产品流水回落与新品导入之间的承接：以《寻道大千》等为代表的存量产品进入生命周期回落阶段，《生存33天》《RO仙境传说：世界之旅》《LastAsylum:Plague》等新品仍处于导入和爬坡期。</w:t>
      </w:r>
    </w:p>
    <w:p>
      <w:pPr>
        <w:spacing w:after="160" w:line="300"/>
      </w:pPr>
      <w:r>
        <w:rPr>
          <w:sz w:val="22"/>
          <w:szCs w:val="22"/>
        </w:rPr>
        <w:t xml:space="preserve">公司主营高度集中于网络游戏，2025年游戏业务收入158.54亿元，占营业收入约99.3%，其中移动游戏收入155.29亿元；境外收入53.81亿元，占2025年营业收入33.70%，2026年上半年境外收入进一步达到30.21亿元、占比41.53%，全球化发行是重要增长方向。公司具备“研发+发行+运营”一体化能力，研发人员1,378人，占员工总数43.91%，并持续推进AI在美术、广告、本地化和代码环节的应用，但目前相关能力更适合作为效率工具，不能直接推导利润必然增长。</w:t>
      </w:r>
    </w:p>
    <w:p>
      <w:pPr>
        <w:spacing w:after="160" w:line="300"/>
      </w:pPr>
      <w:r>
        <w:rPr>
          <w:sz w:val="22"/>
          <w:szCs w:val="22"/>
        </w:rPr>
        <w:t xml:space="preserve">盈利质量方面，2025年公司实现营业收入159.66亿元，同比下降8.46%，归母净利润29.00亿元，同比增长8.50%，扣非归母净利润28.45亿元，同比增长9.81%；毛利率则由2024年的78.63%降至75.86%，主要受第三方代理游戏占比提升及游戏分成成本增加影响。2025年经营活动现金流净额35.38亿元，高于归母净利润，整体现金转化能力较强，但应收账款前五名合计占应收账款和合同资产余额67.88%，渠道与平台议价能力、代理分成和买量效率仍会影响利润率。</w:t>
      </w:r>
    </w:p>
    <w:p>
      <w:pPr>
        <w:spacing w:after="160" w:line="300"/>
      </w:pPr>
      <w:r>
        <w:rPr>
          <w:sz w:val="22"/>
          <w:szCs w:val="22"/>
        </w:rPr>
        <w:t xml:space="preserve">截至2026年9月11日，股价17.69元，处于52周低点17.10元附近，低于MA5、MA10和MA20，且连续三个交易日下跌；当日成交额约6.09亿元，超大单和大单合计净流出约9,831万元，技术面处于中期偏弱、短线接近支撑但尚未确认反转的状态。当前市场对公司后续表现的判断，主要取决于新品能否放量、存量产品下滑能否趋稳，以及海外业务增长能否抵消国内收入压力。</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002555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三七互娱</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安徽省芜湖市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2011年3月2日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年报口径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公司经营、业务结构、研发人员、产品储备、成本构成和产业链数据主要截至2025年12月31日；2025年年度报告于2026年4月16日经董事会批准，并于2026年4月17日披露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网络游戏的研发、发行和运营，覆盖移动游戏、网页游戏，并以全球化发行和长线运营为核心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经营模式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自主运营和第三方联合运营；公司通过自研或代理获得游戏运营权，负责或参与发行推广、客服、充值收款、产品维护、运营数据分析等环节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员工与研发</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截至2025年末员工总数3,138人，其中研发人员1,378人，占员工总数43.91%；研发人员数量同比增长4.55%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研发投入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2025年研发投入6.86亿元，占营业收入4.29%；研发投入资本化金额为0元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网络游戏业务：2025年收入158.54亿元，占营业收入约99.3%</w:t>
      </w:r>
    </w:p>
    <w:p>
      <w:pPr>
        <w:pStyle w:val="ListParagraph"/>
        <w:numPr>
          <w:ilvl w:val="0"/>
          <w:numId w:val="2"/>
        </w:numPr>
        <w:spacing w:after="80" w:line="280"/>
      </w:pPr>
      <w:r>
        <w:rPr>
          <w:sz w:val="22"/>
          <w:szCs w:val="22"/>
        </w:rPr>
        <w:t xml:space="preserve">移动游戏：2025年收入155.29亿元，占网络游戏收入约97.95%，占公司营业收入约97.3%</w:t>
      </w:r>
    </w:p>
    <w:p>
      <w:pPr>
        <w:pStyle w:val="ListParagraph"/>
        <w:numPr>
          <w:ilvl w:val="0"/>
          <w:numId w:val="2"/>
        </w:numPr>
        <w:spacing w:after="80" w:line="280"/>
      </w:pPr>
      <w:r>
        <w:rPr>
          <w:sz w:val="22"/>
          <w:szCs w:val="22"/>
        </w:rPr>
        <w:t xml:space="preserve">网页游戏：2025年收入3.25亿元，占网络游戏收入约2.05%</w:t>
      </w:r>
    </w:p>
    <w:p>
      <w:pPr>
        <w:pStyle w:val="ListParagraph"/>
        <w:numPr>
          <w:ilvl w:val="0"/>
          <w:numId w:val="2"/>
        </w:numPr>
        <w:spacing w:after="80" w:line="280"/>
      </w:pPr>
      <w:r>
        <w:rPr>
          <w:sz w:val="22"/>
          <w:szCs w:val="22"/>
        </w:rPr>
        <w:t xml:space="preserve">境内业务：2025年收入105.85亿元</w:t>
      </w:r>
    </w:p>
    <w:p>
      <w:pPr>
        <w:pStyle w:val="ListParagraph"/>
        <w:numPr>
          <w:ilvl w:val="0"/>
          <w:numId w:val="2"/>
        </w:numPr>
        <w:spacing w:after="80" w:line="280"/>
      </w:pPr>
      <w:r>
        <w:rPr>
          <w:sz w:val="22"/>
          <w:szCs w:val="22"/>
        </w:rPr>
        <w:t xml:space="preserve">境外业务：2025年收入53.81亿元，占营业收入33.70%</w:t>
      </w:r>
    </w:p>
    <w:p>
      <w:pPr>
        <w:pStyle w:val="ListParagraph"/>
        <w:numPr>
          <w:ilvl w:val="0"/>
          <w:numId w:val="2"/>
        </w:numPr>
        <w:spacing w:after="80" w:line="280"/>
      </w:pPr>
      <w:r>
        <w:rPr>
          <w:sz w:val="22"/>
          <w:szCs w:val="22"/>
        </w:rPr>
        <w:t xml:space="preserve">产品品类覆盖SLG、MMORPG、模拟经营、卡牌、RPG、休闲及小游戏等</w:t>
      </w:r>
    </w:p>
    <w:p>
      <w:pPr>
        <w:pStyle w:val="ListParagraph"/>
        <w:numPr>
          <w:ilvl w:val="0"/>
          <w:numId w:val="2"/>
        </w:numPr>
        <w:spacing w:after="80" w:line="280"/>
      </w:pPr>
      <w:r>
        <w:rPr>
          <w:sz w:val="22"/>
          <w:szCs w:val="22"/>
        </w:rPr>
        <w:t xml:space="preserve">主要品牌包括“三七游戏”“37手游”“37GAMES”和“37网游”</w:t>
      </w:r>
    </w:p>
    <w:p>
      <w:pPr>
        <w:pStyle w:val="ListParagraph"/>
        <w:numPr>
          <w:ilvl w:val="0"/>
          <w:numId w:val="2"/>
        </w:numPr>
        <w:spacing w:after="80" w:line="280"/>
      </w:pPr>
      <w:r>
        <w:rPr>
          <w:sz w:val="22"/>
          <w:szCs w:val="22"/>
        </w:rPr>
        <w:t xml:space="preserve">代表性长线运营产品包括《Puzzles &amp; Survival》《斗罗大陆：魂师对决》《叫我大掌柜》《凡人修仙传：人界篇》和《寻道大千》</w:t>
      </w:r>
    </w:p>
    <w:p>
      <w:pPr>
        <w:pStyle w:val="ListParagraph"/>
        <w:numPr>
          <w:ilvl w:val="0"/>
          <w:numId w:val="2"/>
        </w:numPr>
        <w:spacing w:after="80" w:line="280"/>
      </w:pPr>
      <w:r>
        <w:rPr>
          <w:sz w:val="22"/>
          <w:szCs w:val="22"/>
        </w:rPr>
        <w:t xml:space="preserve">2025年表现较突出的新品或新项目包括《时光大爆炸》《英雄没有闪》《斗罗大陆：猎魂世界》和《生存33天》</w:t>
      </w:r>
    </w:p>
    <w:p>
      <w:pPr>
        <w:pStyle w:val="ListParagraph"/>
        <w:numPr>
          <w:ilvl w:val="0"/>
          <w:numId w:val="2"/>
        </w:numPr>
        <w:spacing w:after="80" w:line="280"/>
      </w:pPr>
      <w:r>
        <w:rPr>
          <w:sz w:val="22"/>
          <w:szCs w:val="22"/>
        </w:rPr>
        <w:t xml:space="preserve">在研项目包括“荒漠沙舟”“代号YCSLG”“代号KGSLG”“斗罗大陆：传承”“小头盔大冒险”“代号FMR”和“代号Hope”等；多数项目尚未正式公布名称、上线时间和商业化数据，不能直接等同于确定收入来源</w:t>
      </w:r>
    </w:p>
    <w:p>
      <w:pPr>
        <w:pStyle w:val="ListParagraph"/>
        <w:numPr>
          <w:ilvl w:val="0"/>
          <w:numId w:val="2"/>
        </w:numPr>
        <w:spacing w:after="80" w:line="280"/>
      </w:pPr>
      <w:r>
        <w:rPr>
          <w:sz w:val="22"/>
          <w:szCs w:val="22"/>
        </w:rPr>
        <w:t xml:space="preserve">《Puzzles &amp; Survival》截至2025年末全球累计用户规模超过7,000万、累计流水超过150亿元，以上为公司年报自披露数据，未通过Sensor Tower原始数据库独立核验</w:t>
      </w:r>
    </w:p>
    <w:p>
      <w:pPr>
        <w:pStyle w:val="ListParagraph"/>
        <w:numPr>
          <w:ilvl w:val="0"/>
          <w:numId w:val="2"/>
        </w:numPr>
        <w:spacing w:after="80" w:line="280"/>
      </w:pPr>
      <w:r>
        <w:rPr>
          <w:sz w:val="22"/>
          <w:szCs w:val="22"/>
        </w:rPr>
        <w:t xml:space="preserve">公司不存在制造业或资源型企业的传统固定资产产能、矿产资源储备或生产线产能；游戏企业的内容产能主要体现为研发团队、在研项目、产品矩阵和发行能力</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三七互娱位于游戏产业链中游偏下游，连接上游研发商、IP方、云服务、应用商店及流量平台，并通过自身的发行、买量、运营和数据能力触达终端玩家。公司并非单纯游戏研发商，而是“研发+发行+运营”一体化的综合型游戏企业。</w:t>
      </w:r>
    </w:p>
    <w:p>
      <w:pPr>
        <w:pStyle w:val="ListParagraph"/>
        <w:numPr>
          <w:ilvl w:val="0"/>
          <w:numId w:val="2"/>
        </w:numPr>
        <w:spacing w:after="80" w:line="280"/>
      </w:pPr>
      <w:r>
        <w:rPr>
          <w:sz w:val="22"/>
          <w:szCs w:val="22"/>
        </w:rPr>
        <w:t xml:space="preserve">公司上游投入主要包括应用商店及游戏平台渠道、广告流量和买量平台、支付渠道及游戏平台分成、云服务器和带宽、IP授权、第三方游戏研发商及外包开发团队、内容制作供应商，以及AI模型、算力和相关技术服务。</w:t>
      </w:r>
    </w:p>
    <w:p>
      <w:pPr>
        <w:pStyle w:val="ListParagraph"/>
        <w:numPr>
          <w:ilvl w:val="0"/>
          <w:numId w:val="2"/>
        </w:numPr>
        <w:spacing w:after="80" w:line="280"/>
      </w:pPr>
      <w:r>
        <w:rPr>
          <w:sz w:val="22"/>
          <w:szCs w:val="22"/>
        </w:rPr>
        <w:t xml:space="preserve">2025年营业成本约38.54亿元，其中游戏分成成本33.96亿元，占营业成本约88.10%；服务器成本2.29亿元，占约5.94%；版权金摊销1.31亿元，占约3.40%；其他成本0.99亿元，占约2.56%。</w:t>
      </w:r>
    </w:p>
    <w:p>
      <w:pPr>
        <w:pStyle w:val="ListParagraph"/>
        <w:numPr>
          <w:ilvl w:val="0"/>
          <w:numId w:val="2"/>
        </w:numPr>
        <w:spacing w:after="80" w:line="280"/>
      </w:pPr>
      <w:r>
        <w:rPr>
          <w:sz w:val="22"/>
          <w:szCs w:val="22"/>
        </w:rPr>
        <w:t xml:space="preserve">成本核心是游戏收入与渠道、研发商、平台之间的分成，而非服务器或人工成本。公司对上游流量平台、应用商店和支付渠道的议价能力相对有限，在买量竞争激烈时更接近渠道价格接受者。</w:t>
      </w:r>
    </w:p>
    <w:p>
      <w:pPr>
        <w:pStyle w:val="ListParagraph"/>
        <w:numPr>
          <w:ilvl w:val="0"/>
          <w:numId w:val="2"/>
        </w:numPr>
        <w:spacing w:after="80" w:line="280"/>
      </w:pPr>
      <w:r>
        <w:rPr>
          <w:sz w:val="22"/>
          <w:szCs w:val="22"/>
        </w:rPr>
        <w:t xml:space="preserve">2025年毛利率下降，年报解释主要包括第三方代理游戏收入占比提高，以及部分成熟游戏累计毛利上升后实际分成比例提高，导致游戏分成成本增加。</w:t>
      </w:r>
    </w:p>
    <w:p>
      <w:pPr>
        <w:pStyle w:val="ListParagraph"/>
        <w:numPr>
          <w:ilvl w:val="0"/>
          <w:numId w:val="2"/>
        </w:numPr>
        <w:spacing w:after="80" w:line="280"/>
      </w:pPr>
      <w:r>
        <w:rPr>
          <w:sz w:val="22"/>
          <w:szCs w:val="22"/>
        </w:rPr>
        <w:t xml:space="preserve">公司正在推进AI在研发、发行和运营全流程中的应用。截至2025年年报披露，“小七”已通过生成式人工智能服务备案；“小七智能体平台”接入各类大模型及AI工具超过150个，海外本地化翻译覆盖18个语种，AI辅助生成的2D美术资产占比超过80%，AI深度参与生成的游戏广告视频占比超过70%，AI辅助代码渗透率超过40%。上述能力目前更适合作为效率提升工具，不能直接推导研发成本已大幅下降或未来利润必然增长。</w:t>
      </w:r>
    </w:p>
    <w:p>
      <w:pPr>
        <w:pStyle w:val="ListParagraph"/>
        <w:numPr>
          <w:ilvl w:val="0"/>
          <w:numId w:val="2"/>
        </w:numPr>
        <w:spacing w:after="80" w:line="280"/>
      </w:pPr>
      <w:r>
        <w:rPr>
          <w:sz w:val="22"/>
          <w:szCs w:val="22"/>
        </w:rPr>
        <w:t xml:space="preserve">公司收入最终来源于终端玩家的充值、内购和游戏付费，交易链条通常为“玩家—应用商店/游戏平台—发行商或运营商—研发商/IP方”。</w:t>
      </w:r>
    </w:p>
    <w:p>
      <w:pPr>
        <w:pStyle w:val="ListParagraph"/>
        <w:numPr>
          <w:ilvl w:val="0"/>
          <w:numId w:val="2"/>
        </w:numPr>
        <w:spacing w:after="80" w:line="280"/>
      </w:pPr>
      <w:r>
        <w:rPr>
          <w:sz w:val="22"/>
          <w:szCs w:val="22"/>
        </w:rPr>
        <w:t xml:space="preserve">国内下游渠道主要包括安卓应用商店、苹果App Store、微信小游戏、抖音小游戏及其他流量平台；海外市场主要依赖Google Play、App Store、Facebook、TikTok及当地广告和支付生态。</w:t>
      </w:r>
    </w:p>
    <w:p>
      <w:pPr>
        <w:pStyle w:val="ListParagraph"/>
        <w:numPr>
          <w:ilvl w:val="0"/>
          <w:numId w:val="2"/>
        </w:numPr>
        <w:spacing w:after="80" w:line="280"/>
      </w:pPr>
      <w:r>
        <w:rPr>
          <w:sz w:val="22"/>
          <w:szCs w:val="22"/>
        </w:rPr>
        <w:t xml:space="preserve">公司的终端用户较为分散，并非传统意义上的少数大客户；但从账面结算关系看，公司仍对大型平台、渠道及合作方形成应收账款集中。</w:t>
      </w:r>
    </w:p>
    <w:p>
      <w:pPr>
        <w:pStyle w:val="ListParagraph"/>
        <w:numPr>
          <w:ilvl w:val="0"/>
          <w:numId w:val="2"/>
        </w:numPr>
        <w:spacing w:after="80" w:line="280"/>
      </w:pPr>
      <w:r>
        <w:rPr>
          <w:sz w:val="22"/>
          <w:szCs w:val="22"/>
        </w:rPr>
        <w:t xml:space="preserve">截至2025年12月31日，应收账款前五名合计7.87亿元，占应收账款和合同资产合计余额67.88%。年报未披露前五名应收账款对应客户的具体名称，仅以“第一名”“第二名”等匿名方式列示，无法据此判断具体平台或渠道。</w:t>
      </w:r>
    </w:p>
    <w:p>
      <w:pPr>
        <w:pStyle w:val="ListParagraph"/>
        <w:numPr>
          <w:ilvl w:val="0"/>
          <w:numId w:val="2"/>
        </w:numPr>
        <w:spacing w:after="80" w:line="280"/>
      </w:pPr>
      <w:r>
        <w:rPr>
          <w:sz w:val="22"/>
          <w:szCs w:val="22"/>
        </w:rPr>
        <w:t xml:space="preserve">上述客户集中度数据来自2025年单一年度年报，客户名称及集中度变化尚需结合后续年报持续跟踪，具体以最新年报为准。</w:t>
      </w:r>
    </w:p>
    <w:p>
      <w:pPr>
        <w:pStyle w:val="ListParagraph"/>
        <w:numPr>
          <w:ilvl w:val="0"/>
          <w:numId w:val="2"/>
        </w:numPr>
        <w:spacing w:after="80" w:line="280"/>
      </w:pPr>
      <w:r>
        <w:rPr>
          <w:sz w:val="22"/>
          <w:szCs w:val="22"/>
        </w:rPr>
        <w:t xml:space="preserve">行业结构上，公司在终端用户侧具有一定品牌和产品运营能力，但在渠道、流量和平台分成环节议价能力有限；利润受到渠道分成、买量费用、IP版权金、代理游戏分成及产品生命周期影响。</w:t>
      </w:r>
    </w:p>
    <w:p>
      <w:pPr>
        <w:pStyle w:val="ListParagraph"/>
        <w:numPr>
          <w:ilvl w:val="0"/>
          <w:numId w:val="2"/>
        </w:numPr>
        <w:spacing w:after="80" w:line="280"/>
      </w:pPr>
      <w:r>
        <w:rPr>
          <w:sz w:val="22"/>
          <w:szCs w:val="22"/>
        </w:rPr>
        <w:t xml:space="preserve">截至2025年末，应收账款11.22亿元，占总资产5.03%，应收账款周转天数26.32天，低于2024年的27.78天；预付款项9.34亿元，约占2025年营业收入5.85%。经营活动现金流净额35.38亿元，高于归母净利润29.00亿元，显示整体现金转化能力较强；但预付款项反映流量采购、渠道合作、研发合作或其他业务环节仍存在前置资金占用，具体供应商和业务类别需结合应付预付款附注进一步核查，不能简单全部归因于广告买量。</w:t>
      </w:r>
    </w:p>
    <w:p>
      <w:pPr>
        <w:pStyle w:val="ListParagraph"/>
        <w:numPr>
          <w:ilvl w:val="0"/>
          <w:numId w:val="2"/>
        </w:numPr>
        <w:spacing w:after="80" w:line="280"/>
      </w:pPr>
      <w:r>
        <w:rPr>
          <w:sz w:val="22"/>
          <w:szCs w:val="22"/>
        </w:rPr>
        <w:t xml:space="preserve">截至2025年12月31日，应收账款前五名合计7.87亿元，占应收账款和合同资产合计余额67.88%；年报未披露具体客户名称，该数据来源为单一年度年报、未能通过其他年度或独立来源交叉核实，具体客户结构和集中度变化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84.79%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17.57%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移动游戏及成熟产品贡献较高，整体分成成本相对可控。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81.42%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17.74%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游戏分成、渠道和产品结构变化使毛利率下降；费用控制使净利率基本稳定。</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约79.50%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约16.06%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网络游戏行业毛利率为79.50%，境外业务毛利率约72.41%；海外业务及产品结构变化对利润率形成压力。该毛利率为网络游戏业务口径，与整体毛利率可能存在差异。</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78.63%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约15.33%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收入增长但销售、推广和分成成本仍较高，净利率较2023年回落。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75.86%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18.16%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第三方代理游戏占比提升、分成成本增加导致毛利率继续下降；成熟产品流量投放减少、互联网流量费下降，净利率反而提升。</w:t>
            </w:r>
          </w:p>
        </w:tc>
      </w:tr>
    </w:tbl>
    <w:p>
      <w:pPr>
        <w:spacing w:before="200"/>
      </w:pPr>
    </w:p>
    <w:p>
      <w:pPr>
        <w:spacing w:after="160" w:line="300"/>
      </w:pPr>
      <w:r>
        <w:rPr>
          <w:sz w:val="22"/>
          <w:szCs w:val="22"/>
        </w:rPr>
        <w:t xml:space="preserve">三七互娱处于游戏产业链中游偏下游，属于以移动游戏发行和运营为核心、兼具自研能力和全球化发行能力的综合型游戏企业，既不掌握腾讯式底层平台流量，也不是单纯依赖单一IP的传统研发商。公司当前高毛利主要来自数字内容的较低边际成本，但不等同于完全定价权；进一步改善利润主要依赖新产品成功上线、老产品生命周期延长、海外收入占比提升、买量效率和投放ROI改善、自研产品占比提升、AI效率工具应用，以及产品向高留存、高ARPU和长生命周期品类升级。</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72.75亿元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同比下降14.28%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归属于上市公司股东的净利润17.66亿元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同比增长26.14%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35.54亿元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同比下降16.23%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归属于上市公司股东的净利润8.93亿元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同比增长4.92%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159.66亿元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同比下降8.46%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归属于上市公司股东的净利润29.00亿元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同比增长8.50%</w:t>
            </w:r>
          </w:p>
        </w:tc>
      </w:tr>
    </w:tbl>
    <w:p>
      <w:pPr>
        <w:spacing w:after="200"/>
      </w:pPr>
      <w:r>
        <w:rPr>
          <w:i/>
          <w:iCs/>
          <w:color w:val="595959"/>
          <w:sz w:val="18"/>
          <w:szCs w:val="18"/>
        </w:rPr>
        <w:t xml:space="preserve">2026年上半年扣除非经常性损益后的归母净利润为10.16亿元，同比下降26.74%；基本每股收益为0.80元。2026年第二季度扣非归母净利润为4.06亿元，同比下降52.22%。2025年扣非归母净利润为28.45亿元，同比增长9.81%。</w:t>
      </w:r>
    </w:p>
    <w:p>
      <w:pPr>
        <w:spacing w:after="160" w:line="300"/>
      </w:pPr>
      <w:r>
        <w:rPr>
          <w:sz w:val="22"/>
          <w:szCs w:val="22"/>
        </w:rPr>
        <w:t xml:space="preserve">2026年上半年收入和扣非归母净利润承压，主要由于《寻道大千》等存量产品流水随生命周期自然回落，而《生存33天》《RO仙境传说：世界之旅》《LastAsylum:Plague》等新品仍处于导入和爬坡阶段。归母净利润增长主要受到投资收益增加推动，2026年上半年投资收益约10.16亿元，同比增长约1541%，因此归母净利润增速不能完全代表游戏主业盈利能力改善。同期境外营业收入30.21亿元，同比增长10.90%，占总营业收入的41.53%。</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主要来自同花顺盈利预测页面所摘录的各机构研究报告，并非同花顺自身预测。截至2026年9月11日前后，约23家机构预测2026年业绩，约21至23家机构覆盖2027—2028年。不同机构的预测发布日期和假设存在差异，部分单家机构预测与机构平均值有明显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机构平均预测约169.95亿元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机构平均预测约30.69亿元；不同单家机构预测约28.16亿—36.31亿元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未披露统一的机构平均预测增速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机构平均预测约1.39元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机构汇总预测约185亿—190亿元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机构平均预测约33.77亿元；不同单家机构预测约31.78亿—40.43亿元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未披露统一的机构平均预测增速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机构平均预测约1.53元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机构平均预测约200亿—205亿元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机构平均预测约36.53亿元；不同单家机构预测约34.76亿—41.61亿元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未披露统一的机构平均预测增速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机构平均预测约1.65元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2026—2028年归母净利润预测为36.31亿元、40.43亿元、41.61亿元；目标价22.96元；估值依据为2026年约14倍市盈率。</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2026—2028年EPS预测为1.42元、1.61元、1.77元；目标价28.40元；估值依据为2026年20倍动态市盈率。</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2026—2028年归母净利润预测为28.16亿元、32.13亿元、34.77亿元；目标价下调至22.25元。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预计2026年合理价值为21.62元/股；估值依据为2026年16倍市盈率。</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预计2026—2028年营业收入为177亿元、193亿元、206亿元，归母净利润为32亿元、35亿元、38亿元；目标价25元。报告早于2026年半年报。</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预计2026—2028年归母净利润为30.27亿元、33.69亿元、36.78亿元；营业收入预计约160亿—170亿元。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预计2026—2028年营业收入为160.2亿元、176.5亿元、188.6亿元，归母净利润为28.34亿元、31.78亿元、34.76亿元。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同花顺近6个月统计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截至研究纪要披露时点</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21家机构给予“买入”评级，7家机构给予“增持”评级，没有统计到“中性”“减持”或“卖出”评级。</w:t>
            </w:r>
          </w:p>
        </w:tc>
      </w:tr>
    </w:tbl>
    <w:p>
      <w:pPr>
        <w:spacing w:before="200"/>
      </w:pPr>
    </w:p>
    <w:p>
      <w:pPr>
        <w:spacing w:after="160" w:line="300"/>
      </w:pPr>
      <w:r>
        <w:rPr>
          <w:sz w:val="22"/>
          <w:szCs w:val="22"/>
        </w:rPr>
        <w:t xml:space="preserve">截至2026年9月11日，股价约17.69元，总市值约392亿元；综合多个行情来源，PE（TTM）约12倍，动态PE约11倍—12倍，PB约2.8倍—2.9倍。Yahoo Finance数据显示滚动每股收益约1.48元、滚动市盈率约11.95倍；雪球数据显示动态市盈率约11.12倍、市盈率TTM约12.03倍、静态市盈率约13.55倍、市净率约2.79倍。按机构平均EPS计算，17.69元股价对应2026年、2027年和2028年预测PE分别约12.7倍、11.6倍和10.7倍。相对2026年9月11日收盘价，东吴证券22.25元目标价隐含上涨空间约25.8%，东方证券22.96元约29.8%，华创证券25.00元约41.3%，国泰海通证券28.40元约60.5%。若机构预测兑现，当前估值处于中低水平；但2026年归母净利润受到投资收益增加影响，主营业务扣非利润同比下降，简单依据归母净利润计算的PE可能低估主业波动风险。估值修复关键取决于《LastAsylum:Plague》《RO仙境传说：世界之旅》《ZRoute:Redemption》等新品能否持续放量，以及国内存量产品流水下滑是否趋稳。</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参加2026年安徽辖区上市公司投资者网上集体接待日</w:t>
      </w:r>
    </w:p>
    <w:p>
      <w:pPr>
        <w:spacing w:after="160" w:line="300"/>
      </w:pPr>
      <w:r>
        <w:rPr>
          <w:sz w:val="22"/>
          <w:szCs w:val="22"/>
        </w:rPr>
        <w:t xml:space="preserve">2026年9月9日，公司披露《关于参加2026年安徽辖区上市公司投资者网上集体接待日活动的公告》，将参加由安徽证监局指导、安徽上市公司协会与全景网联合举办的投资者网上集体接待日活动。截至2026年9月14日，暂未见活动形成新增重大经营信息。该事项不涉及业绩预告、重大资产重组、回购新增计划或股东增减持等实质性资本运作。</w:t>
      </w:r>
    </w:p>
    <w:p>
      <w:pPr>
        <w:pStyle w:val="Heading2"/>
        <w:spacing w:after="120" w:before="240"/>
      </w:pPr>
      <w:r>
        <w:rPr>
          <w:b/>
          <w:bCs/>
          <w:color w:val="2E74B5"/>
          <w:sz w:val="24"/>
          <w:szCs w:val="24"/>
        </w:rPr>
        <w:t xml:space="preserve">4.2 2026年第一次临时股东会将审议三项议案</w:t>
      </w:r>
    </w:p>
    <w:p>
      <w:pPr>
        <w:spacing w:after="160" w:line="300"/>
      </w:pPr>
      <w:r>
        <w:rPr>
          <w:sz w:val="22"/>
          <w:szCs w:val="22"/>
        </w:rPr>
        <w:t xml:space="preserve">公司拟于2026年9月15日召开2026年第一次临时股东会，审议《关于调整2026年度为子公司提供担保额度预计的议案》《关于变更回购股份用途为注销并减少公司注册资本的议案》《关于减少公司注册资本并修订〈公司章程〉的议案》。截至2026年9月14日，上述事项尚处于股东会审议前阶段，最终执行结果取决于股东会表决及后续登记注销程序。</w:t>
      </w:r>
    </w:p>
    <w:p>
      <w:pPr>
        <w:pStyle w:val="Heading2"/>
        <w:spacing w:after="120" w:before="240"/>
      </w:pPr>
      <w:r>
        <w:rPr>
          <w:b/>
          <w:bCs/>
          <w:color w:val="2E74B5"/>
          <w:sz w:val="24"/>
          <w:szCs w:val="24"/>
        </w:rPr>
        <w:t xml:space="preserve">4.3 拟注销已回购股份1,253.9547万股</w:t>
      </w:r>
    </w:p>
    <w:p>
      <w:pPr>
        <w:spacing w:after="160" w:line="300"/>
      </w:pPr>
      <w:r>
        <w:rPr>
          <w:sz w:val="22"/>
          <w:szCs w:val="22"/>
        </w:rPr>
        <w:t xml:space="preserve">2026年8月26日，公司披露拟将2022年回购股份方案中原定用于员工持股计划或股权激励计划的12,539,547股股份，变更为用于注销并减少注册资本，拟注销股份约占公司当前总股本的0.57%。注销前公司总股本为2,212,237,681股，若注销完成，预计减少至2,199,698,134股，注册资本由22.1224亿元减少至21.9970亿元。公司表示，本次注销不会改变公司上市地位、导致实际控制权变更或使股权分布不符合上市条件。截至2026年9月14日，尚未检索到股份已经完成注销的公告，该事项仍需临时股东会审议通过后实施。</w:t>
      </w:r>
    </w:p>
    <w:p>
      <w:pPr>
        <w:pStyle w:val="Heading2"/>
        <w:spacing w:after="120" w:before="240"/>
      </w:pPr>
      <w:r>
        <w:rPr>
          <w:b/>
          <w:bCs/>
          <w:color w:val="2E74B5"/>
          <w:sz w:val="24"/>
          <w:szCs w:val="24"/>
        </w:rPr>
        <w:t xml:space="preserve">4.4 2026年半年度现金分红已实施</w:t>
      </w:r>
    </w:p>
    <w:p>
      <w:pPr>
        <w:spacing w:after="160" w:line="300"/>
      </w:pPr>
      <w:r>
        <w:rPr>
          <w:sz w:val="22"/>
          <w:szCs w:val="22"/>
        </w:rPr>
        <w:t xml:space="preserve">公司2026年半年度利润分配方案为：以股权登记日实际发行在外的总股本剔除回购专用证券账户股份后的股份数为基数，每10股派发现金股利1元（含税），不送红股，不以资本公积转增股本。公司2026年半年度归属于上市公司股东的净利润为17.6627亿元，以参与分配股份2,199,698,134股测算，现金分红总额为219,969,813.40元，约2.20亿元。股权登记日为2026年9月2日，除权除息日及现金红利发放日为2026年9月3日。按公司总股本折算，每10股实际对应现金分红约0.994331元，除权除息参考价格按照每股扣减0.0994331元计算。</w:t>
      </w:r>
    </w:p>
    <w:p>
      <w:pPr>
        <w:pStyle w:val="Heading2"/>
        <w:spacing w:after="120" w:before="240"/>
      </w:pPr>
      <w:r>
        <w:rPr>
          <w:b/>
          <w:bCs/>
          <w:color w:val="2E74B5"/>
          <w:sz w:val="24"/>
          <w:szCs w:val="24"/>
        </w:rPr>
        <w:t xml:space="preserve">4.5 年度担保总额度维持87.3亿元</w:t>
      </w:r>
    </w:p>
    <w:p>
      <w:pPr>
        <w:spacing w:after="160" w:line="300"/>
      </w:pPr>
      <w:r>
        <w:rPr>
          <w:sz w:val="22"/>
          <w:szCs w:val="22"/>
        </w:rPr>
        <w:t xml:space="preserve">公司拟对2026年度为子公司提供的担保额度进行结构性调整，拟调增及新增担保额度17亿元，同时调减原有担保额度17亿元，调整前后年度预计担保总额度均不超过87.3亿元人民币或等值外币。调整后，资产负债率超过70%的全资子公司担保额度不超过78亿元，资产负债率低于70%的全资子公司担保额度不超过9.3亿元；公司及控股子公司担保总额占最近一期经审计净资产的64.50%，对资产负债率超过70%的控股子公司担保总额占最近一期经审计净资产的57.63%。该事项尚需2026年9月15日临时股东会审议，被担保主体均为公司全资子公司，公司公告称无需提供反担保。</w:t>
      </w:r>
    </w:p>
    <w:p>
      <w:pPr>
        <w:pStyle w:val="Heading2"/>
        <w:spacing w:after="120" w:before="240"/>
      </w:pPr>
      <w:r>
        <w:rPr>
          <w:b/>
          <w:bCs/>
          <w:color w:val="2E74B5"/>
          <w:sz w:val="24"/>
          <w:szCs w:val="24"/>
        </w:rPr>
        <w:t xml:space="preserve">4.6 主要子公司担保额度调整</w:t>
      </w:r>
    </w:p>
    <w:p>
      <w:pPr>
        <w:spacing w:after="160" w:line="300"/>
      </w:pPr>
      <w:r>
        <w:rPr>
          <w:sz w:val="22"/>
          <w:szCs w:val="22"/>
        </w:rPr>
        <w:t xml:space="preserve">公告披露的主要担保额度变化包括：安徽三七网络由5.5亿元增至6.5亿元，安徽尚趣玩由8亿元增至9亿元，广州盈心由9亿元增至10亿元，Bibitto由13亿元增至17亿元，Building-Blocks新增6亿元；安徽旭宏由5亿元调减至0，广州三七乐想由6亿元调减至3亿元，LuckyKoi Bibitto由6.5亿元调减至0。截至2026年6月30日，公司及子公司实际担保余额合计约24.57亿元，低于年度担保额度上限；但部分被担保主体资产负债率超过90%，个别主体超过100%，担保风险仍需关注。</w:t>
      </w:r>
    </w:p>
    <w:p>
      <w:pPr>
        <w:pStyle w:val="Heading2"/>
        <w:spacing w:after="120" w:before="240"/>
      </w:pPr>
      <w:r>
        <w:rPr>
          <w:b/>
          <w:bCs/>
          <w:color w:val="2E74B5"/>
          <w:sz w:val="24"/>
          <w:szCs w:val="24"/>
        </w:rPr>
        <w:t xml:space="preserve">4.7 股权质押数据未见明显变化</w:t>
      </w:r>
    </w:p>
    <w:p>
      <w:pPr>
        <w:spacing w:after="160" w:line="300"/>
      </w:pPr>
      <w:r>
        <w:rPr>
          <w:sz w:val="22"/>
          <w:szCs w:val="22"/>
        </w:rPr>
        <w:t xml:space="preserve">截至2026年9月11日，第三方数据平台显示，公司质押股份约2,582.17万股，占A股总股本约1.17%，质押笔数为3笔。与2026年9月4日披露的汇总数据相比，质押比例及质押股数未见明显变化。该数据为中登及上市公司披露信息的第三方汇总，不能替代具体质押公告。截至2026年6月30日半年度报告期末，胡宇航持有公司约2.016亿股、持股比例9.11%，其中2,415万股处于质押状态，该数据不代表2026年9月14日的最新持股状态。</w:t>
      </w:r>
    </w:p>
    <w:p>
      <w:pPr>
        <w:pStyle w:val="Heading2"/>
        <w:spacing w:after="120" w:before="240"/>
      </w:pPr>
      <w:r>
        <w:rPr>
          <w:b/>
          <w:bCs/>
          <w:color w:val="2E74B5"/>
          <w:sz w:val="24"/>
          <w:szCs w:val="24"/>
        </w:rPr>
        <w:t xml:space="preserve">4.8 全资子公司拟投资海南聚鸿合晟基金</w:t>
      </w:r>
    </w:p>
    <w:p>
      <w:pPr>
        <w:spacing w:after="160" w:line="300"/>
      </w:pPr>
      <w:r>
        <w:rPr>
          <w:sz w:val="22"/>
          <w:szCs w:val="22"/>
        </w:rPr>
        <w:t xml:space="preserve">2026年7月8日，公司披露全资子公司拟向海南聚鸿合晟投资合伙企业（有限合伙）投资。安徽泰运投资管理有限公司拟以自有资金出资不超过2,000万元，认购该基金份额；基金预计总规模不超过6,201万元，若按6,201万元募集规模及安徽泰运出资2,000万元计算，安徽泰运投资占基金规模约32.2529%。该事项不涉及募集资金，不构成关联交易或重大资产重组，因未达到董事会、股东会审批权限，由董事长审批并授权管理层签署相关文件。截至2026年9月14日，第三方信息显示该投资事项处于“实施中”，尚未检索到投资完成、基金清算或重大后续变更公告。</w:t>
      </w:r>
    </w:p>
    <w:p>
      <w:pPr>
        <w:pStyle w:val="Heading2"/>
        <w:spacing w:after="120" w:before="240"/>
      </w:pPr>
      <w:r>
        <w:rPr>
          <w:b/>
          <w:bCs/>
          <w:color w:val="2E74B5"/>
          <w:sz w:val="24"/>
          <w:szCs w:val="24"/>
        </w:rPr>
        <w:t xml:space="preserve">4.9 未检索到新增业绩预告及重大监管事项</w:t>
      </w:r>
    </w:p>
    <w:p>
      <w:pPr>
        <w:spacing w:after="160" w:line="300"/>
      </w:pPr>
      <w:r>
        <w:rPr>
          <w:sz w:val="22"/>
          <w:szCs w:val="22"/>
        </w:rPr>
        <w:t xml:space="preserve">截至2026年9月14日，未检索到公司2026年9月新披露的业绩预告、业绩预增或业绩预减公告，也未检索到2026年9月新增的重大监管问询函、行政处罚、立案调查或重大风险警示公告。同时，未检索到控股股东、实际控制人或董事高管在9月新增的大额增持或减持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证券简称及交易所</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三七互娱，股票代码002555，深圳证券交易所</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2026年9月11日收盘价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17.69元；另一行情源显示约17.68元，属于四舍五入或行情刷新口径差异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较前一交易日下跌0.49元，跌幅-2.70%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开盘18.05元，最高18.11元，最低17.61元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342,083手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约6.0855亿元，纪要其他部分约记为6.09亿元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短期价格表现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9月8日至9月11日连续三个交易日下跌，期间由18.84元跌至17.69元，累计下跌约6.10%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总市值及流通市值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按收盘价17.69元及公开股本测算，总市值约391.3亿元，流通市值约289.0亿元；证券之星页面数据与收盘价不完全匹配，仅作交叉参考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约13.40倍；为行情平台动态估值口径，非公司公告披露的官方指标</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52周最高31.01元，最低17.10元；最新收盘价距离52周低点约3.45%，较52周高点下跌约42.96%</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约18.39元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收盘价17.69元低于MA5；短期均线呈MA5＜MA10＜MA20的弱势排列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约18.43元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收盘价低于MA10，反映短周期趋势偏弱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约18.55元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收盘价低于MA20；若不能重新站回18.4至18.6元区间，反弹更可能属于技术性修复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其他周期均线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10天平均价18.483元，20天平均价18.623元，50天平均价18.925元，250天平均价21.455元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当前股价低于10日、20日、50日和250日均线，短中期均线系统偏弱，长期价格处于明显回撤状态；与MA测算值存在复权、交易日截取及更新时间差异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公开平台截至2026年9月7日为64.6；基于8月25日至9月11日14个收盘变动的简单未平滑测算约为41.5，当前大致处于40至45附近</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9月7日数据存在时间滞后，不能直接代表9月11日最新状态；按近期价格变动测算，短线动能已由偏强回落至中性偏弱，但尚未达到传统意义上的极端超卖区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公开平台截至2026年9月7日约0.15；未找到能够明确确认2026年9月11日收盘后数值的可靠静态页面</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9月7日仍处于正值或偏强状态；9月8日至11日连续下跌后动能存在转弱风险，是否形成死叉需以后续DIF、DEA及MACD柱体数据确认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20日中轨约18.55元，上轨约19.32元，下轨约17.78元；20日收盘价标准差约0.39元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9月11日收盘价17.69元略低于测算下轨，当日最低17.61元也低于下轨附近水平；价格处于相对弱势或超跌区域，但跌破下轨不等于立即反转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2026年9月11日超大单净流出4517.15万元、大单净流出5313.90万元、中单净流出1558.72万元、小单净流入11389.77万元；超大单与大单合计净流出约9831万元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大单、超大单流出而小单承接，短期资金结构偏弱；该数据为证券之星按成交单大小统计的平台口径，不等同于真实机构账户净买卖，也非交易所官方数据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9月4日至9月11日成交额约3.29亿至9.75亿元，换手率约1.11%至3.19%；近10个交易日平均成交额约6.06亿元，平均成交量约32.7万手</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9月11日成交额较9月10日明显放大且股价继续下跌，呈下跌过程中的放量特征，暂未显示明确的止跌承接信号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股东及机构持仓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截至2026年6月30日，股东总数187,589户；前十大流通股东合计持股约4.46亿股，占流通盘27.31%；机构合计持股约2.48亿股，占流通股约15.17%，其中基金约353家、持股约8.82%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同花顺评价主力控盘度较低；香港中央结算、游戏ETF及公募基金出现在机构持仓中，但前十大股东主要集中度仍来自创始人及核心自然人股东。股东数据较2026年9月11日行情落后约两个半月，期间结构可能已变化</w:t>
            </w:r>
          </w:p>
        </w:tc>
      </w:tr>
    </w:tbl>
    <w:p>
      <w:pPr>
        <w:spacing w:before="200"/>
      </w:pPr>
    </w:p>
    <w:p>
      <w:pPr>
        <w:spacing w:after="160" w:line="300"/>
      </w:pPr>
      <w:r>
        <w:rPr>
          <w:sz w:val="22"/>
          <w:szCs w:val="22"/>
        </w:rPr>
        <w:t xml:space="preserve">截至2026年9月11日，002555处于52周低位附近，收盘价低于MA5、MA10和MA20，短期均线呈弱势排列；收盘价同时略低于20日布林带下轨。9月8日至9月11日股价连续下跌，9月11日成交额较前一日放大，且超大单、大单合计净流出约9831万元，显示短期资金承接偏弱。RSI按近期价格变动测算约处于40至45附近，尚未达到极端超卖；MACD最新可核实公开数值仅截至9月7日，暂不能据此确认9月11日后的最新状态。综合来看，当前更接近中期弱势、短线接近支撑区并存在技术修复可能，但尚未确认止跌或趋势反转。</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风险提示：以下内容仅为基于截至2026年9月11日收盘数据、历史价格和技术指标的主观情景推演，不构成投资建议，也不是确定性价格预测。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18.30~18.60元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对应9月9日至9月11日前期成交密集区及MA5、MA10、MA20附近区域。若反弹无法站稳该区间，可能仍属于弱势反抽；若放量站稳18.60元上方，可进一步观察19.00元附近压力。</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17.60~17.80元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对应9月11日最低价17.61元、收盘价17.69元及测算布林带下轨约17.78元。若该区间承接有效并重新回到17.80元上方，可能出现技术性修复；若失守，则需观察更低支撑。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17.10~17.40元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对应52周低点17.10元附近及其上方缓冲区。若有效跌破17.10元，意味着52周低点支撑失守，短线可能打开进一步下探空间。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六成左右；这是基于当前技术和资金结构的启发式判断，不是统计概率）：价格区间约17.60~18.40元。触发条件包括：17.60~17.80元附近获得承接，成交额维持约4亿~7亿元，主力资金净流出收窄，且传媒、游戏板块没有明显补跌。若成立，价格可能围绕17.80~18.30元反复震荡，18.30~18.60元附近仍可能面临均线压力。</w:t>
      </w:r>
    </w:p>
    <w:p>
      <w:pPr>
        <w:pStyle w:val="ListParagraph"/>
        <w:numPr>
          <w:ilvl w:val="0"/>
          <w:numId w:val="2"/>
        </w:numPr>
        <w:spacing w:after="80" w:line="280"/>
      </w:pPr>
      <w:r>
        <w:rPr>
          <w:sz w:val="22"/>
          <w:szCs w:val="22"/>
        </w:rPr>
        <w:t xml:space="preserve">偏弱下行（主观权重中等；不是统计概率）：价格区间约17.10~17.70元。触发条件包括：收盘价有效跌破17.60元，单日成交额放大但主力资金继续净流出，游戏传媒板块同步走弱或市场风险偏好下降。若17.60元附近支撑失效，下一观察区域为17.10~17.40元；若进一步跌破17.10元，52周低点支撑失守，下行压力可能加大。</w:t>
      </w:r>
    </w:p>
    <w:p>
      <w:pPr>
        <w:pStyle w:val="ListParagraph"/>
        <w:numPr>
          <w:ilvl w:val="0"/>
          <w:numId w:val="2"/>
        </w:numPr>
        <w:spacing w:after="80" w:line="280"/>
      </w:pPr>
      <w:r>
        <w:rPr>
          <w:sz w:val="22"/>
          <w:szCs w:val="22"/>
        </w:rPr>
        <w:t xml:space="preserve">反弹走强（主观权重偏低，除非出现量价配合或明显催化；不是统计概率）：价格区间约18.40~19.20元。触发条件包括：重新站回18.30~18.60元，单日成交额持续放大至约8亿元以上，主力资金由净流出转为连续净流入，传媒、游戏板块同步走强，并进一步突破19.00元附近短线压力。若仅触及18.30~18.60元但成交额不足、资金仍净流出，则更可能是弱势反抽而非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换手率约1.1%~3.2%，近10个交易日平均成交额约6.06亿元。9月11日成交额约6.09亿元、换手率2.09%，较9月10日明显放大，但超大单和大单合计净流出约9831万元。该股当前流动性尚可，但大资金承接力度不足；若下跌时成交额持续放大且主力资金继续流出，可能反映抛压释放而非主动吸筹。截至2026年6月30日，前十大流通股东持股约27.31%，同花顺评价主力控盘度较低；股东人数较2026年3月31日增加12.46%，筹码存在一定分散迹象。公募基金和游戏ETF出现在机构持仓中，但机构合计持股约占流通股15.17%。上述股东结构数据存在约两个半月滞后，可能已发生变化，不能直接等同于2026年9月11日的实时持仓。</w:t>
      </w:r>
    </w:p>
    <w:p>
      <w:pPr>
        <w:spacing w:after="160" w:line="300"/>
      </w:pPr>
      <w:r>
        <w:rPr>
          <w:sz w:val="22"/>
          <w:szCs w:val="22"/>
        </w:rPr>
        <w:t xml:space="preserve">若股价重新站上18.60元，同时单日成交额连续放大至约8亿元以上，并伴随主力资金转为净流入，可视为短线资金面改善的可检查信号；该阈值根据纪要所示近期成交额约3.29亿~9.75亿元的自身区间设定。</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观察17.60~17.80元区域能否出现止跌和缩量企稳；该项为观察思路，非操作指令。</w:t>
      </w:r>
    </w:p>
    <w:p>
      <w:pPr>
        <w:pStyle w:val="ListParagraph"/>
        <w:numPr>
          <w:ilvl w:val="0"/>
          <w:numId w:val="2"/>
        </w:numPr>
        <w:spacing w:after="80" w:line="280"/>
      </w:pPr>
      <w:r>
        <w:rPr>
          <w:sz w:val="22"/>
          <w:szCs w:val="22"/>
        </w:rPr>
        <w:t xml:space="preserve">观察17.10元附近的52周低点是否被有效跌破；该项为观察思路，非操作指令。</w:t>
      </w:r>
    </w:p>
    <w:p>
      <w:pPr>
        <w:pStyle w:val="ListParagraph"/>
        <w:numPr>
          <w:ilvl w:val="0"/>
          <w:numId w:val="2"/>
        </w:numPr>
        <w:spacing w:after="80" w:line="280"/>
      </w:pPr>
      <w:r>
        <w:rPr>
          <w:sz w:val="22"/>
          <w:szCs w:val="22"/>
        </w:rPr>
        <w:t xml:space="preserve">观察18.30~18.60元均线压力区能否放量收复；该项为观察思路，非操作指令。</w:t>
      </w:r>
    </w:p>
    <w:p>
      <w:pPr>
        <w:pStyle w:val="ListParagraph"/>
        <w:numPr>
          <w:ilvl w:val="0"/>
          <w:numId w:val="2"/>
        </w:numPr>
        <w:spacing w:after="80" w:line="280"/>
      </w:pPr>
      <w:r>
        <w:rPr>
          <w:sz w:val="22"/>
          <w:szCs w:val="22"/>
        </w:rPr>
        <w:t xml:space="preserve">观察单日成交额达到约8亿元以上时，主力资金是否同步转为净流入；该项为观察思路，非操作指令。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截至2025年，中国游戏行业总体呈现头部集中、细分赛道竞争和全球化扩张特征。2025年中国国内游戏市场实际销售收入为3,507.89亿元，同比增长7.68%；用户规模为6.83亿，同比增长1.35%；小程序游戏市场收入为535.35亿元，同比增长34.39%；中国自主研发游戏海外市场实际销售收入为204.55亿美元，同比增长10.23%。海外市场中，策略类游戏包括SLG，仍是中国自研手游出海收入占比最高的品类，美国、日本和韩国是主要市场。</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第一层为腾讯、网易，具备较强的自研能力、平台流量、IP资源和全球发行能力。</w:t>
      </w:r>
    </w:p>
    <w:p>
      <w:pPr>
        <w:pStyle w:val="ListParagraph"/>
        <w:numPr>
          <w:ilvl w:val="0"/>
          <w:numId w:val="2"/>
        </w:numPr>
        <w:spacing w:after="80" w:line="280"/>
      </w:pPr>
      <w:r>
        <w:rPr>
          <w:sz w:val="22"/>
          <w:szCs w:val="22"/>
        </w:rPr>
        <w:t xml:space="preserve">第二层包括三七互娱、世纪华通、米哈游等，在特定品类、全球发行或原创产品上具有较强竞争力。</w:t>
      </w:r>
    </w:p>
    <w:p>
      <w:pPr>
        <w:pStyle w:val="ListParagraph"/>
        <w:numPr>
          <w:ilvl w:val="0"/>
          <w:numId w:val="2"/>
        </w:numPr>
        <w:spacing w:after="80" w:line="280"/>
      </w:pPr>
      <w:r>
        <w:rPr>
          <w:sz w:val="22"/>
          <w:szCs w:val="22"/>
        </w:rPr>
        <w:t xml:space="preserve">第三层包括完美世界、恺英网络、吉比特、神州泰岳、昆仑万维等，在MMORPG、传奇类、休闲游戏、SLG或出海业务中形成细分优势。</w:t>
      </w:r>
    </w:p>
    <w:p>
      <w:pPr>
        <w:pStyle w:val="ListParagraph"/>
        <w:numPr>
          <w:ilvl w:val="0"/>
          <w:numId w:val="2"/>
        </w:numPr>
        <w:spacing w:after="80" w:line="280"/>
      </w:pPr>
      <w:r>
        <w:rPr>
          <w:sz w:val="22"/>
          <w:szCs w:val="22"/>
        </w:rPr>
        <w:t xml:space="preserve">长尾层包括中小型研发商、独立工作室及小游戏公司，通常依赖单款爆款产品或细分品类生存。</w:t>
      </w:r>
    </w:p>
    <w:p>
      <w:pPr>
        <w:pStyle w:val="ListParagraph"/>
        <w:numPr>
          <w:ilvl w:val="0"/>
          <w:numId w:val="2"/>
        </w:numPr>
        <w:spacing w:after="80" w:line="280"/>
      </w:pPr>
      <w:r>
        <w:rPr>
          <w:sz w:val="22"/>
          <w:szCs w:val="22"/>
        </w:rPr>
        <w:t xml:space="preserve">行业公开市场份额数据因统计口径不同而存在差异，本次研究未采用单一咨询机构给出的精确市场份额作为三七互娱的确定份额结论。</w:t>
      </w:r>
    </w:p>
    <w:p>
      <w:pPr>
        <w:pStyle w:val="ListParagraph"/>
        <w:numPr>
          <w:ilvl w:val="0"/>
          <w:numId w:val="2"/>
        </w:numPr>
        <w:spacing w:after="80" w:line="280"/>
      </w:pPr>
      <w:r>
        <w:rPr>
          <w:sz w:val="22"/>
          <w:szCs w:val="22"/>
        </w:rPr>
        <w:t xml:space="preserve">行业主要竞争与盈利风险包括流量平台和应用商店分成压力、买量成本上升、代理游戏分成成本增加、单款爆款产品不确定性、海外监管及汇率风险、研发项目延期或上线表现不及预期，以及存量竞争下用户获取和留存难度提高。</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腾讯控股</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综合型互联网平台及全球游戏龙头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拥有微信、QQ等流量入口、国内外自研能力以及较强IP和资本运作能力。2025年本土市场游戏收入约1,642亿元，国际市场游戏收入约774亿元。相较三七互娱，腾讯具备平台、社交和流量入口优势，竞争层级明显更高；三七互娱则更聚焦中重度手游发行效率、买量运营及部分海外细分品类。</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网易</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以自研精品游戏和长线IP运营为主的综合游戏厂商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优势在于自研能力、原创IP、MMORPG、竞技及大型精品游戏；相较网易的高投入、长周期、自研精品化路线，三七互娱更偏重多品类产品矩阵、发行效率、用户增长和全球化运营。</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世纪华通（002602）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A股综合型游戏公司，拥有点点互动、盛趣游戏等游戏子公司，并涉及人工智能云数据和汽车零部件业务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优势包括海外SLG和休闲游戏发行、经典IP及多地区运营。2025年公司披露发行版图覆盖200多个国家和地区，并拥有《Whiteout Survival》《Kingshot》等全球化产品。相较之下，三七互娱优势更多体现在国内外多品类发行、模拟经营、RPG和SLG组合。</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完美世界（002624）</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以MMORPG、自研IP、电竞和影视业务为主的数字文化企业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势包括MMORPG研发、端游和多端产品、电竞赛事及长期运营IP。2025年公司游戏业务收入约57.11亿元，显著低于三七互娱，但在大型MMORPG、电竞生态和端游领域具有差异化优势；三七互娱更偏重移动游戏、买量发行、模拟经营、SLG及海外市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恺英网络（002517）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以传奇类、MMORPG和IP运营为主的A股游戏公司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优势包括传奇类IP、成熟用户群、长线运营及游戏产品商业化。相较恺英网络在传奇、怀旧和经典IP运营方面的集中布局，三七互娱产品品类更分散，海外发行和全球化运营能力更突出。</w:t>
            </w:r>
          </w:p>
        </w:tc>
      </w:tr>
    </w:tbl>
    <w:p>
      <w:pPr>
        <w:spacing w:before="200"/>
      </w:pPr>
    </w:p>
    <w:p>
      <w:pPr>
        <w:spacing w:after="160" w:line="300"/>
      </w:pPr>
      <w:r>
        <w:rPr>
          <w:sz w:val="22"/>
          <w:szCs w:val="22"/>
        </w:rPr>
        <w:t xml:space="preserve">三七互娱与腾讯、网易相比缺少超级平台流量入口和大型精品自研优势，但在移动游戏发行、买量运营、多品类产品矩阵及全球化运营方面形成差异化竞争力；与世纪华通相比，三七互娱的业务覆盖国内外多品类发行，世纪华通近年来在海外SLG和休闲游戏方面增长较快；与完美世界相比，三七互娱更偏移动游戏、买量发行和海外市场，完美世界更偏大型MMORPG、端游、电竞及IP运营；与恺英网络相比，三七互娱品类更分散、海外发行能力更突出，而恺英网络在传奇类和经典IP运营方面更集中。</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业收入和扣非利润下滑风险：2026年上半年营业收入同比下降14.28%，扣非归母净利润同比下降26.74%；《寻道大千》等存量产品流水回落，而新品仍处于导入期，若新品无法及时接替，收入和主业利润压力可能延续。</w:t>
      </w:r>
    </w:p>
    <w:p>
      <w:pPr>
        <w:pStyle w:val="ListParagraph"/>
        <w:numPr>
          <w:ilvl w:val="0"/>
          <w:numId w:val="2"/>
        </w:numPr>
        <w:spacing w:after="80" w:line="280"/>
      </w:pPr>
      <w:r>
        <w:rPr>
          <w:sz w:val="22"/>
          <w:szCs w:val="22"/>
        </w:rPr>
        <w:t xml:space="preserve">新品商业化不及预期风险：公司在研及近期新品包括《生存33天》《RO仙境传说：世界之旅》《LastAsylum:Plague》等，但部分项目仍处于爬坡阶段，其他在研项目尚未披露明确上线时间和商业化数据，存在延期、表现不及预期或无法形成规模收入的可能。</w:t>
      </w:r>
    </w:p>
    <w:p>
      <w:pPr>
        <w:pStyle w:val="ListParagraph"/>
        <w:numPr>
          <w:ilvl w:val="0"/>
          <w:numId w:val="2"/>
        </w:numPr>
        <w:spacing w:after="80" w:line="280"/>
      </w:pPr>
      <w:r>
        <w:rPr>
          <w:sz w:val="22"/>
          <w:szCs w:val="22"/>
        </w:rPr>
        <w:t xml:space="preserve">渠道分成和毛利率下行风险：2025年游戏分成成本33.96亿元，占营业成本约88.10%，毛利率由2024年的78.63%降至75.86%；第三方代理游戏占比提高、成熟产品实际分成比例上升，若代理和渠道业务占比继续提升，利润率可能承压。</w:t>
      </w:r>
    </w:p>
    <w:p>
      <w:pPr>
        <w:pStyle w:val="ListParagraph"/>
        <w:numPr>
          <w:ilvl w:val="0"/>
          <w:numId w:val="2"/>
        </w:numPr>
        <w:spacing w:after="80" w:line="280"/>
      </w:pPr>
      <w:r>
        <w:rPr>
          <w:sz w:val="22"/>
          <w:szCs w:val="22"/>
        </w:rPr>
        <w:t xml:space="preserve">买量效率和流量成本风险：公司收入依赖应用商店、广告平台及国内外流量渠道，且预付款项9.34亿元、约占2025年营业收入5.85%；若用户获取成本上升、投放ROI下降或渠道议价能力减弱，可能压缩游戏产品利润。</w:t>
      </w:r>
    </w:p>
    <w:p>
      <w:pPr>
        <w:pStyle w:val="ListParagraph"/>
        <w:numPr>
          <w:ilvl w:val="0"/>
          <w:numId w:val="2"/>
        </w:numPr>
        <w:spacing w:after="80" w:line="280"/>
      </w:pPr>
      <w:r>
        <w:rPr>
          <w:sz w:val="22"/>
          <w:szCs w:val="22"/>
        </w:rPr>
        <w:t xml:space="preserve">海外业务经营风险：2026年上半年境外收入占比已达41.53%，公司主要依赖Google Play、App Store、Facebook、TikTok及当地广告和支付生态；海外监管、平台政策、汇率及本地化运营变化，可能影响产品上线、用户付费和收入确认。</w:t>
      </w:r>
    </w:p>
    <w:p>
      <w:pPr>
        <w:pStyle w:val="ListParagraph"/>
        <w:numPr>
          <w:ilvl w:val="0"/>
          <w:numId w:val="2"/>
        </w:numPr>
        <w:spacing w:after="80" w:line="280"/>
      </w:pPr>
      <w:r>
        <w:rPr>
          <w:sz w:val="22"/>
          <w:szCs w:val="22"/>
        </w:rPr>
        <w:t xml:space="preserve">投资收益波动导致利润质量风险：2026年上半年投资收益约10.16亿元，同比增长约1541%，对归母净利润增长贡献显著，而扣非利润同比下降；若后续投资收益回落，归母净利润表现可能明显弱于表面增速。</w:t>
      </w:r>
    </w:p>
    <w:p>
      <w:pPr>
        <w:pStyle w:val="ListParagraph"/>
        <w:numPr>
          <w:ilvl w:val="0"/>
          <w:numId w:val="2"/>
        </w:numPr>
        <w:spacing w:after="80" w:line="280"/>
      </w:pPr>
      <w:r>
        <w:rPr>
          <w:sz w:val="22"/>
          <w:szCs w:val="22"/>
        </w:rPr>
        <w:t xml:space="preserve">子公司担保风险：公司拟维持2026年度担保总额度不超过87.3亿元，实际担保余额约24.57亿元；部分被担保主体资产负债率超过90%，个别主体超过100%，若相关子公司经营或偿债能力恶化，可能形成担保代偿或资产负担。</w:t>
      </w:r>
    </w:p>
    <w:p>
      <w:pPr>
        <w:pStyle w:val="ListParagraph"/>
        <w:numPr>
          <w:ilvl w:val="0"/>
          <w:numId w:val="2"/>
        </w:numPr>
        <w:spacing w:after="80" w:line="280"/>
      </w:pPr>
      <w:r>
        <w:rPr>
          <w:sz w:val="22"/>
          <w:szCs w:val="22"/>
        </w:rPr>
        <w:t xml:space="preserve">应收账款集中风险：截至2025年末，应收账款前五名合计7.87亿元，占应收账款和合同资产余额67.88%，且年报未披露具体客户名称；若主要平台或合作方回款延迟，可能造成应收账款回收和信用风险。</w:t>
      </w:r>
    </w:p>
    <w:p>
      <w:pPr>
        <w:pStyle w:val="ListParagraph"/>
        <w:numPr>
          <w:ilvl w:val="0"/>
          <w:numId w:val="2"/>
        </w:numPr>
        <w:spacing w:after="80" w:line="280"/>
      </w:pPr>
      <w:r>
        <w:rPr>
          <w:sz w:val="22"/>
          <w:szCs w:val="22"/>
        </w:rPr>
        <w:t xml:space="preserve">技术面继续走弱风险：截至2026年9月11日股价低于多周期均线，且当日超大单和大单合计净流出约9831万元；若17.60—17.80元支撑区失守并进一步跌破52周低点17.10元，短期市场压力可能加大。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三七互娱的中长期增长逻辑仍在于全球化发行、多品类产品矩阵、长线运营能力和持续扩充的新品储备。2026年上半年境外收入占比提升，反映海外业务仍具一定韧性；公司在SLG、模拟经营、RPG及其他移动游戏品类中具备发行和运营积累，AI工具也有望辅助提升内容生产、本地化和投放效率。不过，在研项目多数尚未公布明确上线时间和商业化数据，不能直接视为确定收入来源，未来增长仍依赖具体产品的上线表现和生命周期。</w:t>
      </w:r>
    </w:p>
    <w:p>
      <w:pPr>
        <w:spacing w:after="160" w:line="300"/>
      </w:pPr>
      <w:r>
        <w:rPr>
          <w:sz w:val="22"/>
          <w:szCs w:val="22"/>
        </w:rPr>
        <w:t xml:space="preserve">机构预测2026—2028年营业收入约169.95亿元、185亿—190亿元和200亿—205亿元，归母净利润平均预测约30.69亿元、33.77亿元和36.53亿元，体现市场对新品周期和海外业务的修复预期。但2026年上半年扣非利润下降、归母利润受投资收益显著拉动，说明预测兑现需要主业盈利改善配合；若新品放量不及预期或存量产品下滑延续，当前基于归母利润计算的估值可能低估主业波动。</w:t>
      </w:r>
    </w:p>
    <w:p>
      <w:pPr>
        <w:spacing w:after="160" w:line="300"/>
      </w:pPr>
      <w:r>
        <w:rPr>
          <w:sz w:val="22"/>
          <w:szCs w:val="22"/>
        </w:rPr>
        <w:t xml:space="preserve">后续应重点跟踪新品流水与留存、国内存量产品下滑幅度、境外收入及利润贡献、代理游戏和渠道分成成本、买量投入回报率，以及担保额度调整和回购股份注销等事项的最终执行情况。技术层面上，17.60—17.80元区域能否承接、18.30—18.60元均线压力区能否有效收复，可作为观察短期趋势变化的参考，但不应替代对经营数据和现金流质量的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https://disc.static.szse.cn/disc/disk03/finalpage/2026-04-17/4e62244e-21da-48c9-ae81-c7222b81a25e.PDF — https://disc.static.szse.cn/disc/disk03/finalpage/2026-04-17/4e62244e-21da-48c9-ae81-c7222b81a25e.PDF</w:t>
      </w:r>
    </w:p>
    <w:p>
      <w:pPr>
        <w:spacing w:after="200"/>
      </w:pPr>
      <w:r>
        <w:rPr>
          <w:i/>
          <w:iCs/>
          <w:color w:val="595959"/>
          <w:sz w:val="18"/>
          <w:szCs w:val="18"/>
        </w:rPr>
        <w:t xml:space="preserve">三七互娱(002555)_公司公告_三七互娱：2025年年度报告新浪财经_新浪网 — https://money.finance.sina.com.cn/corp/view/vCB_AllBulletinDetail.php?id=12099018&amp;stockid=002555</w:t>
      </w:r>
    </w:p>
    <w:p>
      <w:pPr>
        <w:spacing w:after="200"/>
      </w:pPr>
      <w:r>
        <w:rPr>
          <w:i/>
          <w:iCs/>
          <w:color w:val="595959"/>
          <w:sz w:val="18"/>
          <w:szCs w:val="18"/>
        </w:rPr>
        <w:t xml:space="preserve">公司公告_三七互娱：2025年度财务决算报告新浪财经_新浪网 — https://vip.stock.finance.sina.com.cn/corp/view/vCB_AllBulletinDetail.php?id=12099039&amp;utm_source=openai</w:t>
      </w:r>
    </w:p>
    <w:p>
      <w:pPr>
        <w:spacing w:after="200"/>
      </w:pPr>
      <w:r>
        <w:rPr>
          <w:i/>
          <w:iCs/>
          <w:color w:val="595959"/>
          <w:sz w:val="18"/>
          <w:szCs w:val="18"/>
        </w:rPr>
        <w:t xml:space="preserve">Tencent — https://static.www.tencent.com/uploads/2026/03/18/559e5d480a4411165e6c7367d61fefbd.pdf?utm_source=openai</w:t>
      </w:r>
    </w:p>
    <w:p>
      <w:pPr>
        <w:spacing w:after="200"/>
      </w:pPr>
      <w:r>
        <w:rPr>
          <w:i/>
          <w:iCs/>
          <w:color w:val="595959"/>
          <w:sz w:val="18"/>
          <w:szCs w:val="18"/>
        </w:rPr>
        <w:t xml:space="preserve">世纪华通-浙江世纪华通集团股份有限公司 — https://www.sjhuatong.com/?utm_source=openai</w:t>
      </w:r>
    </w:p>
    <w:p>
      <w:pPr>
        <w:spacing w:after="200"/>
      </w:pPr>
      <w:r>
        <w:rPr>
          <w:i/>
          <w:iCs/>
          <w:color w:val="595959"/>
          <w:sz w:val="18"/>
          <w:szCs w:val="18"/>
        </w:rPr>
        <w:t xml:space="preserve">完美世界股份有限公司 2025 年年度报告全文 — https://disc.static.szse.cn/disc/disk03/finalpage/2026-04-28/53d2a266-422e-457d-bbc8-b1ca2b2462f8.PDF?utm_source=openai</w:t>
      </w:r>
    </w:p>
    <w:p>
      <w:pPr>
        <w:spacing w:after="200"/>
      </w:pPr>
      <w:r>
        <w:rPr>
          <w:i/>
          <w:iCs/>
          <w:color w:val="595959"/>
          <w:sz w:val="18"/>
          <w:szCs w:val="18"/>
        </w:rPr>
        <w:t xml:space="preserve">三七互娱(002555)_公司公告_三七互娱：2026年半年度报告新浪财经_新浪网 — https://money.finance.sina.com.cn/corp/view/vCB_AllBulletinDetail.php?id=12534508&amp;stockid=002555&amp;utm_source=openai</w:t>
      </w:r>
    </w:p>
    <w:p>
      <w:pPr>
        <w:spacing w:after="200"/>
      </w:pPr>
      <w:r>
        <w:rPr>
          <w:i/>
          <w:iCs/>
          <w:color w:val="595959"/>
          <w:sz w:val="18"/>
          <w:szCs w:val="18"/>
        </w:rPr>
        <w:t xml:space="preserve">图解三七互娱中报：第二季度单季净利润同比增长4.92%_股票频道_证券之星 — https://stock.stockstar.com/RB2026082600004418.shtml?utm_source=openai</w:t>
      </w:r>
    </w:p>
    <w:p>
      <w:pPr>
        <w:spacing w:after="200"/>
      </w:pPr>
      <w:r>
        <w:rPr>
          <w:i/>
          <w:iCs/>
          <w:color w:val="595959"/>
          <w:sz w:val="18"/>
          <w:szCs w:val="18"/>
        </w:rPr>
        <w:t xml:space="preserve">三七互娱(002555) 盈利预测_F10_同花顺金融服务网 — https://basic.10jqka.com.cn/002555/worth.html</w:t>
      </w:r>
    </w:p>
    <w:p>
      <w:pPr>
        <w:spacing w:after="200"/>
      </w:pPr>
      <w:r>
        <w:rPr>
          <w:i/>
          <w:iCs/>
          <w:color w:val="595959"/>
          <w:sz w:val="18"/>
          <w:szCs w:val="18"/>
        </w:rPr>
        <w:t xml:space="preserve">三七互娱(002555)_公司公告_三七互娱：2025年度财务决算报告新浪财经_新浪网 — https://money.finance.sina.com.cn/corp/view/vCB_AllBulletinDetail.php?id=12099039&amp;stockid=002555&amp;utm_source=openai</w:t>
      </w:r>
    </w:p>
    <w:p>
      <w:pPr>
        <w:spacing w:after="200"/>
      </w:pPr>
      <w:r>
        <w:rPr>
          <w:i/>
          <w:iCs/>
          <w:color w:val="595959"/>
          <w:sz w:val="18"/>
          <w:szCs w:val="18"/>
        </w:rPr>
        <w:t xml:space="preserve">三七互娱(002555) 盈利预测_F10_同花顺金融服务网 — https://basic.10jqka.com.cn/002555/worth.html?utm_source=openai</w:t>
      </w:r>
    </w:p>
    <w:p>
      <w:pPr>
        <w:spacing w:after="200"/>
      </w:pPr>
      <w:r>
        <w:rPr>
          <w:i/>
          <w:iCs/>
          <w:color w:val="595959"/>
          <w:sz w:val="18"/>
          <w:szCs w:val="18"/>
        </w:rPr>
        <w:t xml:space="preserve">2026年半年报点评：26H1归母净利同比+26%，海外营收占比超四成，AI+全球化驱动成长 - 国泰海通证券 ｜ 发现报告 — https://www.fxbaogao.com/detail/5644743?utm_source=openai</w:t>
      </w:r>
    </w:p>
    <w:p>
      <w:pPr>
        <w:spacing w:after="200"/>
      </w:pPr>
      <w:r>
        <w:rPr>
          <w:i/>
          <w:iCs/>
          <w:color w:val="595959"/>
          <w:sz w:val="18"/>
          <w:szCs w:val="18"/>
        </w:rPr>
        <w:t xml:space="preserve">盈利预测 — https://webf10.gw.com.cn/SZ/B16/SZ002555_B16.html?utm_source=openai</w:t>
      </w:r>
    </w:p>
    <w:p>
      <w:pPr>
        <w:spacing w:after="200"/>
      </w:pPr>
      <w:r>
        <w:rPr>
          <w:i/>
          <w:iCs/>
          <w:color w:val="595959"/>
          <w:sz w:val="18"/>
          <w:szCs w:val="18"/>
        </w:rPr>
        <w:t xml:space="preserve">三七互娱(002555)：收入短期承压 新品丰富拐点可期__新浪财经_新浪网 — https://stock.finance.sina.com.cn/stock/go.php/vReport_Show/kind/search/rptid/841225045912/index.phtml?utm_source=openai</w:t>
      </w:r>
    </w:p>
    <w:p>
      <w:pPr>
        <w:spacing w:after="200"/>
      </w:pPr>
      <w:r>
        <w:rPr>
          <w:i/>
          <w:iCs/>
          <w:color w:val="595959"/>
          <w:sz w:val="18"/>
          <w:szCs w:val="18"/>
        </w:rPr>
        <w:t xml:space="preserve">机构评级|华泰证券给予三七互娱“买入”评级 — https://stock.10jqka.com.cn/20260511/c676595455.shtml?utm_source=openai</w:t>
      </w:r>
    </w:p>
    <w:p>
      <w:pPr>
        <w:spacing w:after="200"/>
      </w:pPr>
      <w:r>
        <w:rPr>
          <w:i/>
          <w:iCs/>
          <w:color w:val="595959"/>
          <w:sz w:val="18"/>
          <w:szCs w:val="18"/>
        </w:rPr>
        <w:t xml:space="preserve">三七互娱（002555）：2026年半年报点评：业绩阶段性承压，海外新品表现亮眼 - 研报雷达 — https://zc-baogao.com/report.html?id=41288&amp;utm_source=openai</w:t>
      </w:r>
    </w:p>
    <w:p>
      <w:pPr>
        <w:spacing w:after="200"/>
      </w:pPr>
      <w:r>
        <w:rPr>
          <w:i/>
          <w:iCs/>
          <w:color w:val="595959"/>
          <w:sz w:val="18"/>
          <w:szCs w:val="18"/>
        </w:rPr>
        <w:t xml:space="preserve">三七互娱 (002555) - 历史交易数据 | 打板客网 — https://dabanke.com/hangqing-002555.html?utm_source=openai</w:t>
      </w:r>
    </w:p>
    <w:p>
      <w:pPr>
        <w:spacing w:after="200"/>
      </w:pPr>
      <w:r>
        <w:rPr>
          <w:i/>
          <w:iCs/>
          <w:color w:val="595959"/>
          <w:sz w:val="18"/>
          <w:szCs w:val="18"/>
        </w:rPr>
        <w:t xml:space="preserve">三七互娛(002555.SZ) 走勢圖 - Yahoo股市 — https://tw.stock.yahoo.com/quote/002555.SZ?utm_source=openai</w:t>
      </w:r>
    </w:p>
    <w:p>
      <w:pPr>
        <w:spacing w:after="200"/>
      </w:pPr>
      <w:r>
        <w:rPr>
          <w:i/>
          <w:iCs/>
          <w:color w:val="595959"/>
          <w:sz w:val="18"/>
          <w:szCs w:val="18"/>
        </w:rPr>
        <w:t xml:space="preserve">三七互娱(SZ002555)股票股价_股价行情_财报_数据报告 - 雪球 — https://xueqiu.com/S/SZ002555?from=status_stock_match&amp;utm_source=openai</w:t>
      </w:r>
    </w:p>
    <w:p>
      <w:pPr>
        <w:spacing w:after="200"/>
      </w:pPr>
      <w:r>
        <w:rPr>
          <w:i/>
          <w:iCs/>
          <w:color w:val="595959"/>
          <w:sz w:val="18"/>
          <w:szCs w:val="18"/>
        </w:rPr>
        <w:t xml:space="preserve">三七互娱(002555)市盈率|估值|基本面 - 理杏仁 — https://www.lixinger.com/equity/company/detail/sz/002555/2555/fundamental/valuation/pe-ttm?utm_source=openai</w:t>
      </w:r>
    </w:p>
    <w:p>
      <w:pPr>
        <w:spacing w:after="200"/>
      </w:pPr>
      <w:r>
        <w:rPr>
          <w:i/>
          <w:iCs/>
          <w:color w:val="595959"/>
          <w:sz w:val="18"/>
          <w:szCs w:val="18"/>
        </w:rPr>
        <w:t xml:space="preserve">三七互娱(002555) - 公司简介 - 股票行情中心 - 搜狐证券 — https://q.stock.sohu.com/cn/002555/gsjj.shtml?utm_source=openai</w:t>
      </w:r>
    </w:p>
    <w:p>
      <w:pPr>
        <w:spacing w:after="200"/>
      </w:pPr>
      <w:r>
        <w:rPr>
          <w:i/>
          <w:iCs/>
          <w:color w:val="595959"/>
          <w:sz w:val="18"/>
          <w:szCs w:val="18"/>
        </w:rPr>
        <w:t xml:space="preserve">三七互娱投资者关系 — https://002555.irlianmeng.com/?utm_source=openai</w:t>
      </w:r>
    </w:p>
    <w:p>
      <w:pPr>
        <w:spacing w:after="200"/>
      </w:pPr>
      <w:r>
        <w:rPr>
          <w:i/>
          <w:iCs/>
          <w:color w:val="595959"/>
          <w:sz w:val="18"/>
          <w:szCs w:val="18"/>
        </w:rPr>
        <w:t xml:space="preserve">三七互娱(002555)-公告大事 — https://basic.10jqka.com.cn/mobile/002555/pubn.html?utm_source=openai</w:t>
      </w:r>
    </w:p>
    <w:p>
      <w:pPr>
        <w:spacing w:after="200"/>
      </w:pPr>
      <w:r>
        <w:rPr>
          <w:i/>
          <w:iCs/>
          <w:color w:val="595959"/>
          <w:sz w:val="18"/>
          <w:szCs w:val="18"/>
        </w:rPr>
        <w:t xml:space="preserve">三七互娱(002555)_公司公告_三七互娱：关于变更回购股份用途为注销并减少公司注册资本的公告新浪财经_新浪网 — https://money.finance.sina.com.cn/corp/view/vCB_AllBulletinDetail.php?id=12534506&amp;stockid=002555&amp;utm_source=openai</w:t>
      </w:r>
    </w:p>
    <w:p>
      <w:pPr>
        <w:spacing w:after="200"/>
      </w:pPr>
      <w:r>
        <w:rPr>
          <w:i/>
          <w:iCs/>
          <w:color w:val="595959"/>
          <w:sz w:val="18"/>
          <w:szCs w:val="18"/>
        </w:rPr>
        <w:t xml:space="preserve">三七互娱(002555)_公司公告_三七互娱：关于2026年半年度利润分配预案的公告新浪财经_新浪网 — https://money.finance.sina.com.cn/corp/view/vCB_AllBulletinDetail.php?id=12534505&amp;stockid=002555</w:t>
      </w:r>
    </w:p>
    <w:p>
      <w:pPr>
        <w:spacing w:after="200"/>
      </w:pPr>
      <w:r>
        <w:rPr>
          <w:i/>
          <w:iCs/>
          <w:color w:val="595959"/>
          <w:sz w:val="18"/>
          <w:szCs w:val="18"/>
        </w:rPr>
        <w:t xml:space="preserve">三七互娱(002555)_公司公告_三七互娱：2026年半年度权益分派实施公告新浪财经_新浪网 — https://vip.stock.finance.sina.com.cn/corp/view/vCB_AllBulletinDetail.php?id=12548138&amp;stockid=002555</w:t>
      </w:r>
    </w:p>
    <w:p>
      <w:pPr>
        <w:spacing w:after="200"/>
      </w:pPr>
      <w:r>
        <w:rPr>
          <w:i/>
          <w:iCs/>
          <w:color w:val="595959"/>
          <w:sz w:val="18"/>
          <w:szCs w:val="18"/>
        </w:rPr>
        <w:t xml:space="preserve">三七互娱(002555)_公司公告_三七互娱：关于调整2026年度为子公司提供担保额度预计的公告新浪财经_新浪网 — https://vip.stock.finance.sina.com.cn/corp/view/vCB_AllBulletinDetail.php?id=12534541&amp;stockid=002555</w:t>
      </w:r>
    </w:p>
    <w:p>
      <w:pPr>
        <w:spacing w:after="200"/>
      </w:pPr>
      <w:r>
        <w:rPr>
          <w:i/>
          <w:iCs/>
          <w:color w:val="595959"/>
          <w:sz w:val="18"/>
          <w:szCs w:val="18"/>
        </w:rPr>
        <w:t xml:space="preserve">三七互娱_ 个股日历 _ 东方财富网_ 数据频道 — https://data.eastmoney.com/stockcalendar/002555.html?utm_source=openai</w:t>
      </w:r>
    </w:p>
    <w:p>
      <w:pPr>
        <w:spacing w:after="200"/>
      </w:pPr>
      <w:r>
        <w:rPr>
          <w:i/>
          <w:iCs/>
          <w:color w:val="595959"/>
          <w:sz w:val="18"/>
          <w:szCs w:val="18"/>
        </w:rPr>
        <w:t xml:space="preserve">https://static.cninfo.com.cn/finalpage/2026-07-08/1225414248.PDF — https://static.cninfo.com.cn/finalpage/2026-07-08/1225414248.PDF</w:t>
      </w:r>
    </w:p>
    <w:p>
      <w:pPr>
        <w:spacing w:after="200"/>
      </w:pPr>
      <w:r>
        <w:rPr>
          <w:i/>
          <w:iCs/>
          <w:color w:val="595959"/>
          <w:sz w:val="18"/>
          <w:szCs w:val="18"/>
        </w:rPr>
        <w:t xml:space="preserve">三七互娱(002555)_公司资料_证券之星 — https://stock.quote.stockstar.com/corp_002555.shtml?utm_source=openai</w:t>
      </w:r>
    </w:p>
    <w:p>
      <w:pPr>
        <w:spacing w:after="200"/>
      </w:pPr>
      <w:r>
        <w:rPr>
          <w:i/>
          <w:iCs/>
          <w:color w:val="595959"/>
          <w:sz w:val="18"/>
          <w:szCs w:val="18"/>
        </w:rPr>
        <w:t xml:space="preserve">本报告由AI基于公开渠道信息自动检索、整理并生成，信息截至 截至2026年9月14日，最近一个已完成交易日为2026年9月11日；价格、成交量、换手率主要采用2026年9月11日收盘数据，部分技术指标存在日期滞后或测算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2026-09-14T02:09:21.686Z</dcterms:created>
  <dcterms:modified xsi:type="dcterms:W3CDTF">2026-09-14T02:09:21.686Z</dcterms:modified>
</cp:coreProperties>
</file>

<file path=docProps/custom.xml><?xml version="1.0" encoding="utf-8"?>
<Properties xmlns="http://schemas.openxmlformats.org/officeDocument/2006/custom-properties" xmlns:vt="http://schemas.openxmlformats.org/officeDocument/2006/docPropsVTypes"/>
</file>