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史丹利农业集团股份有限公司 (002588)</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行业：磷复肥、复合肥及磷化工</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数据截至2026年9月11日收盘，研究时点为2026年9月13日；部分行情因复权口径、数据延迟及四舍五入存在约0.01元差异。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史丹利2026年上半年呈现“收入增长、利润和现金流承压”：营业收入69.33亿元，同比增长8.48%；归母净利润5.44亿元，同比下降10.29%；经营活动现金流量净额为-11.45亿元，上年同期为-1.04亿元。利润下滑主要与磷肥业务盈利波动、硫磺等原材料价格上涨，以及投资收益大幅减少有关，其中参股公司湖北宜化松滋肥业权益法投资收益由上年同期盈利转为亏损1518.52万元。</w:t>
      </w:r>
    </w:p>
    <w:p>
      <w:pPr>
        <w:spacing w:after="160" w:line="300"/>
      </w:pPr>
      <w:r>
        <w:rPr>
          <w:sz w:val="22"/>
          <w:szCs w:val="22"/>
        </w:rPr>
        <w:t xml:space="preserve">公司基本盘仍为复合肥品牌、全国渠道和农化服务，2025年复合肥销量347.83万吨，同比增长3.94%，磷复肥销量391.09万吨，同比增长11.33%；全年营业收入122.83亿元，归母净利润10.33亿元，同比分别增长19.69%和25.07%。但公司材料成本占磷复肥成本82.77%，对尿素、磷酸一铵、氯化钾、硫磺及合成氨等原料价格较为敏感，且2025年整体毛利率约18.15%，较高毛利的资源型磷化工企业仍存在差距。</w:t>
      </w:r>
    </w:p>
    <w:p>
      <w:pPr>
        <w:spacing w:after="160" w:line="300"/>
      </w:pPr>
      <w:r>
        <w:rPr>
          <w:sz w:val="22"/>
          <w:szCs w:val="22"/>
        </w:rPr>
        <w:t xml:space="preserve">产业链延伸项目持续推进，磷酸铁装置已进入试生产阶段，氟化铝项目预计于2026年10月至11月试生产，广西年产100万吨新型绿色肥料项目已基本建设完成。不过，磷酸铁和氟化铝等项目尚未形成明确盈利贡献，磷石膏制酸项目仍处于前期论证和审批准备阶段，后续存在投产进度、产品质量及市场拓展的不确定性。</w:t>
      </w:r>
    </w:p>
    <w:p>
      <w:pPr>
        <w:spacing w:after="160" w:line="300"/>
      </w:pPr>
      <w:r>
        <w:rPr>
          <w:sz w:val="22"/>
          <w:szCs w:val="22"/>
        </w:rPr>
        <w:t xml:space="preserve">截至2026年9月11日，公司股价为7.82元，动态市盈率约9.28倍、市净率约1.16倍，估值相对较低；但股价低于MA5、MA10和MA20，位于布林带中轨与下轨之间，近10个交易日主力资金合计净流出约9535万元，技术面和短期资金面偏弱。市场机构对2026年归母净利润预测均值为10.63亿元，但预测区间为9.22亿至11.92亿元，盈利预期存在较明显分歧。</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A股代码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002588</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证券简称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史丹利</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报告依据</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公司2025年年度报告</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经营及产能数据截至</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2025年12月31日</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报告披露日期</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2026年4月22日</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2025年营业收入</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122.83亿元，其中制造业收入120.35亿元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2025年归属于上市公司股东的净利润</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10.33亿元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2025年复合肥销量</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347.83万吨，同比增长3.94%</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2025年磷复肥产量及销量</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产量453.25万吨，销量391.09万吨；销量同比增长11.33%，产量同比增长13.10%</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复合肥：包括硫基复合肥、氯基复合肥、高塔复合肥、新型肥料、水溶肥、缓控释肥、硝基肥、中微量元素肥、海藻肥、生物肥、有机-无机复合肥、作物专用肥及园艺肥等，主要面向玉米、小麦、水稻等大田作物以及花生、瓜果、蔬菜、园艺花卉等经济作物。</w:t>
      </w:r>
    </w:p>
    <w:p>
      <w:pPr>
        <w:pStyle w:val="ListParagraph"/>
        <w:numPr>
          <w:ilvl w:val="0"/>
          <w:numId w:val="2"/>
        </w:numPr>
        <w:spacing w:after="80" w:line="280"/>
      </w:pPr>
      <w:r>
        <w:rPr>
          <w:sz w:val="22"/>
          <w:szCs w:val="22"/>
        </w:rPr>
        <w:t xml:space="preserve">磷肥及磷化工：主要生产农用级磷酸一铵、工业级磷酸一铵，并向精制磷酸、磷酸铁等产品延伸。</w:t>
      </w:r>
    </w:p>
    <w:p>
      <w:pPr>
        <w:pStyle w:val="ListParagraph"/>
        <w:numPr>
          <w:ilvl w:val="0"/>
          <w:numId w:val="2"/>
        </w:numPr>
        <w:spacing w:after="80" w:line="280"/>
      </w:pPr>
      <w:r>
        <w:rPr>
          <w:sz w:val="22"/>
          <w:szCs w:val="22"/>
        </w:rPr>
        <w:t xml:space="preserve">新型肥料及园艺肥：包括专用肥、水溶肥、缓控释肥、园艺肥等，依托农化服务和作物解决方案拓展销售。</w:t>
      </w:r>
    </w:p>
    <w:p>
      <w:pPr>
        <w:pStyle w:val="ListParagraph"/>
        <w:numPr>
          <w:ilvl w:val="0"/>
          <w:numId w:val="2"/>
        </w:numPr>
        <w:spacing w:after="80" w:line="280"/>
      </w:pPr>
      <w:r>
        <w:rPr>
          <w:sz w:val="22"/>
          <w:szCs w:val="22"/>
        </w:rPr>
        <w:t xml:space="preserve">渠道与农化服务：拥有“史丹利”“三安”等品牌，销售网络覆盖全国32个省市自治区，终端网点超过20万家，一级经销商及种植大户近6000家，并通过蚯蚓测土实验室、农化服务团队和示范田提供测土、配方及施肥指导服务。</w:t>
      </w:r>
    </w:p>
    <w:p>
      <w:pPr>
        <w:pStyle w:val="ListParagraph"/>
        <w:numPr>
          <w:ilvl w:val="0"/>
          <w:numId w:val="2"/>
        </w:numPr>
        <w:spacing w:after="80" w:line="280"/>
      </w:pPr>
      <w:r>
        <w:rPr>
          <w:sz w:val="22"/>
          <w:szCs w:val="22"/>
        </w:rPr>
        <w:t xml:space="preserve">磷化工产能：截至2025年12月31日，复合肥设计产能590万吨/年、磷铵100万吨/年、工业级磷酸一铵10万吨/年、精制磷酸10万吨/年、磷酸铁5万吨/年；对应产能利用率分别为63.31%、70.99%、77.69%、82.05%和0%。</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史丹利处于磷复肥产业链中游偏下位置：上游连接尿素、磷矿石、磷酸一铵、硫磺、钾肥和合成氨等资源及基础化工原料，中游进行磷酸一铵、复合肥、新型肥料和磷化工产品生产，下游连接农资经销商、零售网点、种植大户和农业经营主体。公司依托湖北松滋、河北承德等生产基地，形成“规模制造＋品牌渠道＋农化服务”的综合竞争模式，但2025年年报未披露明确的自有磷矿储量数据，不宜将其归类为磷矿资源型企业。</w:t>
      </w:r>
    </w:p>
    <w:p>
      <w:pPr>
        <w:pStyle w:val="ListParagraph"/>
        <w:numPr>
          <w:ilvl w:val="0"/>
          <w:numId w:val="2"/>
        </w:numPr>
        <w:spacing w:after="80" w:line="280"/>
      </w:pPr>
      <w:r>
        <w:rPr>
          <w:sz w:val="22"/>
          <w:szCs w:val="22"/>
        </w:rPr>
        <w:t xml:space="preserve">复合肥及磷化工主要投入包括尿素、磷酸一铵、氯化钾、硫酸钾、硫磺、磷矿石、合成氨，以及能源、燃料和包装材料。</w:t>
      </w:r>
    </w:p>
    <w:p>
      <w:pPr>
        <w:pStyle w:val="ListParagraph"/>
        <w:numPr>
          <w:ilvl w:val="0"/>
          <w:numId w:val="2"/>
        </w:numPr>
        <w:spacing w:after="80" w:line="280"/>
      </w:pPr>
      <w:r>
        <w:rPr>
          <w:sz w:val="22"/>
          <w:szCs w:val="22"/>
        </w:rPr>
        <w:t xml:space="preserve">2025年公司磷复肥营业成本中材料成本为83.21亿元，占制造业磷复肥成本的82.77%，材料成本占比较高，盈利对尿素、磷酸一铵、氯化钾、硫磺和合成氨等资源品价格较为敏感。</w:t>
      </w:r>
    </w:p>
    <w:p>
      <w:pPr>
        <w:pStyle w:val="ListParagraph"/>
        <w:numPr>
          <w:ilvl w:val="0"/>
          <w:numId w:val="2"/>
        </w:numPr>
        <w:spacing w:after="80" w:line="280"/>
      </w:pPr>
      <w:r>
        <w:rPr>
          <w:sz w:val="22"/>
          <w:szCs w:val="22"/>
        </w:rPr>
        <w:t xml:space="preserve">公司具备一定磷肥产能，可减少部分外购磷酸一铵对复合肥生产的影响；但钾肥、硫磺、尿素等关键原料仍具有较强外部采购属性，公司整体对上游大宗原料价格缺乏完全控制力。</w:t>
      </w:r>
    </w:p>
    <w:p>
      <w:pPr>
        <w:pStyle w:val="ListParagraph"/>
        <w:numPr>
          <w:ilvl w:val="0"/>
          <w:numId w:val="2"/>
        </w:numPr>
        <w:spacing w:after="80" w:line="280"/>
      </w:pPr>
      <w:r>
        <w:rPr>
          <w:sz w:val="22"/>
          <w:szCs w:val="22"/>
        </w:rPr>
        <w:t xml:space="preserve">2025年前五大供应商采购金额13.20亿元，占年度采购总额13.87%；供应商具体名称以匿名方式披露，无法进一步判断单一供应商依赖程度。</w:t>
      </w:r>
    </w:p>
    <w:p>
      <w:pPr>
        <w:pStyle w:val="ListParagraph"/>
        <w:numPr>
          <w:ilvl w:val="0"/>
          <w:numId w:val="2"/>
        </w:numPr>
        <w:spacing w:after="80" w:line="280"/>
      </w:pPr>
      <w:r>
        <w:rPr>
          <w:sz w:val="22"/>
          <w:szCs w:val="22"/>
        </w:rPr>
        <w:t xml:space="preserve">公司拥有磷肥及磷化工产能，但2025年年报未披露明确的自有磷矿储量数据，因此其上游优势更准确地体现为磷肥产能和产业链协同，而非已由储量数据验证的磷矿资源优势。</w:t>
      </w:r>
    </w:p>
    <w:p>
      <w:pPr>
        <w:pStyle w:val="ListParagraph"/>
        <w:numPr>
          <w:ilvl w:val="0"/>
          <w:numId w:val="2"/>
        </w:numPr>
        <w:spacing w:after="80" w:line="280"/>
      </w:pPr>
      <w:r>
        <w:rPr>
          <w:sz w:val="22"/>
          <w:szCs w:val="22"/>
        </w:rPr>
        <w:t xml:space="preserve">公司主要采用经销模式。2025年经销收入98.33亿元，占主营制造业收入约80.05%；直销及其他收入24.50亿元，占比约19.95%。</w:t>
      </w:r>
    </w:p>
    <w:p>
      <w:pPr>
        <w:pStyle w:val="ListParagraph"/>
        <w:numPr>
          <w:ilvl w:val="0"/>
          <w:numId w:val="2"/>
        </w:numPr>
        <w:spacing w:after="80" w:line="280"/>
      </w:pPr>
      <w:r>
        <w:rPr>
          <w:sz w:val="22"/>
          <w:szCs w:val="22"/>
        </w:rPr>
        <w:t xml:space="preserve">下游客户主要包括区域农资经销商、基层农资零售网点、种植大户、家庭农场、农民专业合作社以及粮食和经济作物种植户。</w:t>
      </w:r>
    </w:p>
    <w:p>
      <w:pPr>
        <w:pStyle w:val="ListParagraph"/>
        <w:numPr>
          <w:ilvl w:val="0"/>
          <w:numId w:val="2"/>
        </w:numPr>
        <w:spacing w:after="80" w:line="280"/>
      </w:pPr>
      <w:r>
        <w:rPr>
          <w:sz w:val="22"/>
          <w:szCs w:val="22"/>
        </w:rPr>
        <w:t xml:space="preserve">2025年前五大客户合计销售金额7.49亿元，占年度销售总额6.10%；单一最大客户销售额占年度销售总额2.08%，客户集中度较低，不存在对单一大客户的明显依赖。上述集中度数据为公司2025年年度报告口径，客户名称以匿名方式披露，无法判断具体客户行业地位。</w:t>
      </w:r>
    </w:p>
    <w:p>
      <w:pPr>
        <w:pStyle w:val="ListParagraph"/>
        <w:numPr>
          <w:ilvl w:val="0"/>
          <w:numId w:val="2"/>
        </w:numPr>
        <w:spacing w:after="80" w:line="280"/>
      </w:pPr>
      <w:r>
        <w:rPr>
          <w:sz w:val="22"/>
          <w:szCs w:val="22"/>
        </w:rPr>
        <w:t xml:space="preserve">化肥产品标准化程度较高，农户和经销商价格敏感，企业通常难以完全转嫁原材料涨价；史丹利的品牌认知、全国渠道和农化服务能够通过品牌溢价、产品差异化和渠道粘性改善销售稳定性。</w:t>
      </w:r>
    </w:p>
    <w:p>
      <w:pPr>
        <w:pStyle w:val="ListParagraph"/>
        <w:numPr>
          <w:ilvl w:val="0"/>
          <w:numId w:val="2"/>
        </w:numPr>
        <w:spacing w:after="80" w:line="280"/>
      </w:pPr>
      <w:r>
        <w:rPr>
          <w:sz w:val="22"/>
          <w:szCs w:val="22"/>
        </w:rPr>
        <w:t xml:space="preserve">随着规模化种植增加，下游需求由单纯采购肥料转向“产品＋配方＋技术服务＋作物解决方案”，有利于公司专用肥、新型肥料和农化服务业务拓展。</w:t>
      </w:r>
    </w:p>
    <w:p>
      <w:pPr>
        <w:pStyle w:val="ListParagraph"/>
        <w:numPr>
          <w:ilvl w:val="0"/>
          <w:numId w:val="2"/>
        </w:numPr>
        <w:spacing w:after="80" w:line="280"/>
      </w:pPr>
      <w:r>
        <w:rPr>
          <w:sz w:val="22"/>
          <w:szCs w:val="22"/>
        </w:rPr>
        <w:t xml:space="preserve">截至2025年12月31日，公司应收账款9,710.94万元，约占营业收入的0.08%；预付款项4.95亿元，约占营业收入的4.03%；应付账款8.58亿元，约占营业收入的6.98%；应付票据14.08亿元；销售商品、提供劳务收到的现金138.56亿元，高于当期营业收入122.83亿元。应收账款相对收入较低，且前五大应收客户占应收账款总额73.41%，显示销售环节整体不明显依赖赊销，渠道回款状况较好；但低应收账款也可能受到现款销售、预收款、票据结算和渠道结算方式影响，不能据此认定公司拥有绝对终端定价权。预付款项明显高于应收账款，反映原料采购、项目建设或供应链备货存在一定资金占用；应付账款和应付票据合计规模较大，对公司形成一定供应商信用融资支持。</w:t>
      </w:r>
    </w:p>
    <w:p>
      <w:pPr>
        <w:pStyle w:val="ListParagraph"/>
        <w:numPr>
          <w:ilvl w:val="0"/>
          <w:numId w:val="2"/>
        </w:numPr>
        <w:spacing w:after="80" w:line="280"/>
      </w:pPr>
      <w:r>
        <w:rPr>
          <w:sz w:val="22"/>
          <w:szCs w:val="22"/>
        </w:rPr>
        <w:t xml:space="preserve">上游方面，2025年前五大供应商采购金额占年度采购总额13.87%，集中度不高，但供应商名称匿名披露，无法判断单一供应商依赖。下游方面，2025年前五大客户销售金额占年度销售总额6.10%，单一最大客户占比2.08%，客户集中度较低。上述数据均为2025年度口径；研究纪要未提供其他年度客户、供应商集中度用于交叉比较，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17.48%</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约7.01%（归属于上市公司股东的净利润／营业收入）</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复合肥销量增长，原材料价格波动趋于缓和；材料成本占比较高，公司依靠规模、渠道和产供销协同维持盈利。</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18.18%</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约8.05%（归属于上市公司股东的净利润／营业收入）</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复合肥销量334.64万吨，同比增长12.68%；磷复肥产量和销量增加，原材料成本占营业成本比例由2023年的89.32%降至85.77%，黎河肥业和松滋项目逐步贡献产能，单位成本和盈利改善。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约18.15%；制造业毛利率18.38%，较2024年下降0.14个百分点</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约8.41%（归属于上市公司股东的净利润／营业收入）</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磷复肥销量继续增长，松滋磷化工项目全面投产，磷肥及精制酸等新业务增加收入；但新型肥料及其他业务毛利率17.01%，低于氯基复合肥20.04%，且新项目投产及销量增加带动燃料、折旧等成本上升，整体毛利率基本持平。</w:t>
            </w:r>
          </w:p>
        </w:tc>
      </w:tr>
    </w:tbl>
    <w:p>
      <w:pPr>
        <w:spacing w:before="200"/>
      </w:pPr>
    </w:p>
    <w:p>
      <w:pPr>
        <w:spacing w:after="160" w:line="300"/>
      </w:pPr>
      <w:r>
        <w:rPr>
          <w:sz w:val="22"/>
          <w:szCs w:val="22"/>
        </w:rPr>
        <w:t xml:space="preserve">史丹利位于磷复肥产业链中游偏下，属于“规模制造＋品牌渠道＋农化服务”驱动的中游加工及品牌渠道型化肥企业，而非上游磷矿资源型高毛利企业或完全依赖终端品牌溢价的消费品公司。进一步提升利润率的关键在于提高复合肥产能利用率，提升新型肥料、专用肥、水溶肥和园艺肥占比，扩大磷肥内部配套比例，加强尿素、硫磺、钾肥等原料的长期采购和库存管理，降低运输费用并提高磷化工项目盈利贡献。</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2026年上半年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69.33亿元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同比增长8.48%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5.44亿元（归属于上市公司股东）</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同比下降10.29%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2025年度</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122.83亿元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同比增长19.69%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10.33亿元（归属于上市公司股东）</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同比增长25.07%</w:t>
            </w:r>
          </w:p>
        </w:tc>
      </w:tr>
    </w:tbl>
    <w:p>
      <w:pPr>
        <w:spacing w:after="200"/>
      </w:pPr>
      <w:r>
        <w:rPr>
          <w:i/>
          <w:iCs/>
          <w:color w:val="595959"/>
          <w:sz w:val="18"/>
          <w:szCs w:val="18"/>
        </w:rPr>
        <w:t xml:space="preserve">数据截至2026年9月11日；截至2026年9月13日，公开披露的最新定期财报为2026年半年度报告。2026年上半年扣除非经常性损益后的归母净利润为5.04亿元，同比下降11.94%；基本每股收益为0.47元，同比下降11.32%。2026年上半年销售毛利率约18.07%，销售净利率约7.92%；经营活动产生的现金流量净额为-11.45亿元，2025年同期为-1.04亿元。2025年销售毛利率为18.15%，销售净利率为8.56%，加权平均净资产收益率为14.40%。</w:t>
      </w:r>
    </w:p>
    <w:p>
      <w:pPr>
        <w:spacing w:after="160" w:line="300"/>
      </w:pPr>
      <w:r>
        <w:rPr>
          <w:sz w:val="22"/>
          <w:szCs w:val="22"/>
        </w:rPr>
        <w:t xml:space="preserve">公司最新财报呈现收入增长、利润下滑特征。2026年上半年利润下滑主要受到硫磺等原材料价格上涨及磷肥业务盈利承压影响；二季度单季营业收入28.73亿元，同比下降3.77%，归母净利润2.03亿元，同比下降36.36%。经营现金流大幅为负，公司解释主要与期初预收款、采购商品支付现金增加以及上年同期出口收款基数较高有关，仍需关注短期盈利质量和营运资金压力。2025年业绩增长主要受复合肥销量增长、磷肥销量及售价提升，以及新增精制酸销售影响。</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盈利预测截至2026年9月11日，主要来源为同花顺史丹利盈利预测页面及券商研报摘要。主要机构单项预测包括：西南证券预计2026—2028年归母净利润为9.22亿元、11.59亿元、13.90亿元，EPS为0.80元、1.01元、1.21元；国信证券为9.71亿元、11.64亿元、13.84亿元，EPS为0.84元、1.01元、1.20元；招商证券为9.50亿元、11.68亿元、14.08亿元，EPS为0.82元、1.01元、1.22元；兴业证券为10.91亿元、12.64亿元、14.83亿元，EPS为0.95元、1.10元、1.29元；国海证券为11.68亿元、13.94亿元、15.99亿元，EPS为1.01元、1.21元、1.39元。不同机构对2026年盈利预测存在明显分歧。</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142.87亿元（同花顺7家机构预测营业收入均值）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10.63亿元（同花顺7家机构预测归母净利润均值；区间9.22亿—11.92亿元）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同比增长约2.86%（相较2025年实际归母净利润）</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0.92元（均值；区间0.80—1.03元）</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2027年</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数据缺失：公开可访问页面未完整展示多机构营业收入均值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12.73亿元（同花顺7家机构预测归母净利润均值；区间11.59亿—14.58亿元）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未披露明确的多机构同比增速</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1.11元（均值；区间1.01—1.27元）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2028年</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数据缺失：公开可访问页面未完整展示多机构营业收入均值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14.70亿元（同花顺7家机构预测归母净利润均值；区间13.84亿—15.99亿元）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未披露明确的多机构同比增速</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1.28元（均值；区间1.20—1.39元）</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西南证券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2026年9月1日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目标价10.40元，给予公司2026年13倍PE；相较2026年9月11日约7.82元收盘价，上涨空间约33%。</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国信证券</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增持，首次覆盖</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目标价区间8.50—9.55元；相较7.82元收盘价，对应上涨空间约9%—22%。</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招商证券</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强烈推荐</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未明确披露</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公开页面未检索到明确目标价；2026—2028年EPS预测分别为0.82元、1.01元和1.22元。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同花顺近6个月研报统计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整体偏积极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截至2026年9月初</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买入2家、增持3家、中性0家、减持0家、卖出0家。</w:t>
            </w:r>
          </w:p>
        </w:tc>
      </w:tr>
    </w:tbl>
    <w:p>
      <w:pPr>
        <w:spacing w:before="200"/>
      </w:pPr>
    </w:p>
    <w:p>
      <w:pPr>
        <w:spacing w:after="160" w:line="300"/>
      </w:pPr>
      <w:r>
        <w:rPr>
          <w:sz w:val="22"/>
          <w:szCs w:val="22"/>
        </w:rPr>
        <w:t xml:space="preserve">截至2026年9月11日收盘，股价约7.82元，总股本约11.52亿股，总市值约90.08亿元，流通市值约67.15亿元，市净率约1.16倍。中财网数据显示，市盈率约9.28倍，扣非市盈率约10.40倍。按2025年全年归母净利润10.33亿元、扣除2025年上半年归母净利润6.07亿元并加回2026年上半年归母净利润5.44亿元估算，TTM归母净利润约9.71亿元，对应TTM PE约9.3倍。按同花顺7家机构平均预测，2026—2028年预测PE约为8.5倍、7.1倍和6.1倍；按西南证券预测约为9.8倍、7.8倍和6.5倍；按招商证券预测约为9.5倍、7.7倍和6.4倍。整体估值处于相对较低水平，但低估值也反映了原材料价格、磷肥业务盈利波动及新项目盈利兑现节奏等风险。2027—2028年多机构营业收入预测值未完整披露，不宜作为已交叉核实的一致预期使用。</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2026年半年度业绩：营收增长、归母净利润下降</w:t>
      </w:r>
    </w:p>
    <w:p>
      <w:pPr>
        <w:spacing w:after="160" w:line="300"/>
      </w:pPr>
      <w:r>
        <w:rPr>
          <w:sz w:val="22"/>
          <w:szCs w:val="22"/>
        </w:rPr>
        <w:t xml:space="preserve">公司于2026年8月20日披露2026年半年度报告。2026年上半年实现营业收入69.3285亿元，同比增长8.48%；实现归属于上市公司股东的净利润5.4435亿元，同比下降10.29%；扣除非经常性损益后的归母净利润5.0359亿元，同比下降11.94%；经营活动现金流量净额为-11.4464亿元，上年同期为-1.0434亿元。公司表示，复合肥业务产销量及毛利总体保持稳定，利润下降主要受磷肥业务经营波动及投资收益同比下降影响。</w:t>
      </w:r>
    </w:p>
    <w:p>
      <w:pPr>
        <w:pStyle w:val="Heading2"/>
        <w:spacing w:after="120" w:before="240"/>
      </w:pPr>
      <w:r>
        <w:rPr>
          <w:b/>
          <w:bCs/>
          <w:color w:val="2E74B5"/>
          <w:sz w:val="24"/>
          <w:szCs w:val="24"/>
        </w:rPr>
        <w:t xml:space="preserve">4.2 磷肥业务及参股公司投资收益拖累利润</w:t>
      </w:r>
    </w:p>
    <w:p>
      <w:pPr>
        <w:spacing w:after="160" w:line="300"/>
      </w:pPr>
      <w:r>
        <w:rPr>
          <w:sz w:val="22"/>
          <w:szCs w:val="22"/>
        </w:rPr>
        <w:t xml:space="preserve">公司2026年8月21日投资者关系活动记录显示，参股公司湖北宜化松滋肥业有限公司受磷肥出口政策调整、内销限价及原料成本上升影响，利润同比大幅下降。公司对湖北宜化松滋肥业的权益法投资收益为-1518.52万元，上年同期为正；公司全部投资收益由上年同期约5.093亿元降至本期约423.96万元，对归母净利润下降形成较大拖累。</w:t>
      </w:r>
    </w:p>
    <w:p>
      <w:pPr>
        <w:pStyle w:val="Heading2"/>
        <w:spacing w:after="120" w:before="240"/>
      </w:pPr>
      <w:r>
        <w:rPr>
          <w:b/>
          <w:bCs/>
          <w:color w:val="2E74B5"/>
          <w:sz w:val="24"/>
          <w:szCs w:val="24"/>
        </w:rPr>
        <w:t xml:space="preserve">4.3 截至2026年9月13日未发现新的业绩预告或业绩快报</w:t>
      </w:r>
    </w:p>
    <w:p>
      <w:pPr>
        <w:spacing w:after="160" w:line="300"/>
      </w:pPr>
      <w:r>
        <w:rPr>
          <w:sz w:val="22"/>
          <w:szCs w:val="22"/>
        </w:rPr>
        <w:t xml:space="preserve">截至2026年9月13日，未发现公司新发布的2026年前三季度业绩预告或业绩快报。当前可获得的最新正式业绩数据仍为2026年半年度报告，数据区间为2026年1月1日至2026年6月30日。</w:t>
      </w:r>
    </w:p>
    <w:p>
      <w:pPr>
        <w:pStyle w:val="Heading2"/>
        <w:spacing w:after="120" w:before="240"/>
      </w:pPr>
      <w:r>
        <w:rPr>
          <w:b/>
          <w:bCs/>
          <w:color w:val="2E74B5"/>
          <w:sz w:val="24"/>
          <w:szCs w:val="24"/>
        </w:rPr>
        <w:t xml:space="preserve">4.4 控股股东高进华部分股份解除质押并再质押</w:t>
      </w:r>
    </w:p>
    <w:p>
      <w:pPr>
        <w:spacing w:after="160" w:line="300"/>
      </w:pPr>
      <w:r>
        <w:rPr>
          <w:sz w:val="22"/>
          <w:szCs w:val="22"/>
        </w:rPr>
        <w:t xml:space="preserve">公司于2026年8月13日披露《关于控股股东部分股份解除质押及再质押的公告》，公告编号为2026-028。控股股东之一高进华于2026年8月11日解除质押5000万股，占其所持股份的12.85%、占公司总股本的4.34%；于2026年8月12日再质押3550万股，占其所持股份的9.12%、占公司总股本的3.08%，质权人为招商证券，质押用途为补充流动资金。</w:t>
      </w:r>
    </w:p>
    <w:p>
      <w:pPr>
        <w:pStyle w:val="Heading2"/>
        <w:spacing w:after="120" w:before="240"/>
      </w:pPr>
      <w:r>
        <w:rPr>
          <w:b/>
          <w:bCs/>
          <w:color w:val="2E74B5"/>
          <w:sz w:val="24"/>
          <w:szCs w:val="24"/>
        </w:rPr>
        <w:t xml:space="preserve">4.5 控股股东及一致行动人累计质押情况</w:t>
      </w:r>
    </w:p>
    <w:p>
      <w:pPr>
        <w:spacing w:after="160" w:line="300"/>
      </w:pPr>
      <w:r>
        <w:rPr>
          <w:sz w:val="22"/>
          <w:szCs w:val="22"/>
        </w:rPr>
        <w:t xml:space="preserve">质押事项完成后，高进华持有公司股份3.8905亿股，持股比例33.77%，质押股份增至6616.67万股，占其所持股份17.01%、占公司总股本5.74%。控股股东及其一致行动人合计持股6.0447亿股，占公司总股本52.48%；合计质押股份1.5232亿股，占其合计持股25.20%、占公司总股本13.22%。公司公告称，上述质押不会导致实际控制权发生变化，不存在平仓风险，也不会对公司生产经营和公司治理产生不利影响。</w:t>
      </w:r>
    </w:p>
    <w:p>
      <w:pPr>
        <w:pStyle w:val="Heading2"/>
        <w:spacing w:after="120" w:before="240"/>
      </w:pPr>
      <w:r>
        <w:rPr>
          <w:b/>
          <w:bCs/>
          <w:color w:val="2E74B5"/>
          <w:sz w:val="24"/>
          <w:szCs w:val="24"/>
        </w:rPr>
        <w:t xml:space="preserve">4.6 近期未发现新增回购、增持或减持事项</w:t>
      </w:r>
    </w:p>
    <w:p>
      <w:pPr>
        <w:spacing w:after="160" w:line="300"/>
      </w:pPr>
      <w:r>
        <w:rPr>
          <w:sz w:val="22"/>
          <w:szCs w:val="22"/>
        </w:rPr>
        <w:t xml:space="preserve">截至2026年9月13日，未发现公司在2026年8月至9月13日期间新增股份回购方案或回购进展公告；半年度报告中“采用集中竞价方式减持回购股份的实施进展情况”显示不适用。同期未发现控股股东、实际控制人或董事高管发布新的减持计划、增持计划或增持实施公告。高进华的质押变化不等同于增持或减持。</w:t>
      </w:r>
    </w:p>
    <w:p>
      <w:pPr>
        <w:pStyle w:val="Heading2"/>
        <w:spacing w:after="120" w:before="240"/>
      </w:pPr>
      <w:r>
        <w:rPr>
          <w:b/>
          <w:bCs/>
          <w:color w:val="2E74B5"/>
          <w:sz w:val="24"/>
          <w:szCs w:val="24"/>
        </w:rPr>
        <w:t xml:space="preserve">4.7 产业链项目取得阶段性进展</w:t>
      </w:r>
    </w:p>
    <w:p>
      <w:pPr>
        <w:spacing w:after="160" w:line="300"/>
      </w:pPr>
      <w:r>
        <w:rPr>
          <w:sz w:val="22"/>
          <w:szCs w:val="22"/>
        </w:rPr>
        <w:t xml:space="preserve">公司2026年8月21日投资者关系活动披露：松滋史丹利宜化新材料公司的磷酸铁装置已进入试生产阶段，装置运行及产品质量总体符合预期，产品主要面向下游磷酸铁锂客户；湖北氟瑞化工有限公司氟化铝项目预计于2026年10月至11月进入试生产；广西年产100万吨新型绿色肥料项目已基本建设完成；磷石膏制酸项目仍处于工艺考察、设计对接及立项审批前期阶段，具体投资规模和实施节奏尚未确定。上述项目属于内部投资建设和产业链延伸，不代表已完成并购或已形成确定盈利贡献。</w:t>
      </w:r>
    </w:p>
    <w:p>
      <w:pPr>
        <w:pStyle w:val="Heading2"/>
        <w:spacing w:after="120" w:before="240"/>
      </w:pPr>
      <w:r>
        <w:rPr>
          <w:b/>
          <w:bCs/>
          <w:color w:val="2E74B5"/>
          <w:sz w:val="24"/>
          <w:szCs w:val="24"/>
        </w:rPr>
        <w:t xml:space="preserve">4.8 未发现新增重大并购、重组或资产交易公告</w:t>
      </w:r>
    </w:p>
    <w:p>
      <w:pPr>
        <w:spacing w:after="160" w:line="300"/>
      </w:pPr>
      <w:r>
        <w:rPr>
          <w:sz w:val="22"/>
          <w:szCs w:val="22"/>
        </w:rPr>
        <w:t xml:space="preserve">截至2026年9月13日，未发现公司在2026年8月至9月13日期间新增重大并购、资产收购、股权出售或重大重组公告。</w:t>
      </w:r>
    </w:p>
    <w:p>
      <w:pPr>
        <w:pStyle w:val="Heading2"/>
        <w:spacing w:after="120" w:before="240"/>
      </w:pPr>
      <w:r>
        <w:rPr>
          <w:b/>
          <w:bCs/>
          <w:color w:val="2E74B5"/>
          <w:sz w:val="24"/>
          <w:szCs w:val="24"/>
        </w:rPr>
        <w:t xml:space="preserve">4.9 磷肥政策及原材料价格对经营的影响</w:t>
      </w:r>
    </w:p>
    <w:p>
      <w:pPr>
        <w:spacing w:after="160" w:line="300"/>
      </w:pPr>
      <w:r>
        <w:rPr>
          <w:sz w:val="22"/>
          <w:szCs w:val="22"/>
        </w:rPr>
        <w:t xml:space="preserve">公司投资者关系活动表示，2026年上半年磷肥业务受出口政策调整及内销限价影响较大，部分产品盈利承压；在保障国内供应的政策导向下，磷肥出口短期内仍以保内供为主，行业盈利取决于原料价格回落及成本向下游传导情况。受国际地缘冲突等因素影响，2026年上半年硫磺价格一度大幅上涨，对磷肥业务成本形成冲击；近期硫磺及硫酸价格从高位有所回落，矿石价格也出现松动，成本端压力较二季度有所边际缓解。上述信息主要来自公司投资者关系活动记录，属于公司对经营环境的解释和判断。</w:t>
      </w:r>
    </w:p>
    <w:p>
      <w:pPr>
        <w:pStyle w:val="Heading2"/>
        <w:spacing w:after="120" w:before="240"/>
      </w:pPr>
      <w:r>
        <w:rPr>
          <w:b/>
          <w:bCs/>
          <w:color w:val="2E74B5"/>
          <w:sz w:val="24"/>
          <w:szCs w:val="24"/>
        </w:rPr>
        <w:t xml:space="preserve">4.10 未发现针对公司的重大监管处罚或调查事项</w:t>
      </w:r>
    </w:p>
    <w:p>
      <w:pPr>
        <w:spacing w:after="160" w:line="300"/>
      </w:pPr>
      <w:r>
        <w:rPr>
          <w:sz w:val="22"/>
          <w:szCs w:val="22"/>
        </w:rPr>
        <w:t xml:space="preserve">截至2026年9月13日，未发现针对史丹利的重大监管处罚、问询、立案调查或交易异常监管公告。</w:t>
      </w:r>
    </w:p>
    <w:p>
      <w:pPr>
        <w:pStyle w:val="Heading2"/>
        <w:spacing w:after="120" w:before="240"/>
      </w:pPr>
      <w:r>
        <w:rPr>
          <w:b/>
          <w:bCs/>
          <w:color w:val="2E74B5"/>
          <w:sz w:val="24"/>
          <w:szCs w:val="24"/>
        </w:rPr>
        <w:t xml:space="preserve">4.11 2025年度权益分派已完成，2026年半年度不分红</w:t>
      </w:r>
    </w:p>
    <w:p>
      <w:pPr>
        <w:spacing w:after="160" w:line="300"/>
      </w:pPr>
      <w:r>
        <w:rPr>
          <w:sz w:val="22"/>
          <w:szCs w:val="22"/>
        </w:rPr>
        <w:t xml:space="preserve">公司2025年度权益分派已于2026年6月实施，每10股派发现金红利2.70元，股权登记日为2026年6月10日，除权除息日为2026年6月11日。2026年半年度报告摘要显示，董事会审议的半年度报告期利润分配预案为不派发现金红利、不送红股、不以公积金转增股本。</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史丹利（002588）</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7.82元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-0.31元，跌幅-3.81%</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8.08元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当日最高/最低</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8.10元/7.76元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约23.83万手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约1.87亿元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2.78%</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约90.1亿元/约67.1亿元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动态市盈率（TTM）/市净率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约9.28倍/约1.16倍</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近52周高点/低点</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11.85元/7.62元；高点日期为2026年3月13日，低点日期为2026年8月24日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年内价格区间及涨跌幅</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7.62~11.85元；年内涨跌幅约-19.17%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近5个交易日约1.52亿~3.46亿元，平均约2.33亿元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近期换手率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近5个交易日约2.18%~4.81%，平均约3.28%</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8.20元/8.16元/8.13元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收盘价7.82元低于三条均线，分别低于约4.66%、4.12%和3.84%；均线距离较近，但股价已跌破均线密集区，短线偏弱。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 DIF/DEA/柱</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-0.09/-0.11/+0.03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DIF和DEA均位于零轴下方，DIF高于DEA且柱值为正，属于弱势区间内的修复或反弹结构，尚不能视为趋势反转确认。</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RSI6/RSI12/RSI24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34.8/40.1/42.6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RSI6接近30附近的弱势区但尚未进入传统意义上的超卖区，中长期周期指标整体偏弱。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布林带上轨/中轨/下轨</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8.76元/8.13元/7.50元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股价处于下轨与中轨之间，距离中轨约0.31元、距离下轨约0.32元；若不能重新站回8.13元附近，技术面仍偏弱，若下破7.50元则可能打开进一步探底空间。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近期价格与成交特征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2026年9月8日收盘8.53元、成交额3.46亿元；9月9日至11日收盘分别为8.47元、8.13元、7.82元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9月8日放量上涨后连续回落，9月10日和11日跌幅均超过4%；成交额虽高于9月3日的0.77亿元，但价格未能维持8.50元上方，反弹承接力度不足。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主力资金流向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9月11日净流出约780万元；最近10个交易日合计净流出约9535万元，其中1日净流入、9日净流出；最近5个交易日连续净流出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短期资金面偏空。该指标按成交单大小划分，不等同于真实机构身份，可能受大单拆分、对倒或成交结构影响。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筹码成本估算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平均成本8.39元；中位成本8.30元；70%筹码成本区间7.90~8.70元；获利盘约11.9%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最新股价低于7.90元筹码区间下沿及8.30元中位成本，估算约88.1%筹码处于浮亏状态；该数据为历史成交价和换手率估算，并非上市公司披露的逐户持仓成本。</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前十大流通股东集中度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截至2026年3月31日，前十大流通股东合计持有流通股约47.09%；可识别的公募基金、私募基金等机构类持股合计约6.86%</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集中度较高，但主要集中于控股股东及关联自然人，机构持股相对有限；数据距2026年9月行情约5个半月，当前股东结构可能已发生变化。</w:t>
            </w:r>
          </w:p>
        </w:tc>
      </w:tr>
    </w:tbl>
    <w:p>
      <w:pPr>
        <w:spacing w:before="200"/>
      </w:pPr>
    </w:p>
    <w:p>
      <w:pPr>
        <w:spacing w:after="160" w:line="300"/>
      </w:pPr>
      <w:r>
        <w:rPr>
          <w:sz w:val="22"/>
          <w:szCs w:val="22"/>
        </w:rPr>
        <w:t xml:space="preserve">截至2026年9月11日，史丹利收盘价7.82元，处于近52周价格区间7.62~11.85元的下沿，距离52周低点约0.20元。股价低于MA5、MA10和MA20，且位于布林带中轨8.13元与下轨7.50元之间，均线和位置指标显示短线偏弱。MACD仍处于零轴下方但柱值为正，反映弱势中的修复结构，尚未形成趋势反转确认；RSI6为34.8，接近弱势区但未进入传统超卖区。9月8日放量反弹后连续回落，最近5个交易日主力资金连续净流出，短期抛压和资金承接不足较为明显。</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风险提示：以下内容仅为基于2026年9月11日收盘数据、历史价格与技术指标的主观情景推演，不构成投资建议，也不是对未来价格的确定性预测。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8.10~8.20元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对应9月11日盘中高点8.10元、MA5约8.20元及MA10/MA20附近。若反弹但无法有效站稳，可能仍属于弱势反抽；若放量站稳，则可进一步观察8.30~8.50元区间。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7.75~7.90元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对应9月11日最低价7.76元、近期成交密集区下沿及7.90元附近筹码区间。若获得承接，可能围绕7.80元附近震荡；若放量跌破，需关注7.62元附近的52周低点。</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7.50~7.65元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对应布林带下轨约7.50元及52周低点7.62元。若缩量止跌，可能形成技术性反弹基础；若有效放量跌破，则可能打开进一步探底空间。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五成；为基于当前技术指标和资金流向的主观启发式权重，不是统计概率）：观察区间约7.75~8.20元。触发条件包括股价守住7.75~7.90元区域，主力资金净流出明显收窄，成交额维持在约1.5亿~2.5亿元，且没有明显行业或公司利空消息。技术上可能围绕7.80元附近震荡并尝试修复至8.13~8.16元，但若成交量不足，8.10~8.20元仍可能构成压力。</w:t>
      </w:r>
    </w:p>
    <w:p>
      <w:pPr>
        <w:pStyle w:val="ListParagraph"/>
        <w:numPr>
          <w:ilvl w:val="0"/>
          <w:numId w:val="2"/>
        </w:numPr>
        <w:spacing w:after="80" w:line="280"/>
      </w:pPr>
      <w:r>
        <w:rPr>
          <w:sz w:val="22"/>
          <w:szCs w:val="22"/>
        </w:rPr>
        <w:t xml:space="preserve">偏弱下行（权重中等，约三成；为主观启发式权重，不是统计概率）：观察区间约7.50~7.75元。触发条件包括7.75元附近被有效跌破、单日成交额明显高于近期正常水平、主力资金继续连续净流出，或基础化工/农化板块同步走弱。技术上可关注7.50元布林带下轨及7.62元附近52周低点；若7.50~7.65元区域也被放量跌破，短线弱势可能进一步延续。</w:t>
      </w:r>
    </w:p>
    <w:p>
      <w:pPr>
        <w:pStyle w:val="ListParagraph"/>
        <w:numPr>
          <w:ilvl w:val="0"/>
          <w:numId w:val="2"/>
        </w:numPr>
        <w:spacing w:after="80" w:line="280"/>
      </w:pPr>
      <w:r>
        <w:rPr>
          <w:sz w:val="22"/>
          <w:szCs w:val="22"/>
        </w:rPr>
        <w:t xml:space="preserve">反弹走强（相对权重偏低，约两成；为主观启发式权重，不是统计概率）：观察区间约8.20~8.50元。触发条件包括股价重新站上8.13元布林中轨及MA20并进一步突破8.20元，成交额持续高于近期均值，主力资金由连续净流出转为净流入，且板块环境配合。若有效突破8.20元，可进一步观察8.30~8.50元；若不能同步放量，突破可靠性较弱，仍可能回落至8.00元附近。</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换手率为2.78%，成交额为1.87亿元；近5个交易日成交额约1.52亿~3.46亿元，平均约2.33亿元，换手率约2.18%~4.81%，平均约3.28%，属于有一定流动性但并非高频活跃交易型股票。最近10个交易日主力资金合计净流出约9535万元，最近5个交易日连续净流出。股东数据方面，截至2026年6月30日股东户数约3.83万户，较2026年3月31日减少1617户、下降4.05%；截至2026年3月31日，前十大流通股东合计持股约47.09%，主要为控股股东及关联自然人，可识别的公募基金、私募基金等机构类持股合计约6.86%。由于前十大流通股东数据为2026年一季报口径，距当前行情约5个半月，实际机构持仓和股东结构可能已发生变化。上述结构意味着筹码集中度较高但主流机构持股相对有限，不能据此推断实时资金方向；结合近期成交额和换手率，股票具备一定交易流动性，但短期价格仍受到资金持续净流出的影响。</w:t>
      </w:r>
    </w:p>
    <w:p>
      <w:pPr>
        <w:spacing w:after="160" w:line="300"/>
      </w:pPr>
      <w:r>
        <w:rPr>
          <w:sz w:val="22"/>
          <w:szCs w:val="22"/>
        </w:rPr>
        <w:t xml:space="preserve">可复核的成交量确认信号：若未来一周连续两日成交额达到或超过约3.0亿元，且股价同步重新站上8.13~8.20元、主力资金不再连续净流出，可视为短线资金承接改善的观察信号；若放量发生在跌破7.75元之后，则更应理解为抛压释放，而非单纯的资金介入信号。</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观察7.75~7.90元区域能否形成有效支撑，若放量跌破则关注7.50~7.65元强支撑区。</w:t>
      </w:r>
    </w:p>
    <w:p>
      <w:pPr>
        <w:pStyle w:val="ListParagraph"/>
        <w:numPr>
          <w:ilvl w:val="0"/>
          <w:numId w:val="2"/>
        </w:numPr>
        <w:spacing w:after="80" w:line="280"/>
      </w:pPr>
      <w:r>
        <w:rPr>
          <w:sz w:val="22"/>
          <w:szCs w:val="22"/>
        </w:rPr>
        <w:t xml:space="preserve">观察股价能否重新站上8.13~8.20元的均线及布林中轨密集区，并关注是否伴随成交额放大。</w:t>
      </w:r>
    </w:p>
    <w:p>
      <w:pPr>
        <w:pStyle w:val="ListParagraph"/>
        <w:numPr>
          <w:ilvl w:val="0"/>
          <w:numId w:val="2"/>
        </w:numPr>
        <w:spacing w:after="80" w:line="280"/>
      </w:pPr>
      <w:r>
        <w:rPr>
          <w:sz w:val="22"/>
          <w:szCs w:val="22"/>
        </w:rPr>
        <w:t xml:space="preserve">观察最近5个交易日主力资金连续净流出是否收窄或转为净流入。</w:t>
      </w:r>
    </w:p>
    <w:p>
      <w:pPr>
        <w:pStyle w:val="ListParagraph"/>
        <w:numPr>
          <w:ilvl w:val="0"/>
          <w:numId w:val="2"/>
        </w:numPr>
        <w:spacing w:after="80" w:line="280"/>
      </w:pPr>
      <w:r>
        <w:rPr>
          <w:sz w:val="22"/>
          <w:szCs w:val="22"/>
        </w:rPr>
        <w:t xml:space="preserve">观察成交额能否连续两日达到或超过约3.0亿元并与价格向上突破同步。以上均为观察思路，非买入、卖出或持有指令。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复合肥行业总体呈现“产能总量过剩、优质产能不足、结构性紧平衡”，行业前三大企业合计市场份额仍不到30%；环保、能耗、安全生产和资金要求提高，中小产能加速退出。磷肥行业资源、装置和政策约束更强，磷矿资源储量和自给率、硫磺及合成氨保障、大型化连续化装置、磷石膏综合利用及环保能耗达标能力是重要竞争要素。上述行业前三名合计市场份额数据来自史丹利2025年年度报告中的行业判断，报告未在该段落提供具体第三方统计表，属于公司年报披露口径。</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复合肥行业主要形成全国性龙头企业、区域性强势企业和中小型生产企业三类参与者，竞争由单纯价格竞争转向品牌、渠道下沉、专用肥和新型肥料研发、农化服务、原材料保障、产业链一体化及物流效率竞争。</w:t>
      </w:r>
    </w:p>
    <w:p>
      <w:pPr>
        <w:pStyle w:val="ListParagraph"/>
        <w:numPr>
          <w:ilvl w:val="0"/>
          <w:numId w:val="2"/>
        </w:numPr>
        <w:spacing w:after="80" w:line="280"/>
      </w:pPr>
      <w:r>
        <w:rPr>
          <w:sz w:val="22"/>
          <w:szCs w:val="22"/>
        </w:rPr>
        <w:t xml:space="preserve">磷肥新增产能受到较强政策约束，行业供给相对刚性；拥有磷矿资源和完整磷化工产业链的企业，通常在成本和抗周期能力上强于单纯复合肥加工企业。</w:t>
      </w:r>
    </w:p>
    <w:p>
      <w:pPr>
        <w:pStyle w:val="ListParagraph"/>
        <w:numPr>
          <w:ilvl w:val="0"/>
          <w:numId w:val="2"/>
        </w:numPr>
        <w:spacing w:after="80" w:line="280"/>
      </w:pPr>
      <w:r>
        <w:rPr>
          <w:sz w:val="22"/>
          <w:szCs w:val="22"/>
        </w:rPr>
        <w:t xml:space="preserve">史丹利通过松滋、承德等基地补充磷肥及磷化工产能，具备一定一体化协同能力，但相较拥有较强磷矿资源储备和采矿能力的企业，资源端壁垒仍相对弱。</w:t>
      </w:r>
    </w:p>
    <w:p>
      <w:pPr>
        <w:pStyle w:val="ListParagraph"/>
        <w:numPr>
          <w:ilvl w:val="0"/>
          <w:numId w:val="2"/>
        </w:numPr>
        <w:spacing w:after="80" w:line="280"/>
      </w:pPr>
      <w:r>
        <w:rPr>
          <w:sz w:val="22"/>
          <w:szCs w:val="22"/>
        </w:rPr>
        <w:t xml:space="preserve">不同公司对复合肥产能、磷铵产能和磷复肥销量的统计口径可能不同，各家公司数据不能简单相加比较。</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新洋丰农业科技股份有限公司（000902）</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磷肥、常规复合肥、新型复合肥，并向磷系新能源材料、精细化工和磷石膏建材延伸。</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业收入180.48亿元，其中磷复肥收入170.48亿元；复合肥销量464.96万吨。拥有自有磷矿资源、全国14大生产基地，各类磷肥和复合肥年产能超过1000万吨。相较史丹利，规模、磷矿资源和一体化能力更强；史丹利在品牌知名度、终端网点、农化服务和全国渠道深度方面相对突出。</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云南云天化股份有限公司（600096）</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资源和化工属性更强的综合性化肥企业，覆盖磷矿采选、磷化工、磷肥、氮肥、复合肥、聚甲醛、磷酸铁及商贸物流。</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2025年自产磷肥销量450.41万吨，复合肥销量204.27万吨，磷肥产能555万吨/年。依托磷矿资源、合成氨和煤炭等资源，上游一体化能力较强；相较云天化，史丹利更偏复合肥品牌、渠道、产品矩阵和农化服务。</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金正大生态工程集团股份有限公司（002470）</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常规复合肥、新型肥料、磷肥、土壤调理剂及种植业解决方案。</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缓控释肥、水溶肥、液体肥、微生物肥和土壤调理剂等产品及技术平台布局较多，与史丹利在复合肥、功能肥和农化服务方面重叠。相较史丹利，其新型肥料和技术标签较突出；史丹利在经营规模、品牌渠道稳定性和全国终端覆盖方面更具优势。</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深圳市芭田生态工程股份有限公司（002170）</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复合肥、磷矿石及新型肥料，并涉及磷矿资源开发、土壤改良、节水农业和相关化工材料。</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2025年营业收入约50.57亿元，其中复合肥收入28.03亿元，占55.43%；磷矿石收入21.62亿元，占42.75%。相较史丹利，芭田资源属性更明显，但全国渠道、品牌规模和复合肥收入体量较小。</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云图控股股份有限公司（002539）</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复合肥、磷肥、盐化工、联碱、黄磷及其他化工产品，具有一定资源和基础化工配套能力。</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与史丹利均涉及复合肥和磷化工，均受尿素、磷矿石、硫磺、钾肥等原料价格影响，并通过规模和自有配套降低成本。云图控股更偏“盐化工＋磷化工＋复合肥”综合化工模式，史丹利更集中于复合肥品牌、渠道和农化服务。</w:t>
            </w:r>
          </w:p>
        </w:tc>
      </w:tr>
    </w:tbl>
    <w:p>
      <w:pPr>
        <w:spacing w:before="200"/>
      </w:pPr>
    </w:p>
    <w:p>
      <w:pPr>
        <w:spacing w:after="160" w:line="300"/>
      </w:pPr>
      <w:r>
        <w:rPr>
          <w:sz w:val="22"/>
          <w:szCs w:val="22"/>
        </w:rPr>
        <w:t xml:space="preserve">史丹利的核心竞争力在于“品牌＋全国生产基地＋经销商网络＋农化服务＋产品矩阵”，并通过松滋、承德等基地向磷肥及磷化工延伸。与新洋丰相比，史丹利规模和磷矿资源一体化能力相对弱，但终端渠道和农化服务更突出；与云天化相比，史丹利资源和化工属性较弱，但复合肥品牌、产品矩阵和渠道深度更强；与金正大相比，史丹利经营规模、品牌渠道稳定性和全国覆盖更具优势；与芭田相比，史丹利资源属性较弱，但复合肥体量和终端运营能力更强；与云图控股相比，史丹利更偏复合肥品牌、渠道和服务，而云图控股更偏综合化工一体化。</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原材料价格上涨风险：2026年上半年硫磺价格一度大幅上涨，已对磷肥业务成本造成冲击；公司磷复肥材料成本占相关成本82.77%，而尿素、氯化钾、硫磺和合成氨等关键原料仍具有较强外部采购属性，成本上涨未必能够及时向下游传导。</w:t>
      </w:r>
    </w:p>
    <w:p>
      <w:pPr>
        <w:pStyle w:val="ListParagraph"/>
        <w:numPr>
          <w:ilvl w:val="0"/>
          <w:numId w:val="2"/>
        </w:numPr>
        <w:spacing w:after="80" w:line="280"/>
      </w:pPr>
      <w:r>
        <w:rPr>
          <w:sz w:val="22"/>
          <w:szCs w:val="22"/>
        </w:rPr>
        <w:t xml:space="preserve">磷肥政策及盈利波动风险：湖北宜化松滋肥业受磷肥出口政策调整、内销限价和原料成本上升影响，2026年上半年权益法投资收益转为-1518.52万元；若出口和国内供应政策继续压制产品价格，磷肥业务及相关投资收益可能持续拖累利润。</w:t>
      </w:r>
    </w:p>
    <w:p>
      <w:pPr>
        <w:pStyle w:val="ListParagraph"/>
        <w:numPr>
          <w:ilvl w:val="0"/>
          <w:numId w:val="2"/>
        </w:numPr>
        <w:spacing w:after="80" w:line="280"/>
      </w:pPr>
      <w:r>
        <w:rPr>
          <w:sz w:val="22"/>
          <w:szCs w:val="22"/>
        </w:rPr>
        <w:t xml:space="preserve">经营现金流和营运资金风险：2026年上半年经营活动现金流量净额为-11.45亿元，明显低于上年同期；公司解释涉及期初预收款、采购商品支付现金增加及上年同期出口收款基数较高，但预付款项约占2025年营业收入4.03%，采购和备货仍可能形成资金占用。</w:t>
      </w:r>
    </w:p>
    <w:p>
      <w:pPr>
        <w:pStyle w:val="ListParagraph"/>
        <w:numPr>
          <w:ilvl w:val="0"/>
          <w:numId w:val="2"/>
        </w:numPr>
        <w:spacing w:after="80" w:line="280"/>
      </w:pPr>
      <w:r>
        <w:rPr>
          <w:sz w:val="22"/>
          <w:szCs w:val="22"/>
        </w:rPr>
        <w:t xml:space="preserve">新项目投产及盈利兑现风险：磷酸铁装置目前处于试生产阶段，氟化铝项目尚预计于2026年10月至11月试生产，广西绿色肥料项目虽已基本建设完成但尚未披露确定盈利贡献；项目可能面临达产进度、产品质量、客户认证、市场价格和折旧成本压力。</w:t>
      </w:r>
    </w:p>
    <w:p>
      <w:pPr>
        <w:pStyle w:val="ListParagraph"/>
        <w:numPr>
          <w:ilvl w:val="0"/>
          <w:numId w:val="2"/>
        </w:numPr>
        <w:spacing w:after="80" w:line="280"/>
      </w:pPr>
      <w:r>
        <w:rPr>
          <w:sz w:val="22"/>
          <w:szCs w:val="22"/>
        </w:rPr>
        <w:t xml:space="preserve">资源保障能力相对不足风险：公司具备磷铵、精制磷酸等产能，但2025年年报未披露明确的自有磷矿储量数据，相较拥有较强磷矿资源和采矿能力的竞争者，公司上游资源成本和抗周期能力相对有限。</w:t>
      </w:r>
    </w:p>
    <w:p>
      <w:pPr>
        <w:pStyle w:val="ListParagraph"/>
        <w:numPr>
          <w:ilvl w:val="0"/>
          <w:numId w:val="2"/>
        </w:numPr>
        <w:spacing w:after="80" w:line="280"/>
      </w:pPr>
      <w:r>
        <w:rPr>
          <w:sz w:val="22"/>
          <w:szCs w:val="22"/>
        </w:rPr>
        <w:t xml:space="preserve">主营利润率提升不及预期风险：2025年整体毛利率约18.15%，新型肥料及其他业务毛利率17.01%，低于氯基复合肥20.04%；若新型肥料、专用肥及磷化工产品占比提升不及预期，或新项目带来的燃料、折旧等成本上升，整体利润率可能继续承压。</w:t>
      </w:r>
    </w:p>
    <w:p>
      <w:pPr>
        <w:pStyle w:val="ListParagraph"/>
        <w:numPr>
          <w:ilvl w:val="0"/>
          <w:numId w:val="2"/>
        </w:numPr>
        <w:spacing w:after="80" w:line="280"/>
      </w:pPr>
      <w:r>
        <w:rPr>
          <w:sz w:val="22"/>
          <w:szCs w:val="22"/>
        </w:rPr>
        <w:t xml:space="preserve">控股股东股份质押风险：质押事项完成后，控股股东及一致行动人合计质押股份占其合计持股25.20%、占公司总股本13.22%；公司公告称暂无控制权变化和平仓风险，但若股价持续下行，仍需关注质押担保和股东流动性变化。</w:t>
      </w:r>
    </w:p>
    <w:p>
      <w:pPr>
        <w:pStyle w:val="ListParagraph"/>
        <w:numPr>
          <w:ilvl w:val="0"/>
          <w:numId w:val="2"/>
        </w:numPr>
        <w:spacing w:after="80" w:line="280"/>
      </w:pPr>
      <w:r>
        <w:rPr>
          <w:sz w:val="22"/>
          <w:szCs w:val="22"/>
        </w:rPr>
        <w:t xml:space="preserve">股价及资金面偏弱风险：截至2026年9月11日股价7.82元，低于多条短期均线，近5个交易日主力资金连续净流出，且约88.1%的估算筹码处于浮亏状态；若股价放量跌破7.50至7.65元支撑区域，短期波动和下行压力可能进一步加大。</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中长期增长逻辑主要来自复合肥销量和渠道覆盖的持续扩张、磷肥及精制酸等产品放量，以及新型肥料、专用肥和农化服务占比提升。全国32个省市自治区的销售网络、超过20万家终端网点和较低的客户集中度，有助于维持销售稳定性；同时，松滋、承德等基地提供了一定的磷肥及磷化工协同能力。</w:t>
      </w:r>
    </w:p>
    <w:p>
      <w:pPr>
        <w:spacing w:after="160" w:line="300"/>
      </w:pPr>
      <w:r>
        <w:rPr>
          <w:sz w:val="22"/>
          <w:szCs w:val="22"/>
        </w:rPr>
        <w:t xml:space="preserve">短期业绩仍处于盈利修复阶段。2026年上半年复合肥业务产销量及毛利总体稳定，但磷肥出口政策调整、内销限价和原料上涨压制了相关业务利润，投资收益同比大幅下降也放大了归母净利润波动。若硫磺、矿石等成本压力继续缓解，并且磷酸铁、氟化铝及绿色肥料项目按计划推进，盈利有望逐步改善；但项目贡献节奏和原料价格变化仍是业绩兑现的关键变量。</w:t>
      </w:r>
    </w:p>
    <w:p>
      <w:pPr>
        <w:spacing w:after="160" w:line="300"/>
      </w:pPr>
      <w:r>
        <w:rPr>
          <w:sz w:val="22"/>
          <w:szCs w:val="22"/>
        </w:rPr>
        <w:t xml:space="preserve">从估值看，公司当前市盈率和市净率处于较低水平，但低估值同时反映了磷肥业务周期波动、资源端相对弱于拥有自有磷矿的竞争者、现金流阶段性转弱以及新项目盈利不确定性。后续应重点关注磷肥价差与原料成本、经营现金流改善、投资收益变化、在建项目试生产后的实际贡献，以及股价能否重新站上8.13至8.20元技术压力区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史丹利(002588)_公司公告_史丹利：2026年半年度报告新浪财经_新浪网 — https://money.finance.sina.com.cn/corp/view/vCB_AllBulletinDetail.php?id=12506571&amp;stockid=002588</w:t>
      </w:r>
    </w:p>
    <w:p>
      <w:pPr>
        <w:spacing w:after="200"/>
      </w:pPr>
      <w:r>
        <w:rPr>
          <w:i/>
          <w:iCs/>
          <w:color w:val="595959"/>
          <w:sz w:val="18"/>
          <w:szCs w:val="18"/>
        </w:rPr>
        <w:t xml:space="preserve">史丹利(002588)公告(全部) - 理杏仁 — https://www.lixinger.com/equity/company/detail/sz/002588/2588/announcement?type=all&amp;utm_source=openai</w:t>
      </w:r>
    </w:p>
    <w:p>
      <w:pPr>
        <w:spacing w:after="200"/>
      </w:pPr>
      <w:r>
        <w:rPr>
          <w:i/>
          <w:iCs/>
          <w:color w:val="595959"/>
          <w:sz w:val="18"/>
          <w:szCs w:val="18"/>
        </w:rPr>
        <w:t xml:space="preserve">史丹利(002588)_公司公告_史丹利：投资者关系管理信息20260821新浪财经_新浪网 — https://money.finance.sina.com.cn/corp/view/vCB_AllBulletinDetail.php?id=12514813&amp;stockid=002588</w:t>
      </w:r>
    </w:p>
    <w:p>
      <w:pPr>
        <w:spacing w:after="200"/>
      </w:pPr>
      <w:r>
        <w:rPr>
          <w:i/>
          <w:iCs/>
          <w:color w:val="595959"/>
          <w:sz w:val="18"/>
          <w:szCs w:val="18"/>
        </w:rPr>
        <w:t xml:space="preserve">史丹利: 关于控股股东部分股份解除质押及再质押的公告_股票频道_证券之星 — https://stock.stockstar.com/notice/SN2026081300027753.shtml</w:t>
      </w:r>
    </w:p>
    <w:p>
      <w:pPr>
        <w:spacing w:after="200"/>
      </w:pPr>
      <w:r>
        <w:rPr>
          <w:i/>
          <w:iCs/>
          <w:color w:val="595959"/>
          <w:sz w:val="18"/>
          <w:szCs w:val="18"/>
        </w:rPr>
        <w:t xml:space="preserve">史丹利(002588) 最新动态_F10_同花顺金融服务网 — https://basic.10jqka.com.cn/002588/?utm_source=openai</w:t>
      </w:r>
    </w:p>
    <w:p>
      <w:pPr>
        <w:spacing w:after="200"/>
      </w:pPr>
      <w:r>
        <w:rPr>
          <w:i/>
          <w:iCs/>
          <w:color w:val="595959"/>
          <w:sz w:val="18"/>
          <w:szCs w:val="18"/>
        </w:rPr>
        <w:t xml:space="preserve">史丹利(002588)_公司公告_史丹利：2026年半年度报告新浪财经_新浪网 — https://money.finance.sina.com.cn/corp/view/vCB_AllBulletinDetail.php?id=12506571&amp;stockid=002588&amp;utm_source=openai</w:t>
      </w:r>
    </w:p>
    <w:p>
      <w:pPr>
        <w:spacing w:after="200"/>
      </w:pPr>
      <w:r>
        <w:rPr>
          <w:i/>
          <w:iCs/>
          <w:color w:val="595959"/>
          <w:sz w:val="18"/>
          <w:szCs w:val="18"/>
        </w:rPr>
        <w:t xml:space="preserve">证券代码：002588 — https://static.cninfo.com.cn/finalpage/2024-07-03/1220518902.PDF?utm_source=openai</w:t>
      </w:r>
    </w:p>
    <w:p>
      <w:pPr>
        <w:spacing w:after="200"/>
      </w:pPr>
      <w:r>
        <w:rPr>
          <w:i/>
          <w:iCs/>
          <w:color w:val="595959"/>
          <w:sz w:val="18"/>
          <w:szCs w:val="18"/>
        </w:rPr>
        <w:t xml:space="preserve">证券代码：002588  证券简称：史丹利  公告编号：2026-023 — https://static.cninfo.com.cn/finalpage/2026-06-05/1225352841.PDF?utm_source=openai</w:t>
      </w:r>
    </w:p>
    <w:p>
      <w:pPr>
        <w:spacing w:after="200"/>
      </w:pPr>
      <w:r>
        <w:rPr>
          <w:i/>
          <w:iCs/>
          <w:color w:val="595959"/>
          <w:sz w:val="18"/>
          <w:szCs w:val="18"/>
        </w:rPr>
        <w:t xml:space="preserve">史丹利(002588)_公司公告_史丹利：2026年半年度报告摘要新浪财经_新浪网 — https://money.finance.sina.com.cn/corp/view/vCB_AllBulletinDetail.php?id=12506569&amp;stockid=002588&amp;utm_source=openai</w:t>
      </w:r>
    </w:p>
    <w:p>
      <w:pPr>
        <w:spacing w:after="200"/>
      </w:pPr>
      <w:r>
        <w:rPr>
          <w:i/>
          <w:iCs/>
          <w:color w:val="595959"/>
          <w:sz w:val="18"/>
          <w:szCs w:val="18"/>
        </w:rPr>
        <w:t xml:space="preserve">证券代码：002588　　证券简称：史丹利　　公告编号：2026-017 — https://static.cninfo.com.cn/finalpage/2026-04-22/1225137775.PDF?utm_source=openai</w:t>
      </w:r>
    </w:p>
    <w:p>
      <w:pPr>
        <w:spacing w:after="200"/>
      </w:pPr>
      <w:r>
        <w:rPr>
          <w:i/>
          <w:iCs/>
          <w:color w:val="595959"/>
          <w:sz w:val="18"/>
          <w:szCs w:val="18"/>
        </w:rPr>
        <w:t xml:space="preserve">史丹利(002588)_股票行情，行情首页_中财网 — https://quote.cfi.cn/002588.html</w:t>
      </w:r>
    </w:p>
    <w:p>
      <w:pPr>
        <w:spacing w:after="200"/>
      </w:pPr>
      <w:r>
        <w:rPr>
          <w:i/>
          <w:iCs/>
          <w:color w:val="595959"/>
          <w:sz w:val="18"/>
          <w:szCs w:val="18"/>
        </w:rPr>
        <w:t xml:space="preserve">史丹利(002588.SZ) 股票行情_历史数据_主力资金 - 大波浪数据 — https://www.yyqyx.com/s/002588.SZ</w:t>
      </w:r>
    </w:p>
    <w:p>
      <w:pPr>
        <w:spacing w:after="200"/>
      </w:pPr>
      <w:r>
        <w:rPr>
          <w:i/>
          <w:iCs/>
          <w:color w:val="595959"/>
          <w:sz w:val="18"/>
          <w:szCs w:val="18"/>
        </w:rPr>
        <w:t xml:space="preserve">本报告由AI基于公开渠道信息自动检索、整理并生成，信息截至 数据截至2026年9月11日收盘，研究时点为2026年9月13日；部分行情因复权口径、数据延迟及四舍五入存在约0.01元差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2026-09-13T16:11:43.284Z</dcterms:created>
  <dcterms:modified xsi:type="dcterms:W3CDTF">2026-09-13T16:11:43.284Z</dcterms:modified>
</cp:coreProperties>
</file>

<file path=docProps/custom.xml><?xml version="1.0" encoding="utf-8"?>
<Properties xmlns="http://schemas.openxmlformats.org/officeDocument/2006/custom-properties" xmlns:vt="http://schemas.openxmlformats.org/officeDocument/2006/docPropsVTypes"/>
</file>