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福建雪人集团股份有限公司（雪人集团，原证券简称“雪人股份”） (002639)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行业：制冷装备与工程技术服务</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截至2026年9月11日收盘；技术指标为日线、不复权口径，主要来自单一技术数据源测算；股东数据截至2026年6月30日，存在季度滞后。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雪人集团2026年上半年实现营业收入12.25亿元，同比增长27.60%，但归母净利润仅618.87万元，同比下降76.99%，扣非归母净利润亏损136.53万元；同期经营活动现金流净额为-9419.76万元。公司当前呈现收入扩张与主营盈利、现金流承压并存的特征，且截至2026年9月11日股价约13.18元，对应动态市盈率约649—675倍，估值对未来盈利修复和新业务放量的预期较为敏感。</w:t>
      </w:r>
    </w:p>
    <w:p>
      <w:pPr>
        <w:spacing w:after="160" w:line="300"/>
      </w:pPr>
      <w:r>
        <w:rPr>
          <w:sz w:val="22"/>
          <w:szCs w:val="22"/>
        </w:rPr>
        <w:t xml:space="preserve">公司核心业务仍为制冷设备、压缩机及系统集成，2025年制冷设备生产制造及其他业务收入16.44亿元、油气技术服务收入7.28亿元，分别占总收入65.12%和28.85%；压缩机（组）收入10.86亿元，为第一大单项产品收入来源。制冰设备毛利率相对较高，但压缩机（组）2025年毛利率降至21.37%，较2024年下降5.76个百分点，原材料在制冷设备制造成本中的占比达到77.83%，盈利易受材料价格、产品结构和项目报价影响。</w:t>
      </w:r>
    </w:p>
    <w:p>
      <w:pPr>
        <w:spacing w:after="160" w:line="300"/>
      </w:pPr>
      <w:r>
        <w:rPr>
          <w:sz w:val="22"/>
          <w:szCs w:val="22"/>
        </w:rPr>
        <w:t xml:space="preserve">数据中心冷却系统集成2025年收入1.53亿元，同比下降19.85%，氢能及低温装备仍处于研发、项目建设和产业化准备阶段，尚未披露明确产能、达产时间或稳定订单；油气技术服务则受到投资收缩、服务价格下行、人工成本刚性上涨及部分项目产能利用率不足等因素影响。未来增长逻辑主要取决于制冷设备和压缩机订单、海外及高附加值制冰业务、油气服务恢复，以及数据中心冷却和氢能业务能否形成可验证的订单与规模化交付。</w:t>
      </w:r>
    </w:p>
    <w:p>
      <w:pPr>
        <w:spacing w:after="160" w:line="300"/>
      </w:pPr>
      <w:r>
        <w:rPr>
          <w:sz w:val="22"/>
          <w:szCs w:val="22"/>
        </w:rPr>
        <w:t xml:space="preserve">近期股价在9月2日至4日快速放量上涨后回落，9月11日收于13.18元，已低于MA5和MA10但仍高于MA20及布林中轨12.64元；最近三个交易日主力资金连续净流出。公司已提示近期股价上涨与业绩变化存在偏离，且截至相关披露日未发现新的重大并购、重组或未披露重大利好。</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002639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2011年12月5日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注册地址及总部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福建省福州市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林汝捷；截至2025年12月31日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25.25亿元，同比增长10.53%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制冰设备、制冷压缩机及系统集成，并拓展油气技术服务、数据中心冷却系统集成和氢能装备研发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核心技术及资源</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活塞式、螺杆式和离心式压缩机技术，SNOWKEY制冰设备品牌，280多项核心专利</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产量与产能说明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2025年制冷设备生产量22,289套、销售量22,301套、期末库存量3,480套；年报未披露设计产能，不能据此计算产能利用率</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制冷设备生产制造及其他：2025年收入16.44亿元，占营业收入65.12%，同比增长15.90%，毛利率25.54%</w:t>
      </w:r>
    </w:p>
    <w:p>
      <w:pPr>
        <w:pStyle w:val="ListParagraph"/>
        <w:numPr>
          <w:ilvl w:val="0"/>
          <w:numId w:val="2"/>
        </w:numPr>
        <w:spacing w:after="80" w:line="280"/>
      </w:pPr>
      <w:r>
        <w:rPr>
          <w:sz w:val="22"/>
          <w:szCs w:val="22"/>
        </w:rPr>
        <w:t xml:space="preserve">油气技术服务：2025年收入7.28亿元，占营业收入28.85%，同比增长7.80%，毛利率15.16%</w:t>
      </w:r>
    </w:p>
    <w:p>
      <w:pPr>
        <w:pStyle w:val="ListParagraph"/>
        <w:numPr>
          <w:ilvl w:val="0"/>
          <w:numId w:val="2"/>
        </w:numPr>
        <w:spacing w:after="80" w:line="280"/>
      </w:pPr>
      <w:r>
        <w:rPr>
          <w:sz w:val="22"/>
          <w:szCs w:val="22"/>
        </w:rPr>
        <w:t xml:space="preserve">数据中心冷却系统集成：2025年收入1.53亿元，占营业收入6.04%，同比下降19.85%，毛利率13.87%</w:t>
      </w:r>
    </w:p>
    <w:p>
      <w:pPr>
        <w:pStyle w:val="ListParagraph"/>
        <w:numPr>
          <w:ilvl w:val="0"/>
          <w:numId w:val="2"/>
        </w:numPr>
        <w:spacing w:after="80" w:line="280"/>
      </w:pPr>
      <w:r>
        <w:rPr>
          <w:sz w:val="22"/>
          <w:szCs w:val="22"/>
        </w:rPr>
        <w:t xml:space="preserve">压缩机（组）：2025年收入10.86亿元，占营业收入42.99%，同比增长18.18%，毛利率21.37%，为第一大单项产品收入来源</w:t>
      </w:r>
    </w:p>
    <w:p>
      <w:pPr>
        <w:pStyle w:val="ListParagraph"/>
        <w:numPr>
          <w:ilvl w:val="0"/>
          <w:numId w:val="2"/>
        </w:numPr>
        <w:spacing w:after="80" w:line="280"/>
      </w:pPr>
      <w:r>
        <w:rPr>
          <w:sz w:val="22"/>
          <w:szCs w:val="22"/>
        </w:rPr>
        <w:t xml:space="preserve">制冰设备：2025年收入5.50亿元，占营业收入21.78%，同比增长12.48%，毛利率33.14%</w:t>
      </w:r>
    </w:p>
    <w:p>
      <w:pPr>
        <w:pStyle w:val="ListParagraph"/>
        <w:numPr>
          <w:ilvl w:val="0"/>
          <w:numId w:val="2"/>
        </w:numPr>
        <w:spacing w:after="80" w:line="280"/>
      </w:pPr>
      <w:r>
        <w:rPr>
          <w:sz w:val="22"/>
          <w:szCs w:val="22"/>
        </w:rPr>
        <w:t xml:space="preserve">氢能源及低温装备：围绕燃料电池动力系统及核心零部件、燃料电池空压机、氢气循环泵、燃料电池电堆以及液氢、低温装备开展研发和产业化准备；截至2025年12月31日未披露明确设计产能、达产时间和稳定订单</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雪人集团处于制冷装备产业链中游，业务形态为“核心设备制造+系统集成+工程技术服务”。公司向上游采购金属材料、机电零部件并使用专业外协，向下游服务于冷链、食品、医药、石化、油气、数据中心及大型能源企业等客户。其价值创造主要来自压缩机技术、制冰设备品牌、系统集成和项目交付能力，而非上游资源垄断或下游消费品牌溢价。</w:t>
      </w:r>
    </w:p>
    <w:p>
      <w:pPr>
        <w:pStyle w:val="ListParagraph"/>
        <w:numPr>
          <w:ilvl w:val="0"/>
          <w:numId w:val="2"/>
        </w:numPr>
        <w:spacing w:after="80" w:line="280"/>
      </w:pPr>
      <w:r>
        <w:rPr>
          <w:sz w:val="22"/>
          <w:szCs w:val="22"/>
        </w:rPr>
        <w:t xml:space="preserve">制冷设备及压缩机产品实际采购钢材、铸件、铜材、电机、阀门、换热器、控制器、电子元件和密封件等金属材料及机电零部件，并发生委托加工、人工、折旧和动力费用。</w:t>
      </w:r>
    </w:p>
    <w:p>
      <w:pPr>
        <w:pStyle w:val="ListParagraph"/>
        <w:numPr>
          <w:ilvl w:val="0"/>
          <w:numId w:val="2"/>
        </w:numPr>
        <w:spacing w:after="80" w:line="280"/>
      </w:pPr>
      <w:r>
        <w:rPr>
          <w:sz w:val="22"/>
          <w:szCs w:val="22"/>
        </w:rPr>
        <w:t xml:space="preserve">2025年制冷设备生产制造及其他业务成本中，原材料9.53亿元，占该类业务成本77.83%；人工成本1.36亿元，占11.14%；折旧摊销3,546万元，占2.90%；委托加工费4,357万元，占3.56%；动力费用1,409.5万元，占1.15%；其他成本4,193万元，占3.42%。</w:t>
      </w:r>
    </w:p>
    <w:p>
      <w:pPr>
        <w:pStyle w:val="ListParagraph"/>
        <w:numPr>
          <w:ilvl w:val="0"/>
          <w:numId w:val="2"/>
        </w:numPr>
        <w:spacing w:after="80" w:line="280"/>
      </w:pPr>
      <w:r>
        <w:rPr>
          <w:sz w:val="22"/>
          <w:szCs w:val="22"/>
        </w:rPr>
        <w:t xml:space="preserve">公司未披露钢材、铜材、电机、控制系统等具体原材料的分项采购金额，因此不能进一步推断单项原材料成本占比。</w:t>
      </w:r>
    </w:p>
    <w:p>
      <w:pPr>
        <w:pStyle w:val="ListParagraph"/>
        <w:numPr>
          <w:ilvl w:val="0"/>
          <w:numId w:val="2"/>
        </w:numPr>
        <w:spacing w:after="80" w:line="280"/>
      </w:pPr>
      <w:r>
        <w:rPr>
          <w:sz w:val="22"/>
          <w:szCs w:val="22"/>
        </w:rPr>
        <w:t xml:space="preserve">公司前五名供应商采购金额2.20亿元，占年度采购总额11.63%；从披露数据看供应商集中度不高，暂未显示对单一供应商存在明显依赖。</w:t>
      </w:r>
    </w:p>
    <w:p>
      <w:pPr>
        <w:pStyle w:val="ListParagraph"/>
        <w:numPr>
          <w:ilvl w:val="0"/>
          <w:numId w:val="2"/>
        </w:numPr>
        <w:spacing w:after="80" w:line="280"/>
      </w:pPr>
      <w:r>
        <w:rPr>
          <w:sz w:val="22"/>
          <w:szCs w:val="22"/>
        </w:rPr>
        <w:t xml:space="preserve">公司属于明显的材料成本驱动型装备制造企业，对钢材、铜材、铸件、机电零部件及外协加工价格的议价能力有限，毛利率易受材料成本、外协价格、产品结构和项目报价影响。</w:t>
      </w:r>
    </w:p>
    <w:p>
      <w:pPr>
        <w:pStyle w:val="ListParagraph"/>
        <w:numPr>
          <w:ilvl w:val="0"/>
          <w:numId w:val="2"/>
        </w:numPr>
        <w:spacing w:after="80" w:line="280"/>
      </w:pPr>
      <w:r>
        <w:rPr>
          <w:sz w:val="22"/>
          <w:szCs w:val="22"/>
        </w:rPr>
        <w:t xml:space="preserve">制冰及制冷设备下游包括食品加工企业、商超及冷链物流企业、医药企业、石油化工企业、远洋捕捞、混凝土及矿井降温等客户，通常采用项目制、定制化采购，重视能效、可靠性、全生命周期运维和工程交付能力。</w:t>
      </w:r>
    </w:p>
    <w:p>
      <w:pPr>
        <w:pStyle w:val="ListParagraph"/>
        <w:numPr>
          <w:ilvl w:val="0"/>
          <w:numId w:val="2"/>
        </w:numPr>
        <w:spacing w:after="80" w:line="280"/>
      </w:pPr>
      <w:r>
        <w:rPr>
          <w:sz w:val="22"/>
          <w:szCs w:val="22"/>
        </w:rPr>
        <w:t xml:space="preserve">压缩机及制冷系统客户覆盖食品加工、生物医药、冷链物流、石油化工、油气处理、大科学工程、冰雪运动、空调热泵及氢能源装备等领域；大型工业客户及工程总包方通常具备较强议价能力。</w:t>
      </w:r>
    </w:p>
    <w:p>
      <w:pPr>
        <w:pStyle w:val="ListParagraph"/>
        <w:numPr>
          <w:ilvl w:val="0"/>
          <w:numId w:val="2"/>
        </w:numPr>
        <w:spacing w:after="80" w:line="280"/>
      </w:pPr>
      <w:r>
        <w:rPr>
          <w:sz w:val="22"/>
          <w:szCs w:val="22"/>
        </w:rPr>
        <w:t xml:space="preserve">油气技术服务客户集中于中石油、中石化、中海油及其产业链企业，项目金额较大、客户信用质量相对较高，但大型能源企业的招标和供应商准入体系会压制服务商议价能力，项目验收和交付节奏也会影响收入确认与回款。</w:t>
      </w:r>
    </w:p>
    <w:p>
      <w:pPr>
        <w:pStyle w:val="ListParagraph"/>
        <w:numPr>
          <w:ilvl w:val="0"/>
          <w:numId w:val="2"/>
        </w:numPr>
        <w:spacing w:after="80" w:line="280"/>
      </w:pPr>
      <w:r>
        <w:rPr>
          <w:sz w:val="22"/>
          <w:szCs w:val="22"/>
        </w:rPr>
        <w:t xml:space="preserve">数据中心冷却系统集成的下游包括IDC运营商、通信运营商、互联网公司及EPC/PC总包企业，客户更看重项目交付、安全性、能效指标和系统集成能力。杭州龙华已参与近百个数据中心建设和运维项目，合作方包括中国移动、中国电信、阿里系公司和华为等。</w:t>
      </w:r>
    </w:p>
    <w:p>
      <w:pPr>
        <w:pStyle w:val="ListParagraph"/>
        <w:numPr>
          <w:ilvl w:val="0"/>
          <w:numId w:val="2"/>
        </w:numPr>
        <w:spacing w:after="80" w:line="280"/>
      </w:pPr>
      <w:r>
        <w:rPr>
          <w:sz w:val="22"/>
          <w:szCs w:val="22"/>
        </w:rPr>
        <w:t xml:space="preserve">2025年公司前五大客户合计销售金额7.40亿元，占年度销售总额29.30%；第一大客户占17.00%。该数据为公司年报披露数据，但前五大客户具体名称未公开，无法判断第一大客户所属业务，也无法确认客户集中度变化趋势，具体以最新年报为准。</w:t>
      </w:r>
    </w:p>
    <w:p>
      <w:pPr>
        <w:pStyle w:val="ListParagraph"/>
        <w:numPr>
          <w:ilvl w:val="0"/>
          <w:numId w:val="2"/>
        </w:numPr>
        <w:spacing w:after="80" w:line="280"/>
      </w:pPr>
      <w:r>
        <w:rPr>
          <w:sz w:val="22"/>
          <w:szCs w:val="22"/>
        </w:rPr>
        <w:t xml:space="preserve">公司整体对客户端的集中度高于供应商端，可能更容易受到大型客户账期、项目验收和议价条件影响；但年报未按业务分部披露应收账款和客户账期，无法准确判断油气、制冷设备或数据中心业务各自的回款质量。</w:t>
      </w:r>
    </w:p>
    <w:p>
      <w:pPr>
        <w:pStyle w:val="ListParagraph"/>
        <w:numPr>
          <w:ilvl w:val="0"/>
          <w:numId w:val="2"/>
        </w:numPr>
        <w:spacing w:after="80" w:line="280"/>
      </w:pPr>
      <w:r>
        <w:rPr>
          <w:sz w:val="22"/>
          <w:szCs w:val="22"/>
        </w:rPr>
        <w:t xml:space="preserve">截至2025年12月31日，应收账款账面余额12.26亿元，约为2025年营业收入的48.54%；应收账款账面价值10.30亿元，约为全年营业收入的40.80%；存货账面价值8.46亿元，约为全年营业收入的33.51%。应收账款和存货合计规模较大，反映项目制销售、工程服务、定制化装备以及提前备料对营运资金的明显占用；纪要未披露分业务账期、应收账款周转天数或预付款、应付账款的具体数据。</w:t>
      </w:r>
    </w:p>
    <w:p>
      <w:pPr>
        <w:pStyle w:val="ListParagraph"/>
        <w:numPr>
          <w:ilvl w:val="0"/>
          <w:numId w:val="2"/>
        </w:numPr>
        <w:spacing w:after="80" w:line="280"/>
      </w:pPr>
      <w:r>
        <w:rPr>
          <w:sz w:val="22"/>
          <w:szCs w:val="22"/>
        </w:rPr>
        <w:t xml:space="preserve">2025年公司前五大客户销售占比为29.30%，第一大客户占17.00%；前五大供应商采购占比为11.63%。客户集中度高于供应商集中度，但客户名称未披露，且相关客户集中度变化趋势无法确认，具体以最新年报为准。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制冰设备26.28%；压缩机（组）25.07%；中央空调系统14.51%；油气技术服务14.47%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制冷设备和压缩机业务毛利率改善，纪要称主要受产品结构、市场拓展及成本控制等因素影响；油气技术服务毛利率较低，体现工程服务的项目成本和人员投入特征。</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制冰设备34.52%；压缩机（组）27.13%；中央空调系统11.05%；油气技术服务15.09%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制冰设备毛利率较2023年提升8.66个百分点，压缩机（组）提升2.06个百分点；可能反映订单质量提升、产品结构优化及原材料成本压力缓和。中央空调系统毛利率下降3.46个百分点，显示系统集成和工程安装业务盈利能力弱于核心制冷设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制冰设备33.14%；压缩机（组）21.37%；油气技术服务15.16%；数据中心冷却系统集成13.87%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制冰设备毛利率较2024年下降1.38个百分点，压缩机（组）下降5.76个百分点；原材料占制冷设备制造成本77.83%，材料成本、产品结构或项目报价压力可能影响盈利，但年报未拆分具体材料价格、型号或客户结构因素。油气技术服务毛利率小幅提升0.07个百分点。</w:t>
            </w:r>
          </w:p>
        </w:tc>
      </w:tr>
    </w:tbl>
    <w:p>
      <w:pPr>
        <w:spacing w:before="200"/>
      </w:pPr>
    </w:p>
    <w:p>
      <w:pPr>
        <w:spacing w:after="160" w:line="300"/>
      </w:pPr>
      <w:r>
        <w:rPr>
          <w:sz w:val="22"/>
          <w:szCs w:val="22"/>
        </w:rPr>
        <w:t xml:space="preserve">公司位于制冷装备产业链中游，属于“中游技术装备制造+工程服务”，整体利润率低于拥有资源定价权的上游资源企业，也缺乏下游消费品牌溢价。制冰设备凭借品牌、定制化和系统集成具备相对较高毛利率；压缩机收入规模最大但材料成本驱动明显；油气技术服务项目型特征较强、毛利率偏低且营运资金占用明显。未来利润改善主要取决于压缩机向高效、磁悬浮、天然工质、高压和特种工况升级，制冰设备高附加值及海外项目占比提升，油气服务向长期运维和整厂托管转型，以及数据中心冷却和氢能业务形成可验证订单与规模化交付能力。</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12.2542亿元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同比增长27.60%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归母净利润618.87万元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同比下降76.99%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5.6875亿元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同比增长41.43%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归母净利润358.49万元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同比下降64.01%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2025年度（截至2025年12月31日）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25.2525亿元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同比增长10.53%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归母净利润3653.35万元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同比增长1.50%</w:t>
            </w:r>
          </w:p>
        </w:tc>
      </w:tr>
    </w:tbl>
    <w:p>
      <w:pPr>
        <w:spacing w:after="200"/>
      </w:pPr>
      <w:r>
        <w:rPr>
          <w:i/>
          <w:iCs/>
          <w:color w:val="595959"/>
          <w:sz w:val="18"/>
          <w:szCs w:val="18"/>
        </w:rPr>
        <w:t xml:space="preserve">2026年上半年扣非归母净利润亏损136.53万元，同比下降105.07%；2026年第一季度扣非归母净利润亏损340.45万元，同比下降149.01%。2026年上半年基本每股收益0.0080元，加权平均净资产收益率0.24%；2025年度基本每股收益0.0473元，加权平均净资产收益率1.45%。</w:t>
      </w:r>
    </w:p>
    <w:p>
      <w:pPr>
        <w:spacing w:after="160" w:line="300"/>
      </w:pPr>
      <w:r>
        <w:rPr>
          <w:sz w:val="22"/>
          <w:szCs w:val="22"/>
        </w:rPr>
        <w:t xml:space="preserve">公司呈现收入较快增长但利润明显承压的特征。2026年上半年归母净利润中包含约755.40万元非经常性损益，其中政府补助约482.76万元、金融资产公允价值变动及处置收益约87.76万元，扣非后已出现亏损，主营盈利质量弱于归母净利润表面数据。利润下降原因包括国内市场竞争加剧、部分原材料价格上涨导致综合毛利率下降、中东地区地缘政治影响，以及油气服务业务投资收缩、服务价格下行和人工成本刚性上涨。2025年经营活动现金流净额为1.0660亿元，同比下降69.66%；2026年上半年为-9419.76万元，上年同期为-7804.55万元，现金流进一步恶化。2025年末应收账款账面价值约10.30亿元，高于上年末约8.12亿元；审计报告将收入确认、商誉减值和应收账款减值列为关键审计事项。</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13日，同花顺显示2026年度和2027年度暂无机构业绩预测，且未形成可可靠提供的2026—2028年多机构一致营业收入、归母净利润和EPS预测。公司股权激励考核目标不等同于机构一致预期或业绩承诺。另有单篇东方财富财富号文章以2026年EPS约0.083元进行测算，但其并非明确披露的券商正式研报，不能视为机构一致预测。</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机构一致预期缺失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机构一致预期缺失；公司股权激励净利润考核目标为6400万元，非机构预测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机构一致预期缺失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机构一致预期缺失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机构一致预期缺失；公司股权激励净利润考核目标为1亿元，非机构预测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机构一致预期缺失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机构一致预期缺失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机构一致预期缺失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机构一致预期缺失</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同花顺评级及诊股页面</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最近6个月无有效买入、增持、中性、减持或卖出评级；最近60个交易日机构无明确评级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公开可检索渠道未形成可靠的机构一致评级和目标价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主流券商</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未检索到2026年发布且可确认属于正式研究报告的最新目标价或有效评级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网络存在个别自媒体文章给出的13.3至14.2元、17.8元及34.6至38.5元等目标价，但缺少正式券商署名、持续更新及多机构交叉验证</w:t>
            </w:r>
          </w:p>
        </w:tc>
      </w:tr>
    </w:tbl>
    <w:p>
      <w:pPr>
        <w:spacing w:before="200"/>
      </w:pPr>
    </w:p>
    <w:p>
      <w:pPr>
        <w:spacing w:after="160" w:line="300"/>
      </w:pPr>
      <w:r>
        <w:rPr>
          <w:sz w:val="22"/>
          <w:szCs w:val="22"/>
        </w:rPr>
        <w:t xml:space="preserve">截至2026年9月11日，股价约13.19元，按纪要估算总市值约102.7亿元。参考截至2026年9月10日理杏仁数据，股价13.70元、总市值约106.78亿元、TTM市盈率约674.72倍、PB约4.10倍。按2025年基本每股收益0.0473元及2026年9月11日股价13.19元计算，静态PE约279倍，与同花顺约281倍的页面数据基本一致；TTM PE约650至675倍，理杏仁显示约674.72倍；PB约4.1倍；公司2025年度不派发现金红利，当前股息率为0%。当前PE显著偏高，主要由于最近12个月净利润基数较低，而非现阶段盈利较高。若未来归母净利润仅维持2025年约3653.35万元水平，按13.19元股价计算PE接近280倍；若2026年上半年扣非亏损状态延续，传统PE的解释力将进一步下降。当前估值更多反映市场对氢能、低温装备、数据中心冷却、制冰设备及海外业务未来放量的预期，后续应结合PB、PS、订单兑现情况及盈利修复情况分析。估值数据可能因更新时间、PE口径和TTM计算方法不同而存在差异；财务数据截至2026年6月30日，股价截至2026年9月11日。</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股票交易异常波动及风险提示</w:t>
      </w:r>
    </w:p>
    <w:p>
      <w:pPr>
        <w:spacing w:after="160" w:line="300"/>
      </w:pPr>
      <w:r>
        <w:rPr>
          <w:sz w:val="22"/>
          <w:szCs w:val="22"/>
        </w:rPr>
        <w:t xml:space="preserve">2026年9月5日，公司披露《股票交易异常波动公告》。公司股票于2026年9月2日至9月4日连续三个交易日内，日收盘价格涨幅偏离值累计超过20%。公司自查称，前期披露信息不存在需要更正、补充的情形，未发现未公开重大信息，近期生产经营正常，内外部经营环境未发生重大变化，公司、控股股东及实际控制人林汝捷不存在应披露而未披露或处于筹划阶段的重大事项，林汝捷在异常波动期间未买卖公司股票。公司提示短期股价大幅上涨与当前业绩变化存在偏离，需注意交易风险。2026年半年度归母净利润为618.87万元，同比下降76.99%；扣非净利润亏损136.53万元，同比下降105.07%。截至2026年9月13日，公告未确认并购、资产重组、重大订单变化或其他未披露利好事项。来源：https://money.finance.sina.com.cn/corp/view/vCB_AllBulletinDetail.php?id=12585796&amp;stockid=002639</w:t>
      </w:r>
    </w:p>
    <w:p>
      <w:pPr>
        <w:pStyle w:val="Heading2"/>
        <w:spacing w:after="120" w:before="240"/>
      </w:pPr>
      <w:r>
        <w:rPr>
          <w:b/>
          <w:bCs/>
          <w:color w:val="2E74B5"/>
          <w:sz w:val="24"/>
          <w:szCs w:val="24"/>
        </w:rPr>
        <w:t xml:space="preserve">4.2 2026年半年度业绩预告及正式半年报</w:t>
      </w:r>
    </w:p>
    <w:p>
      <w:pPr>
        <w:spacing w:after="160" w:line="300"/>
      </w:pPr>
      <w:r>
        <w:rPr>
          <w:sz w:val="22"/>
          <w:szCs w:val="22"/>
        </w:rPr>
        <w:t xml:space="preserve">公司于2026年7月14日披露半年度业绩预告，预计2026年上半年归母净利润为550万元至800万元，同比下降70.26%至79.55%；扣非净利润预计为亏损200万元至盈利50万元，同比下降98.14%至107.43%；基本每股收益预计为0.0071元至0.0103元。业绩下滑原因包括国内市场竞争加剧、部分原材料价格上涨、中东地区地缘政治局势影响、人民币升值带来的汇兑损失、子公司佳运油气业务调整及部分天然气液化项目产能利用率不足、股权激励股份支付费用增加以及氢能业务投入增加。2026年8月24日披露的正式半年报显示，营业收入12.2542亿元，同比增长27.60%；归母净利润618.87万元，同比下降76.99%；扣非净利润亏损136.53万元，同比下降105.07%；经营活动产生的现金流量净额为-9419.76万元；基本每股收益0.0080元，同比下降77.01%。正式半年报数据落在业绩预告区间内。来源：https://vip.stock.finance.sina.com.cn/corp/view/vCB_AllBulletinDetail.php?CompanyCode=80187887&amp;gather=1&amp;id=12446531；https://money.finance.sina.com.cn/corp/view/vCB_AllBulletinDetail.php?id=12520903&amp;stockid=002639</w:t>
      </w:r>
    </w:p>
    <w:p>
      <w:pPr>
        <w:pStyle w:val="Heading2"/>
        <w:spacing w:after="120" w:before="240"/>
      </w:pPr>
      <w:r>
        <w:rPr>
          <w:b/>
          <w:bCs/>
          <w:color w:val="2E74B5"/>
          <w:sz w:val="24"/>
          <w:szCs w:val="24"/>
        </w:rPr>
        <w:t xml:space="preserve">4.3 前十大流通股东及质押数据变化</w:t>
      </w:r>
    </w:p>
    <w:p>
      <w:pPr>
        <w:spacing w:after="160" w:line="300"/>
      </w:pPr>
      <w:r>
        <w:rPr>
          <w:sz w:val="22"/>
          <w:szCs w:val="22"/>
        </w:rPr>
        <w:t xml:space="preserve">截至2026年6月30日，王爱瑞新进入前十大流通股东，持有984.93万股，占流通股约1.49%；杨羿持有765.18万股，占流通股约1.16%，较上一报告期增加约270.27万股；部分油气产业ETF及北向资金持仓出现退出或减持。上述为半年报时点的静态持股数据，不能直接推断相关股东在2026年7月至9月仍维持相同持仓。截至2026年9月11日，东方财富个股日历显示公司质押股份合计约4409万股，质押比例约5.66%，共5笔，该数据来自行情及股权质押数据库，后续需以公司正式公告和中国结算数据核对。2026年6月2日，公司披露控股股东林汝捷部分股份解除质押：林汝捷持有公司股份约1554.52万股，占总股本约19.96%；本次解除质押股份约4049万股，占其所持股份约26.05%，占总股本约5.20%。来源：https://q.stock.sohu.com/cn/002639/ltgd_2.shtml?utm_source=openai；https://data.eastmoney.com/stockcalendar/002639.html?utm_source=openai；https://money.finance.sina.com.cn/corp/view/vCB_AllBulletinDetail.php?id=12366218&amp;stockid=002639&amp;utm_source=openai</w:t>
      </w:r>
    </w:p>
    <w:p>
      <w:pPr>
        <w:pStyle w:val="Heading2"/>
        <w:spacing w:after="120" w:before="240"/>
      </w:pPr>
      <w:r>
        <w:rPr>
          <w:b/>
          <w:bCs/>
          <w:color w:val="2E74B5"/>
          <w:sz w:val="24"/>
          <w:szCs w:val="24"/>
        </w:rPr>
        <w:t xml:space="preserve">4.4 为全资子公司提供担保的进展</w:t>
      </w:r>
    </w:p>
    <w:p>
      <w:pPr>
        <w:spacing w:after="160" w:line="300"/>
      </w:pPr>
      <w:r>
        <w:rPr>
          <w:sz w:val="22"/>
          <w:szCs w:val="22"/>
        </w:rPr>
        <w:t xml:space="preserve">2026年8月24日，公司披露《关于为全资子公司提供担保的进展公告》。公司为福建雪人制冷设备有限公司向中国农业银行申请综合授信提供最高额4800万元连带责任保证担保；为福建雪人震巽发展有限公司向中国进出口银行申请综合授信提供最高额5000万元连带责任保证担保，合计新增最高担保金额9800万元。截至公告披露日，公司及控股子公司已审批的担保预计总额度为15.185亿元，其中信贷业务担保额度13.185亿元、项目履约担保额度2亿元；实际签署发生的对外担保总余额为11.805亿元，占公司最近一期经审计净资产的46.21%。公司称不存在对合并报表范围外单位提供担保、逾期担保、涉及诉讼的担保或因判决败诉而应承担的担保。来源：https://money.finance.sina.com.cn/corp/view/vCB_AllBulletinDetail.php?id=12520895&amp;stockid=002639</w:t>
      </w:r>
    </w:p>
    <w:p>
      <w:pPr>
        <w:pStyle w:val="Heading2"/>
        <w:spacing w:after="120" w:before="240"/>
      </w:pPr>
      <w:r>
        <w:rPr>
          <w:b/>
          <w:bCs/>
          <w:color w:val="2E74B5"/>
          <w:sz w:val="24"/>
          <w:szCs w:val="24"/>
        </w:rPr>
        <w:t xml:space="preserve">4.5 2026年第一次临时股东会审议通过担保额度及章程修订</w:t>
      </w:r>
    </w:p>
    <w:p>
      <w:pPr>
        <w:spacing w:after="160" w:line="300"/>
      </w:pPr>
      <w:r>
        <w:rPr>
          <w:sz w:val="22"/>
          <w:szCs w:val="22"/>
        </w:rPr>
        <w:t xml:space="preserve">公司于2026年9月9日召开2026年第一次临时股东会，并于2026年9月10日披露决议公告。会议审议通过《关于为全资子公司提供项目履约担保额度预计的议案》和《关于修订〈公司章程〉的议案》。出席股东及授权代表共1176人，代表股份165,778,997股，占股权登记日总股本21.2694%；其中现场出席代表股份157,360,029股，网络投票代表股份8,418,968股。项目履约担保额度议案获得98.9412%的有效表决权股份同意，公司章程修订议案获得99.1287%的有效表决权股份同意，均经出席股东所持有效表决权股份总数三分之二以上通过。该事项不等同于已形成同等金额的实际负债或现金支出，后续需关注具体项目合同、担保实际发生额及子公司履约和回款情况。来源：https://vip.stock.finance.sina.com.cn/corp/view/vCB_AllBulletinDetail.php?id=12593062&amp;stockid=002639</w:t>
      </w:r>
    </w:p>
    <w:p>
      <w:pPr>
        <w:pStyle w:val="Heading2"/>
        <w:spacing w:after="120" w:before="240"/>
      </w:pPr>
      <w:r>
        <w:rPr>
          <w:b/>
          <w:bCs/>
          <w:color w:val="2E74B5"/>
          <w:sz w:val="24"/>
          <w:szCs w:val="24"/>
        </w:rPr>
        <w:t xml:space="preserve">4.6 股份回购事项核查结果</w:t>
      </w:r>
    </w:p>
    <w:p>
      <w:pPr>
        <w:spacing w:after="160" w:line="300"/>
      </w:pPr>
      <w:r>
        <w:rPr>
          <w:sz w:val="22"/>
          <w:szCs w:val="22"/>
        </w:rPr>
        <w:t xml:space="preserve">截至2026年9月13日，已检索到的2026年7月至9月公司公告中，未发现公司发布新的股份回购实施公告或回购进展公告。公司2025年年度报告及2026年半年度报告均显示，报告期内不存在股份回购实施情况。公司存在股票期权及员工股权激励计划，但股权激励不等同于上市公司通过二级市场回购股份。因此，暂不能将近期股价上涨与公司回购形成直接关联。来源：https://static.cninfo.com.cn/finalpage/2026-04-28/1225212504.PDF?utm_source=openai</w:t>
      </w:r>
    </w:p>
    <w:p>
      <w:pPr>
        <w:pStyle w:val="Heading2"/>
        <w:spacing w:after="120" w:before="240"/>
      </w:pPr>
      <w:r>
        <w:rPr>
          <w:b/>
          <w:bCs/>
          <w:color w:val="2E74B5"/>
          <w:sz w:val="24"/>
          <w:szCs w:val="24"/>
        </w:rPr>
        <w:t xml:space="preserve">4.7 并购、重大资产重组及监管事项</w:t>
      </w:r>
    </w:p>
    <w:p>
      <w:pPr>
        <w:spacing w:after="160" w:line="300"/>
      </w:pPr>
      <w:r>
        <w:rPr>
          <w:sz w:val="22"/>
          <w:szCs w:val="22"/>
        </w:rPr>
        <w:t xml:space="preserve">截至2026年9月13日，未检索到公司在2026年7月至9月期间披露新的重大并购、重大资产重组、控制权变更或监管处罚公告。公司在2026年9月5日股票交易异常波动公告中明确表示，不存在处于筹划阶段的重大事项，也不存在应披露而未披露的信息。近期公开公告重点集中在半年度业绩、担保、临时股东会及异常波动风险提示，未出现已公告的重大并购交易。来源：https://money.finance.sina.com.cn/corp/view/vCB_AllBulletinDetail.php?id=12585796&amp;stockid=002639</w:t>
      </w:r>
    </w:p>
    <w:p>
      <w:pPr>
        <w:pStyle w:val="Heading2"/>
        <w:spacing w:after="120" w:before="240"/>
      </w:pPr>
      <w:r>
        <w:rPr>
          <w:b/>
          <w:bCs/>
          <w:color w:val="2E74B5"/>
          <w:sz w:val="24"/>
          <w:szCs w:val="24"/>
        </w:rPr>
        <w:t xml:space="preserve">4.8 证券身份及综合公告判断</w:t>
      </w:r>
    </w:p>
    <w:p>
      <w:pPr>
        <w:spacing w:after="160" w:line="300"/>
      </w:pPr>
      <w:r>
        <w:rPr>
          <w:sz w:val="22"/>
          <w:szCs w:val="22"/>
        </w:rPr>
        <w:t xml:space="preserve">截至2026年9月13日，A股代码002639对应福建雪人集团股份有限公司，证券简称为“雪人集团”，上市地点为深圳证券交易所。近期公告显示，公司2026年上半年收入同比增长27.60%，但归母净利润同比下降76.99%，扣非净利润转为亏损；股票于2026年9月2日至9月4日出现累计涨幅偏离值超过20%的异常波动，公司未发现未披露重大利好并提示交易风险；截至2026年8月24日实际担保余额约11.805亿元，占最近一期经审计净资产46.21%；截至2026年6月30日股东结构出现一定变化。暂未发现新的股份回购、重大并购或重大资产重组公告。2026年9月13日之后是否出现新公告、第三方股东持仓及质押数据的后续变化，以及氢能、油气技术服务和项目履约担保的实际影响，现有纪要无法确定。来源：https://money.finance.sina.com.cn/corp/view/vCB_AllBulletinDetail.php?id=12520903&amp;stockid=002639</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证券代码及名称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002639，雪人集团（福建雪人集团股份有限公司；原证券简称曾使用“雪人股份”）</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-3.80%，前收盘价13.70元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13.33元/13.59元/12.87元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约75.89万手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约10.00亿元；中财网记录约9.995亿元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约10.77%—11.50%；中财网9月11日收盘数据为11.50%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总股本及流通A股</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总股本约7.79亿股，流通A股约6.60亿股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按收盘价计算的总市值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约102.67亿元；部分网站显示103亿—107亿元，可能因总股本精度、行情时点或页面刷新时间差异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约649.11倍；另一数据源显示674.72倍，可能因数据更新时间、利润口径或扣非口径不同</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约3.90—4.10倍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10.32—29.21元；部分网站显示52周低点10.48元，存在统计区间及复权口径差异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近期20个交易日价格区间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2026年8月17日至9月11日，最高15.20元，最低11.16元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9月2日至9月4日快速放量上涨，9月8日盘中冲高至15.20元后连续回落，9月11日收于13.18元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近10个交易日合计净流入约1.69亿元；其中4日净流入、6日净流出，最近3个交易日连续净流出；9月11日净流出约8610万元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截至2026年6月30日为196,816户，较2026年3月31日减少26,276户，环比减少11.78%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前十大流通股东集中度</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截至2026年6月30日，前十大流通股东持股约8723.24万股，占流通股约13.19%—13.22%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机构持股</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截至2026年6月30日，机构合计持有约1361.65万股，占流通股约2.06%；其中基金约605.87万股，占0.89%，其他机构约755.78万股，占1.14%；自然人股东占比较高</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13.94元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现价13.18元低于MA5约5.44%，短线股价已跌破5日均线。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13.53元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现价低于MA10约2.62%，短线动能较9月初上涨阶段明显减弱。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12.64元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现价高于MA20约4.28%，中短期趋势尚未完全跌破20日均线支撑。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0.45，DEA 0.31，MACD柱0.29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DIF仍高于DEA，MACD柱处于零轴上方，仍保留多头结构；若后续DIF下穿DEA或柱体持续缩短，可能确认上涨动能衰减。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RSI6/RSI12/RSI24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45.3/52.6/51.4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RSI6回落至中性区间，未达到传统超卖水平；RSI12和RSI24在50附近，暂未出现极端偏空信号。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上轨14.87元，中轨12.64元，下轨10.41元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现价位于中轨和上轨之间，距离上轨约1.69元、距离中轨约0.54元；若跌破中轨，调整空间可能向12元附近甚至更低区域扩展。</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量价与资金流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9月3日、9月4日和9月8日成交额约21亿—26亿元；9月9日至11日成交额约10亿—15亿元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上涨阶段成交额显著放大，随后股价连续下跌但成交额仍处于较高水平，显示高位换手和筹码再分配较明显；9月11日主力净流出且成交额约10亿元，短线承接强度暂时不足。</w:t>
            </w:r>
          </w:p>
        </w:tc>
      </w:tr>
    </w:tbl>
    <w:p>
      <w:pPr>
        <w:spacing w:before="200"/>
      </w:pPr>
    </w:p>
    <w:p>
      <w:pPr>
        <w:spacing w:after="160" w:line="300"/>
      </w:pPr>
      <w:r>
        <w:rPr>
          <w:sz w:val="22"/>
          <w:szCs w:val="22"/>
        </w:rPr>
        <w:t xml:space="preserve">截至2026年9月11日，雪人集团收盘13.18元，较9月8日盘中15.20元高点回落，短线已跌破MA5和MA10，但仍位于MA20及布林中轨12.64元之上。MACD仍处于零轴上方，RSI未进入传统超卖区间，说明技术结构尚未完全转弱，但连续回落、主力资金最近3个交易日连续净流出，且高位成交额仍处于较高水平，反映短线动能减弱和筹码再分配。后续重点观察13.00—13.30元支撑、12.64元中轨及13.53元和13.94元均线压力。</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风险提示：以下内容仅为基于截至2026年9月11日收盘数据、历史价格和技术指标的主观情景推演，不构成投资建议，也不构成买卖指令。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14.30—14.90元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14.30元对应9月4日收盘价附近，14.78—14.90元接近9月8日收盘价及布林上轨14.87元；若有效站上14.90元并伴随成交额重新放大，才有机会观察15.20元附近前高压力。</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13.00—13.30元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13.18元为9月11日收盘价，13.20元附近处于纪要所述筹码成本区间下沿附近；若缩量企稳，可能形成短线震荡支撑，若放量跌破则显示承接不足。</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12.60—12.90元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包含MA20及布林中轨12.64元、9月11日盘中低点12.87元；若有效跌破该区域，技术上将打开向12元附近甚至布林下轨10.41元方向测试的空间，但实际速度取决于市场环境和个股资金流向。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结构和资金流向的主观启发式判断，不是统计概率。）：价格区间约13.00—14.30元。触发条件为守住13.00—13.30元，主力净流出幅度收窄，成交额较9月11日约10亿元下降或保持温和，且不再出现连续大阴线。重新站上13.53元MA10可视为短线修复的初步信号，进一步站上13.94元MA5后，震荡中枢可能向14元以上移动。</w:t>
      </w:r>
    </w:p>
    <w:p>
      <w:pPr>
        <w:pStyle w:val="ListParagraph"/>
        <w:numPr>
          <w:ilvl w:val="0"/>
          <w:numId w:val="2"/>
        </w:numPr>
        <w:spacing w:after="80" w:line="280"/>
      </w:pPr>
      <w:r>
        <w:rPr>
          <w:sz w:val="22"/>
          <w:szCs w:val="22"/>
        </w:rPr>
        <w:t xml:space="preserve">偏弱下行（权重中等；为基于当前技术结构和资金流向的主观启发式判断，不是统计概率。）：价格区间约12.60—13.20元。触发条件为放量跌破13.00元附近支撑，且主力连续净流出、成交额维持在10亿元以上但价格承接不足。若进一步跌破12.64元MA20及布林中轨，短线结构转弱，可能测试12元附近的下一支撑区域。</w:t>
      </w:r>
    </w:p>
    <w:p>
      <w:pPr>
        <w:pStyle w:val="ListParagraph"/>
        <w:numPr>
          <w:ilvl w:val="0"/>
          <w:numId w:val="2"/>
        </w:numPr>
        <w:spacing w:after="80" w:line="280"/>
      </w:pPr>
      <w:r>
        <w:rPr>
          <w:sz w:val="22"/>
          <w:szCs w:val="22"/>
        </w:rPr>
        <w:t xml:space="preserve">反弹走强（权重偏低；为基于当前技术结构和资金流向的主观启发式判断，不是统计概率。）：价格区间约14.30—15.20元。触发条件为重新站回13.94元MA5和14.30元附近压力，并出现成交额明显放大、主力资金由连续净流出转为连续净流入，同时相关题材或行业板块保持强势。若14.90元附近有效突破，才有机会重新测试9月8日盘中高点15.20元；仅凭MACD仍在零轴上方不足以确认该情景。</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8月下旬成交额通常约1.6亿—3.7亿元，9月初快速上涨后放大至约8.6亿—25.9亿元；9月11日成交额约10亿元、换手率约10.77%—11.50%，当前短线交易活跃度明显高于8月下旬，但资金交换更剧烈，价格波动和滑点风险相应增加。股东结构数据截至2026年6月30日：前十大流通股东集中度约13.2%，机构持股约占流通股2.06%，自然人股东占比较高；其中香港中央结算有限公司持股约755.78万股、占流通股约1.15%，较上一报告期减少约2409.24万股。上述股东数据存在季度滞后，不能完全反映9月初放量行情后的最新筹码变化。可检查的量能确认信号是：若后续单日成交额持续放大至15亿元以上，同时股价重新站上14.00—14.30元区间且主力资金转为净流入，可视为资金承接改善的确认信号；若成交额放大但股价继续跌破13.00元，则更接近放量派发或筹码松动信号。</w:t>
      </w:r>
    </w:p>
    <w:p>
      <w:pPr>
        <w:spacing w:after="160" w:line="300"/>
      </w:pPr>
      <w:r>
        <w:rPr>
          <w:sz w:val="22"/>
          <w:szCs w:val="22"/>
        </w:rPr>
        <w:t xml:space="preserve">若后续单日成交额持续放大至15亿元以上，同时股价重新站上14.00—14.30元区间并且主力资金转为净流入，可视为资金承接改善的量能确认信号。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观察思路，非操作指令：关注13.00—13.30元区域能否止跌，以及12.64元MA20和布林中轨是否失守。</w:t>
      </w:r>
    </w:p>
    <w:p>
      <w:pPr>
        <w:pStyle w:val="ListParagraph"/>
        <w:numPr>
          <w:ilvl w:val="0"/>
          <w:numId w:val="2"/>
        </w:numPr>
        <w:spacing w:after="80" w:line="280"/>
      </w:pPr>
      <w:r>
        <w:rPr>
          <w:sz w:val="22"/>
          <w:szCs w:val="22"/>
        </w:rPr>
        <w:t xml:space="preserve">观察思路，非操作指令：关注13.53元MA10和13.94元MA5能否重新收复。</w:t>
      </w:r>
    </w:p>
    <w:p>
      <w:pPr>
        <w:pStyle w:val="ListParagraph"/>
        <w:numPr>
          <w:ilvl w:val="0"/>
          <w:numId w:val="2"/>
        </w:numPr>
        <w:spacing w:after="80" w:line="280"/>
      </w:pPr>
      <w:r>
        <w:rPr>
          <w:sz w:val="22"/>
          <w:szCs w:val="22"/>
        </w:rPr>
        <w:t xml:space="preserve">观察思路，非操作指令：关注14.30—14.90元压力区突破时，是否同步出现成交额升至15亿元以上及主力资金转正。</w:t>
      </w:r>
    </w:p>
    <w:p>
      <w:pPr>
        <w:pStyle w:val="ListParagraph"/>
        <w:numPr>
          <w:ilvl w:val="0"/>
          <w:numId w:val="2"/>
        </w:numPr>
        <w:spacing w:after="80" w:line="280"/>
      </w:pPr>
      <w:r>
        <w:rPr>
          <w:sz w:val="22"/>
          <w:szCs w:val="22"/>
        </w:rPr>
        <w:t xml:space="preserve">观察思路，非操作指令：关注主力连续净流出是否结束，以及高成交额环境下价格能否出现“放量不跌”或“放量上涨”。</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雪人集团横跨制冷压缩机、制冰设备、工业制冷、油气技术服务、数据中心冷却和氢能装备等多个细分领域。制冷设备行业竞争已从单一设备制造转向“核心部件+系统集成+工程服务+节能运维”，油气技术服务具有项目制和大客户特征，数据中心冷却则向液冷、高效制冷和整体系统集成演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制冷压缩机及制冰设备行业的主要竞争要素包括压缩机技术和能效水平、氨及CO2等天然工质应用能力、冷链和工业场景项目经验、大型项目系统集成与工程交付能力，以及售后服务、节能改造和全生命周期运维能力。</w:t>
      </w:r>
    </w:p>
    <w:p>
      <w:pPr>
        <w:pStyle w:val="ListParagraph"/>
        <w:numPr>
          <w:ilvl w:val="0"/>
          <w:numId w:val="2"/>
        </w:numPr>
        <w:spacing w:after="80" w:line="280"/>
      </w:pPr>
      <w:r>
        <w:rPr>
          <w:sz w:val="22"/>
          <w:szCs w:val="22"/>
        </w:rPr>
        <w:t xml:space="preserve">2025年行业技术和政策方向向低碳制冷、制冷剂替代、高能效和智能化发展。R22将逐步退出市场，R507、R404A等制冷剂未来受到更严格限制；GB 44015—2024等能效标准推动低效设备淘汰。</w:t>
      </w:r>
    </w:p>
    <w:p>
      <w:pPr>
        <w:pStyle w:val="ListParagraph"/>
        <w:numPr>
          <w:ilvl w:val="0"/>
          <w:numId w:val="2"/>
        </w:numPr>
        <w:spacing w:after="80" w:line="280"/>
      </w:pPr>
      <w:r>
        <w:rPr>
          <w:sz w:val="22"/>
          <w:szCs w:val="22"/>
        </w:rPr>
        <w:t xml:space="preserve">制冷行业呈现分层竞争：头部综合装备企业拥有品牌、压缩机技术、工程总包和客户资源；专业压缩机企业在螺杆、涡旋、离心或特殊工质领域形成细分优势；冷链装备企业深耕速冻设备、冷库、食品加工装备和系统工程；中小企业主要参与标准化产品、区域工程和价格竞争。</w:t>
      </w:r>
    </w:p>
    <w:p>
      <w:pPr>
        <w:pStyle w:val="ListParagraph"/>
        <w:numPr>
          <w:ilvl w:val="0"/>
          <w:numId w:val="2"/>
        </w:numPr>
        <w:spacing w:after="80" w:line="280"/>
      </w:pPr>
      <w:r>
        <w:rPr>
          <w:sz w:val="22"/>
          <w:szCs w:val="22"/>
        </w:rPr>
        <w:t xml:space="preserve">油气技术服务受国内能源安全、油气勘探开发资本开支、天然气基础设施建设及海外项目影响，普遍具有项目制、客户集中度高、验收周期长和资金占用较高等特点。</w:t>
      </w:r>
    </w:p>
    <w:p>
      <w:pPr>
        <w:pStyle w:val="ListParagraph"/>
        <w:numPr>
          <w:ilvl w:val="0"/>
          <w:numId w:val="2"/>
        </w:numPr>
        <w:spacing w:after="80" w:line="280"/>
      </w:pPr>
      <w:r>
        <w:rPr>
          <w:sz w:val="22"/>
          <w:szCs w:val="22"/>
        </w:rPr>
        <w:t xml:space="preserve">数据中心冷却行业从传统风冷向液冷、高效制冷和整体系统集成演进，竞争重点从单一空调设备转向供配电、冷却系统、机柜、冷量分配单元、热交换系统和现场运维的综合交付能力。</w:t>
      </w:r>
    </w:p>
    <w:p>
      <w:pPr>
        <w:pStyle w:val="ListParagraph"/>
        <w:numPr>
          <w:ilvl w:val="0"/>
          <w:numId w:val="2"/>
        </w:numPr>
        <w:spacing w:after="80" w:line="280"/>
      </w:pPr>
      <w:r>
        <w:rPr>
          <w:sz w:val="22"/>
          <w:szCs w:val="22"/>
        </w:rPr>
        <w:t xml:space="preserve">雪人集团业务范围较宽，覆盖活塞、螺杆和离心压缩机，并延伸至制冰系统、油气服务、数据中心冷却和氢能；但相较大型综合制冷装备企业，公司收入规模、盈利能力和业务聚焦度仍存在差距。</w:t>
      </w:r>
    </w:p>
    <w:p>
      <w:pPr>
        <w:pStyle w:val="ListParagraph"/>
        <w:numPr>
          <w:ilvl w:val="0"/>
          <w:numId w:val="2"/>
        </w:numPr>
        <w:spacing w:after="80" w:line="280"/>
      </w:pPr>
      <w:r>
        <w:rPr>
          <w:sz w:val="22"/>
          <w:szCs w:val="22"/>
        </w:rPr>
        <w:t xml:space="preserve">氢能业务目前主要处于技术研发、项目建设及产业化准备阶段，公开披露内容未显示其已形成明确的大规模商业化产能或稳定收入规模，不宜视为当前收入主体。</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冰轮环境（000811.SZ）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工业制冷、冷链工程、制冷压缩机组和系统集成</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与雪人集团在工业制冷、冷链工程、压缩机组和系统集成方面直接可比；冰轮环境综合制冷系统、工程项目和大型客户覆盖更强，雪人集团在制冰设备、三类压缩机组合、氢能和油气技术服务方面具有自身特色。</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冰山冷热（000530.SZ）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工业制冷制热、商用冷冻冷藏、空调环境和智慧冷链</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向储能、氢能、核能和工业互联网等领域延伸，产业链覆盖压缩机、换热器、控制系统、冷链工程和冷热综合解决方案；相较之下，雪人集团在制冰设备品牌、三类压缩机技术组合及油气技术服务方面更具辨识度。</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汉钟精机（002158.SZ）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螺杆、涡旋和离心压缩机及流体机电产品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与雪人集团的核心交集在压缩机和热泵领域；汉钟精机业务更聚焦、标准化和专业化，雪人集团采取压缩机、制冰系统、油气服务、数据中心冷却和氢能多元化模式。</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四方科技（603339.SH）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食品冷冻设备、速冻设备、冷库、制冷工程和罐式集装箱</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与雪人集团在制冰、食品冷链、速冻和制冷工程方面存在竞争；四方科技更聚焦食品冷冻加工和冷链装备，雪人集团的压缩机品类、工业制冷、油气和氢能业务更广。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比泽尔、丹佛斯等国际厂商</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高端制冷压缩机、控制系统及制冷解决方案</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国际厂商在高端压缩机、控制系统、品牌认可度、全球服务体系及大型跨国客户方面具有优势；雪人集团通过引进和整合SRM、RefComp等国际技术及品牌提升国际化能力，但全球市场规模、品牌覆盖和高端客户体系仍需积累。</w:t>
            </w:r>
          </w:p>
        </w:tc>
      </w:tr>
    </w:tbl>
    <w:p>
      <w:pPr>
        <w:spacing w:before="200"/>
      </w:pPr>
    </w:p>
    <w:p>
      <w:pPr>
        <w:spacing w:after="160" w:line="300"/>
      </w:pPr>
      <w:r>
        <w:rPr>
          <w:sz w:val="22"/>
          <w:szCs w:val="22"/>
        </w:rPr>
        <w:t xml:space="preserve">雪人集团相较可比公司具有制冰设备、活塞/螺杆/离心压缩机组合、油气技术服务和氢能布局等差异化特征，但业务跨度较大。其核心竞争力主要在制冷设备品牌、压缩机技术、系统集成及项目交付；相较综合制冷装备企业，仍面临规模、盈利质量和业务聚焦度不足的问题。不同业务板块的客户、成本和竞争格局差异较大，不宜采用单一行业或单一公司进行简单对标。</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主营盈利下滑及盈利质量恶化风险：2026年上半年归母净利润同比下降76.99%，扣非归母净利润亏损136.53万元，归母利润中包含约755.40万元非经常性损益，若主营业务未能改善，利润表面增长的可持续性不足。</w:t>
      </w:r>
    </w:p>
    <w:p>
      <w:pPr>
        <w:pStyle w:val="ListParagraph"/>
        <w:numPr>
          <w:ilvl w:val="0"/>
          <w:numId w:val="2"/>
        </w:numPr>
        <w:spacing w:after="80" w:line="280"/>
      </w:pPr>
      <w:r>
        <w:rPr>
          <w:sz w:val="22"/>
          <w:szCs w:val="22"/>
        </w:rPr>
        <w:t xml:space="preserve">原材料和毛利率波动风险：制冷设备制造成本中原材料占比77.83%，2025年压缩机（组）毛利率已由2024年的27.13%降至21.37%；钢材、铜材、铸件及机电零部件价格变化、项目报价压力或产品结构变化，可能继续压缩盈利空间。</w:t>
      </w:r>
    </w:p>
    <w:p>
      <w:pPr>
        <w:pStyle w:val="ListParagraph"/>
        <w:numPr>
          <w:ilvl w:val="0"/>
          <w:numId w:val="2"/>
        </w:numPr>
        <w:spacing w:after="80" w:line="280"/>
      </w:pPr>
      <w:r>
        <w:rPr>
          <w:sz w:val="22"/>
          <w:szCs w:val="22"/>
        </w:rPr>
        <w:t xml:space="preserve">经营现金流和营运资金占用风险：2025年经营活动现金流净额为1.0660亿元，同比下降69.66%，2026年上半年进一步为-9419.76万元；截至2025年末应收账款账面价值约10.30亿元、存货账面价值约8.46亿元，回款延迟、项目验收或库存周转放缓可能加大资金压力。</w:t>
      </w:r>
    </w:p>
    <w:p>
      <w:pPr>
        <w:pStyle w:val="ListParagraph"/>
        <w:numPr>
          <w:ilvl w:val="0"/>
          <w:numId w:val="2"/>
        </w:numPr>
        <w:spacing w:after="80" w:line="280"/>
      </w:pPr>
      <w:r>
        <w:rPr>
          <w:sz w:val="22"/>
          <w:szCs w:val="22"/>
        </w:rPr>
        <w:t xml:space="preserve">客户集中及项目交付风险：2025年前五大客户销售占比29.30%，第一大客户占17.00%，油气技术服务客户又主要集中于大型能源企业；大型客户的招标、议价、验收和付款节奏可能影响收入确认及现金回收，且公司未按业务分部披露应收账款和账期。</w:t>
      </w:r>
    </w:p>
    <w:p>
      <w:pPr>
        <w:pStyle w:val="ListParagraph"/>
        <w:numPr>
          <w:ilvl w:val="0"/>
          <w:numId w:val="2"/>
        </w:numPr>
        <w:spacing w:after="80" w:line="280"/>
      </w:pPr>
      <w:r>
        <w:rPr>
          <w:sz w:val="22"/>
          <w:szCs w:val="22"/>
        </w:rPr>
        <w:t xml:space="preserve">油气技术服务业务波动风险：公司披露油气服务受到投资收缩、服务价格下行、人工成本刚性上涨及部分天然气液化项目产能利用率不足影响；若相关项目投入和服务价格继续承压，该业务收入及毛利率可能进一步波动。</w:t>
      </w:r>
    </w:p>
    <w:p>
      <w:pPr>
        <w:pStyle w:val="ListParagraph"/>
        <w:numPr>
          <w:ilvl w:val="0"/>
          <w:numId w:val="2"/>
        </w:numPr>
        <w:spacing w:after="80" w:line="280"/>
      </w:pPr>
      <w:r>
        <w:rPr>
          <w:sz w:val="22"/>
          <w:szCs w:val="22"/>
        </w:rPr>
        <w:t xml:space="preserve">数据中心冷却和氢能业务兑现风险：2025年数据中心冷却系统集成收入同比下降19.85%，氢能及低温装备截至2025年末尚未披露明确设计产能、达产时间和稳定订单，相关业务存在投入增加但收入、利润和现金回报不及预期的风险。</w:t>
      </w:r>
    </w:p>
    <w:p>
      <w:pPr>
        <w:pStyle w:val="ListParagraph"/>
        <w:numPr>
          <w:ilvl w:val="0"/>
          <w:numId w:val="2"/>
        </w:numPr>
        <w:spacing w:after="80" w:line="280"/>
      </w:pPr>
      <w:r>
        <w:rPr>
          <w:sz w:val="22"/>
          <w:szCs w:val="22"/>
        </w:rPr>
        <w:t xml:space="preserve">担保和财务杠杆相关风险：截至2026年8月24日，公司及控股子公司实际签署的对外担保余额为11.805亿元，占最近一期经审计净资产46.21%；后续若子公司履约或回款不及预期，可能增加担保代偿及财务压力。</w:t>
      </w:r>
    </w:p>
    <w:p>
      <w:pPr>
        <w:pStyle w:val="ListParagraph"/>
        <w:numPr>
          <w:ilvl w:val="0"/>
          <w:numId w:val="2"/>
        </w:numPr>
        <w:spacing w:after="80" w:line="280"/>
      </w:pPr>
      <w:r>
        <w:rPr>
          <w:sz w:val="22"/>
          <w:szCs w:val="22"/>
        </w:rPr>
        <w:t xml:space="preserve">股价波动和估值回撤风险：公司股票于2026年9月2日至4日连续三个交易日累计涨幅偏离值超过20%，9月8日盘中触及15.20元后回落，9月11日主力资金净流出约8610万元；按当时数据计算动态市盈率约649—675倍，若盈利修复或新业务放量不及预期，估值和股价可能面临较大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具备活塞式、螺杆式和离心式压缩机技术、SNOWKEY制冰设备品牌及系统集成能力，制冷设备制造和压缩机业务仍是当前收入增长的主要基础。若高效压缩机、制冰设备高附加值产品、海外项目及油气服务订单改善，收入增长有望进一步延续；数据中心冷却和氢能则提供潜在增量，但目前相关业务规模和订单验证仍不足，不能视为已形成稳定的盈利支柱。</w:t>
      </w:r>
    </w:p>
    <w:p>
      <w:pPr>
        <w:spacing w:after="160" w:line="300"/>
      </w:pPr>
      <w:r>
        <w:rPr>
          <w:sz w:val="22"/>
          <w:szCs w:val="22"/>
        </w:rPr>
        <w:t xml:space="preserve">短期经营质量仍需重点观察。2026年上半年收入增长并未转化为利润增长，扣非后已出现亏损，2025年经营活动现金流同比下降69.66%，应收账款账面价值约10.30亿元、存货账面价值约8.46亿元，均对资金形成较大占用。与此同时，公司前五大客户销售占比29.30%、第一大客户占17.00%，客户议价、项目验收和回款节奏可能影响现金流与利润兑现。</w:t>
      </w:r>
    </w:p>
    <w:p>
      <w:pPr>
        <w:spacing w:after="160" w:line="300"/>
      </w:pPr>
      <w:r>
        <w:rPr>
          <w:sz w:val="22"/>
          <w:szCs w:val="22"/>
        </w:rPr>
        <w:t xml:space="preserve">公司后续能否改善估值基础，取决于综合毛利率回升、扣非盈利恢复、经营现金流转正以及新业务订单落地，而非单纯收入增长或题材预期。技术面上，13.00—13.30元和12.64元附近是当前重要观察区域，14.30—14.90元为上方压力区；这些价格水平仅反映截至2026年9月11日的历史技术状态，不能替代对基本面变化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雪人集团(002639)_公司公告_雪人集团：2025年年度报告新浪财经_新浪网 — https://money.finance.sina.com.cn/corp/view/vCB_AllBulletinDetail.php?id=12226092&amp;stockid=002639</w:t>
      </w:r>
    </w:p>
    <w:p>
      <w:pPr>
        <w:spacing w:after="200"/>
      </w:pPr>
      <w:r>
        <w:rPr>
          <w:i/>
          <w:iCs/>
          <w:color w:val="595959"/>
          <w:sz w:val="18"/>
          <w:szCs w:val="18"/>
        </w:rPr>
        <w:t xml:space="preserve">雪人集团（SNOWMAN GROUP）-企业简介 — https://www.snowman.cn/cn/about/company_introduce.html</w:t>
      </w:r>
    </w:p>
    <w:p>
      <w:pPr>
        <w:spacing w:after="200"/>
      </w:pPr>
      <w:r>
        <w:rPr>
          <w:i/>
          <w:iCs/>
          <w:color w:val="595959"/>
          <w:sz w:val="18"/>
          <w:szCs w:val="18"/>
        </w:rPr>
        <w:t xml:space="preserve">雪人集团: 2025年年度报告_股票频道_证券之星 — https://stock.stockstar.com/notice/SN2026042700045570.shtml</w:t>
      </w:r>
    </w:p>
    <w:p>
      <w:pPr>
        <w:spacing w:after="200"/>
      </w:pPr>
      <w:r>
        <w:rPr>
          <w:i/>
          <w:iCs/>
          <w:color w:val="595959"/>
          <w:sz w:val="18"/>
          <w:szCs w:val="18"/>
        </w:rPr>
        <w:t xml:space="preserve">雪人集团(002639)_公司公告_雪人股份：2023年年度报告新浪财经_新浪网 — https://money.finance.sina.com.cn/corp/view/vCB_AllBulletinDetail.php?id=10160822&amp;stockid=002639&amp;utm_source=openai</w:t>
      </w:r>
    </w:p>
    <w:p>
      <w:pPr>
        <w:spacing w:after="200"/>
      </w:pPr>
      <w:r>
        <w:rPr>
          <w:i/>
          <w:iCs/>
          <w:color w:val="595959"/>
          <w:sz w:val="18"/>
          <w:szCs w:val="18"/>
        </w:rPr>
        <w:t xml:space="preserve">雪人集团(002639)_公司公告_雪人股份：2024年年度报告新浪财经_新浪网 — https://money.finance.sina.com.cn/corp/view/vCB_AllBulletinDetail.php?id=10974365&amp;stockid=002639&amp;utm_source=openai</w:t>
      </w:r>
    </w:p>
    <w:p>
      <w:pPr>
        <w:spacing w:after="200"/>
      </w:pPr>
      <w:r>
        <w:rPr>
          <w:i/>
          <w:iCs/>
          <w:color w:val="595959"/>
          <w:sz w:val="18"/>
          <w:szCs w:val="18"/>
        </w:rPr>
        <w:t xml:space="preserve">冰轮环境技术股份有限公司--官网-冰轮环境 — https://www.xn--37q39nhvz0lz.com/index.htm?utm_source=openai</w:t>
      </w:r>
    </w:p>
    <w:p>
      <w:pPr>
        <w:spacing w:after="200"/>
      </w:pPr>
      <w:r>
        <w:rPr>
          <w:i/>
          <w:iCs/>
          <w:color w:val="595959"/>
          <w:sz w:val="18"/>
          <w:szCs w:val="18"/>
        </w:rPr>
        <w:t xml:space="preserve">集团简介-冰山冷热科技股份有限公司-深耕中国制冷空调行业 — https://www.bingshan.com/About/3.html?utm_source=openai</w:t>
      </w:r>
    </w:p>
    <w:p>
      <w:pPr>
        <w:spacing w:after="200"/>
      </w:pPr>
      <w:r>
        <w:rPr>
          <w:i/>
          <w:iCs/>
          <w:color w:val="595959"/>
          <w:sz w:val="18"/>
          <w:szCs w:val="18"/>
        </w:rPr>
        <w:t xml:space="preserve">上海汉钟精机股份有限公司 — https://www.hanbell.com.cn/?utm_source=openai</w:t>
      </w:r>
    </w:p>
    <w:p>
      <w:pPr>
        <w:spacing w:after="200"/>
      </w:pPr>
      <w:r>
        <w:rPr>
          <w:i/>
          <w:iCs/>
          <w:color w:val="595959"/>
          <w:sz w:val="18"/>
          <w:szCs w:val="18"/>
        </w:rPr>
        <w:t xml:space="preserve">关于四方-Square Technology — https://www.ntsquare.com/about/8?utm_source=openai</w:t>
      </w:r>
    </w:p>
    <w:p>
      <w:pPr>
        <w:spacing w:after="200"/>
      </w:pPr>
      <w:r>
        <w:rPr>
          <w:i/>
          <w:iCs/>
          <w:color w:val="595959"/>
          <w:sz w:val="18"/>
          <w:szCs w:val="18"/>
        </w:rPr>
        <w:t xml:space="preserve">雪人集团(002639)_公司公告_雪人集团：2026年半年度报告新浪财经_新浪网 — https://money.finance.sina.com.cn/corp/view/vCB_AllBulletinDetail.php?id=12520903&amp;stockid=002639</w:t>
      </w:r>
    </w:p>
    <w:p>
      <w:pPr>
        <w:spacing w:after="200"/>
      </w:pPr>
      <w:r>
        <w:rPr>
          <w:i/>
          <w:iCs/>
          <w:color w:val="595959"/>
          <w:sz w:val="18"/>
          <w:szCs w:val="18"/>
        </w:rPr>
        <w:t xml:space="preserve">雪人集团：2026年上半年净利润618.87万元 _ 东方财富网 — https://finance.eastmoney.com/a/202608233850375855.html?utm_source=openai</w:t>
      </w:r>
    </w:p>
    <w:p>
      <w:pPr>
        <w:spacing w:after="200"/>
      </w:pPr>
      <w:r>
        <w:rPr>
          <w:i/>
          <w:iCs/>
          <w:color w:val="595959"/>
          <w:sz w:val="18"/>
          <w:szCs w:val="18"/>
        </w:rPr>
        <w:t xml:space="preserve">雪人集团：预计2026年1-6月归属净利润盈利550万元至800万元_股票频道_证券之星 — https://stock.stockstar.com/RB2026071400043649.shtml?utm_source=openai</w:t>
      </w:r>
    </w:p>
    <w:p>
      <w:pPr>
        <w:spacing w:after="200"/>
      </w:pPr>
      <w:r>
        <w:rPr>
          <w:i/>
          <w:iCs/>
          <w:color w:val="595959"/>
          <w:sz w:val="18"/>
          <w:szCs w:val="18"/>
        </w:rPr>
        <w:t xml:space="preserve">雪人集团(002639) 盈利预测_F10_同花顺金融服务网 — https://basic.10jqka.com.cn/002639/worth.html</w:t>
      </w:r>
    </w:p>
    <w:p>
      <w:pPr>
        <w:spacing w:after="200"/>
      </w:pPr>
      <w:r>
        <w:rPr>
          <w:i/>
          <w:iCs/>
          <w:color w:val="595959"/>
          <w:sz w:val="18"/>
          <w:szCs w:val="18"/>
        </w:rPr>
        <w:t xml:space="preserve">雪人集团深度研究报告：从制冰龙头到 "氢能 + 核聚变" 双赛道黑马的价值重估_财富号_东方财富网 — https://caifuhao.eastmoney.com/news/20251220134500237944470?utm_source=openai</w:t>
      </w:r>
    </w:p>
    <w:p>
      <w:pPr>
        <w:spacing w:after="200"/>
      </w:pPr>
      <w:r>
        <w:rPr>
          <w:i/>
          <w:iCs/>
          <w:color w:val="595959"/>
          <w:sz w:val="18"/>
          <w:szCs w:val="18"/>
        </w:rPr>
        <w:t xml:space="preserve">雪人集团深度研究报告：从制冰龙头到"氢能+核聚变"双赛道黑马的价值重估_财富号_东方财富网 — https://caifuhao.eastmoney.com/news/20251220134951024598760?utm_source=openai</w:t>
      </w:r>
    </w:p>
    <w:p>
      <w:pPr>
        <w:spacing w:after="200"/>
      </w:pPr>
      <w:r>
        <w:rPr>
          <w:i/>
          <w:iCs/>
          <w:color w:val="595959"/>
          <w:sz w:val="18"/>
          <w:szCs w:val="18"/>
        </w:rPr>
        <w:t xml:space="preserve">https://igu888.com/hangqing/002639.html?utm_source=openai — https://igu888.com/hangqing/002639.html?utm_source=openai</w:t>
      </w:r>
    </w:p>
    <w:p>
      <w:pPr>
        <w:spacing w:after="200"/>
      </w:pPr>
      <w:r>
        <w:rPr>
          <w:i/>
          <w:iCs/>
          <w:color w:val="595959"/>
          <w:sz w:val="18"/>
          <w:szCs w:val="18"/>
        </w:rPr>
        <w:t xml:space="preserve">雪人集团(002639)_公司公告_雪人集团：股票交易异常波动公告新浪财经_新浪网 — https://money.finance.sina.com.cn/corp/view/vCB_AllBulletinDetail.php?id=12585796&amp;stockid=002639</w:t>
      </w:r>
    </w:p>
    <w:p>
      <w:pPr>
        <w:spacing w:after="200"/>
      </w:pPr>
      <w:r>
        <w:rPr>
          <w:i/>
          <w:iCs/>
          <w:color w:val="595959"/>
          <w:sz w:val="18"/>
          <w:szCs w:val="18"/>
        </w:rPr>
        <w:t xml:space="preserve">雪人集团(002639)_公司公告_雪人集团：2026年半年度业绩预告新浪财经_新浪网 — https://vip.stock.finance.sina.com.cn/corp/view/vCB_AllBulletinDetail.php?CompanyCode=80187887&amp;gather=1&amp;id=12446531</w:t>
      </w:r>
    </w:p>
    <w:p>
      <w:pPr>
        <w:spacing w:after="200"/>
      </w:pPr>
      <w:r>
        <w:rPr>
          <w:i/>
          <w:iCs/>
          <w:color w:val="595959"/>
          <w:sz w:val="18"/>
          <w:szCs w:val="18"/>
        </w:rPr>
        <w:t xml:space="preserve">雪人集团(002639) - 两年内流通股东 - 股票行情中心 - 搜狐证券 — https://q.stock.sohu.com/cn/002639/ltgd_2.shtml?utm_source=openai</w:t>
      </w:r>
    </w:p>
    <w:p>
      <w:pPr>
        <w:spacing w:after="200"/>
      </w:pPr>
      <w:r>
        <w:rPr>
          <w:i/>
          <w:iCs/>
          <w:color w:val="595959"/>
          <w:sz w:val="18"/>
          <w:szCs w:val="18"/>
        </w:rPr>
        <w:t xml:space="preserve">雪人集团_ 个股日历 _ 东方财富网_ 数据频道 — https://data.eastmoney.com/stockcalendar/002639.html?utm_source=openai</w:t>
      </w:r>
    </w:p>
    <w:p>
      <w:pPr>
        <w:spacing w:after="200"/>
      </w:pPr>
      <w:r>
        <w:rPr>
          <w:i/>
          <w:iCs/>
          <w:color w:val="595959"/>
          <w:sz w:val="18"/>
          <w:szCs w:val="18"/>
        </w:rPr>
        <w:t xml:space="preserve">雪人集团(002639)_公司公告_雪人集团：关于股东股权解除质押的公告新浪财经_新浪网 — https://money.finance.sina.com.cn/corp/view/vCB_AllBulletinDetail.php?id=12366218&amp;stockid=002639&amp;utm_source=openai</w:t>
      </w:r>
    </w:p>
    <w:p>
      <w:pPr>
        <w:spacing w:after="200"/>
      </w:pPr>
      <w:r>
        <w:rPr>
          <w:i/>
          <w:iCs/>
          <w:color w:val="595959"/>
          <w:sz w:val="18"/>
          <w:szCs w:val="18"/>
        </w:rPr>
        <w:t xml:space="preserve">雪人集团(002639)_公司公告_雪人集团：关于为全资子公司提供担保的进展公告新浪财经_新浪网 — https://money.finance.sina.com.cn/corp/view/vCB_AllBulletinDetail.php?id=12520895&amp;stockid=002639</w:t>
      </w:r>
    </w:p>
    <w:p>
      <w:pPr>
        <w:spacing w:after="200"/>
      </w:pPr>
      <w:r>
        <w:rPr>
          <w:i/>
          <w:iCs/>
          <w:color w:val="595959"/>
          <w:sz w:val="18"/>
          <w:szCs w:val="18"/>
        </w:rPr>
        <w:t xml:space="preserve">雪人集团(002639)_公司公告_雪人集团：2026年第一次临时股东会决议公告新浪财经_新浪网 — https://vip.stock.finance.sina.com.cn/corp/view/vCB_AllBulletinDetail.php?id=12593062&amp;stockid=002639</w:t>
      </w:r>
    </w:p>
    <w:p>
      <w:pPr>
        <w:spacing w:after="200"/>
      </w:pPr>
      <w:r>
        <w:rPr>
          <w:i/>
          <w:iCs/>
          <w:color w:val="595959"/>
          <w:sz w:val="18"/>
          <w:szCs w:val="18"/>
        </w:rPr>
        <w:t xml:space="preserve">福建雪人集团股份有限公司 2025 年年度报告全文 — https://static.cninfo.com.cn/finalpage/2026-04-28/1225212504.PDF?utm_source=openai</w:t>
      </w:r>
    </w:p>
    <w:p>
      <w:pPr>
        <w:spacing w:after="200"/>
      </w:pPr>
      <w:r>
        <w:rPr>
          <w:i/>
          <w:iCs/>
          <w:color w:val="595959"/>
          <w:sz w:val="18"/>
          <w:szCs w:val="18"/>
        </w:rPr>
        <w:t xml:space="preserve">深圳证券交易所主板上市公司列表 — https://zh.wikipedia.org/wiki/%E6%B7%B1%E5%9C%B3%E8%AF%81%E5%88%B8%E4%BA%A4%E6%98%93%E6%89%80%E4%B8%BB%E6%9D%BF%E4%B8%8A%E5%B8%82%E5%85%AC%E5%8F%B8%E5%88%97%E8%A1%A8?utm_source=openai</w:t>
      </w:r>
    </w:p>
    <w:p>
      <w:pPr>
        <w:spacing w:after="200"/>
      </w:pPr>
      <w:r>
        <w:rPr>
          <w:i/>
          <w:iCs/>
          <w:color w:val="595959"/>
          <w:sz w:val="18"/>
          <w:szCs w:val="18"/>
        </w:rPr>
        <w:t xml:space="preserve">雪人集团(002639)_股票行情，行情首页_中财网 — https://quote.cfi.cn/quote12435_002639.html?utm_source=openai</w:t>
      </w:r>
    </w:p>
    <w:p>
      <w:pPr>
        <w:spacing w:after="200"/>
      </w:pPr>
      <w:r>
        <w:rPr>
          <w:i/>
          <w:iCs/>
          <w:color w:val="595959"/>
          <w:sz w:val="18"/>
          <w:szCs w:val="18"/>
        </w:rPr>
        <w:t xml:space="preserve">雪人集团(002639)_股票行情，行情首页_中财网 — https://quote.cfi.cn/quote12435_002639.html</w:t>
      </w:r>
    </w:p>
    <w:p>
      <w:pPr>
        <w:spacing w:after="200"/>
      </w:pPr>
      <w:r>
        <w:rPr>
          <w:i/>
          <w:iCs/>
          <w:color w:val="595959"/>
          <w:sz w:val="18"/>
          <w:szCs w:val="18"/>
        </w:rPr>
        <w:t xml:space="preserve">雪人股份(002639)股票最新价格行情,实时走势图,股价分析预测_英为财情Investing.com — https://cn.investing.com/equities/fujian-snowman-a?utm_source=openai</w:t>
      </w:r>
    </w:p>
    <w:p>
      <w:pPr>
        <w:spacing w:after="200"/>
      </w:pPr>
      <w:r>
        <w:rPr>
          <w:i/>
          <w:iCs/>
          <w:color w:val="595959"/>
          <w:sz w:val="18"/>
          <w:szCs w:val="18"/>
        </w:rPr>
        <w:t xml:space="preserve">雪人集团(002639.SZ) 股票行情_历史数据_主力资金 - 大波浪数据 — https://www.yyqyx.com/s/002639.SZ</w:t>
      </w:r>
    </w:p>
    <w:p>
      <w:pPr>
        <w:spacing w:after="200"/>
      </w:pPr>
      <w:r>
        <w:rPr>
          <w:i/>
          <w:iCs/>
          <w:color w:val="595959"/>
          <w:sz w:val="18"/>
          <w:szCs w:val="18"/>
        </w:rPr>
        <w:t xml:space="preserve">雪人集团(002639)_资金流向_证券之星 — https://stock.quote.stockstar.com/capital_002639.shtml</w:t>
      </w:r>
    </w:p>
    <w:p>
      <w:pPr>
        <w:spacing w:after="200"/>
      </w:pPr>
      <w:r>
        <w:rPr>
          <w:i/>
          <w:iCs/>
          <w:color w:val="595959"/>
          <w:sz w:val="18"/>
          <w:szCs w:val="18"/>
        </w:rPr>
        <w:t xml:space="preserve">雪人集团(002639) - 流通股股东 - 股票行情中心 - 搜狐证券 — https://q.stock.sohu.com/cn/002639/ltgd.shtml?utm_source=openai</w:t>
      </w:r>
    </w:p>
    <w:p>
      <w:pPr>
        <w:spacing w:after="200"/>
      </w:pPr>
      <w:r>
        <w:rPr>
          <w:i/>
          <w:iCs/>
          <w:color w:val="595959"/>
          <w:sz w:val="18"/>
          <w:szCs w:val="18"/>
        </w:rPr>
        <w:t xml:space="preserve">本报告由AI基于公开渠道信息自动检索、整理并生成，信息截至 截至2026年9月11日收盘；技术指标为日线、不复权口径，主要来自单一技术数据源测算；股东数据截至2026年6月30日，存在季度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2026-09-13T16:21:28.799Z</dcterms:created>
  <dcterms:modified xsi:type="dcterms:W3CDTF">2026-09-13T16:21:28.799Z</dcterms:modified>
</cp:coreProperties>
</file>

<file path=docProps/custom.xml><?xml version="1.0" encoding="utf-8"?>
<Properties xmlns="http://schemas.openxmlformats.org/officeDocument/2006/custom-properties" xmlns:vt="http://schemas.openxmlformats.org/officeDocument/2006/docPropsVTypes"/>
</file>