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众信旅游集团股份有限公司 (002707)</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行业：旅游服务</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截至2026年9月11日收盘；技术指标按不复权日线数据计算</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众信旅游当前最具决策意义的特征是“收入规模基本稳定但盈利仍承压”：2026年上半年营业收入27.9981亿元，同比下降2.60%；归母净利润3071.70万元，同比下降24.06%，扣非归母净利润同比下降23.04%。2025年全年收入虽增长5.69%至68.2247亿元，但归母净利润仅705.87万元，同比下降93.34%，显示收入恢复尚未转化为稳定的利润增长。</w:t>
      </w:r>
    </w:p>
    <w:p>
      <w:pPr>
        <w:spacing w:after="160" w:line="300"/>
      </w:pPr>
      <w:r>
        <w:rPr>
          <w:sz w:val="22"/>
          <w:szCs w:val="22"/>
        </w:rPr>
        <w:t xml:space="preserve">业务结构正在调整。2026年上半年旅游批发收入19.79亿元，同比下降10.20%，仍是主要收入来源；旅游零售收入4.77亿元，同比增长20.66%，整合营销服务收入3.32亿元，同比增长28.00%。相较之下，2024年旅游批发收入占比达74.26%，但旅游零售毛利率为21.84%，显著高于旅游批发的11.95%和整合营销服务的7.33%，因此零售占比提升、产品结构改善及渠道效率提升，是后续利润修复的重要逻辑。</w:t>
      </w:r>
    </w:p>
    <w:p>
      <w:pPr>
        <w:spacing w:after="160" w:line="300"/>
      </w:pPr>
      <w:r>
        <w:rPr>
          <w:sz w:val="22"/>
          <w:szCs w:val="22"/>
        </w:rPr>
        <w:t xml:space="preserve">公司位于旅游产业链中游偏下游，核心能力主要体现为出境游产品开发、资源整合、批发零售渠道和客户服务，而非自有航空、酒店或景区资产。2024年营业收入64.55亿元，同比增长95.70%，旅游服务收入占比99.28%；但行业竞争分散、旅游产品同质化、OTA流量优势以及机票酒店、地接、汇率和目的地政策等外部因素，限制了公司的定价和利润稳定性。</w:t>
      </w:r>
    </w:p>
    <w:p>
      <w:pPr>
        <w:spacing w:after="160" w:line="300"/>
      </w:pPr>
      <w:r>
        <w:rPr>
          <w:sz w:val="22"/>
          <w:szCs w:val="22"/>
        </w:rPr>
        <w:t xml:space="preserve">估值和短线表现均反映出较高的不确定性。截至2026年9月11日股价为5.46元，总市值约53.67亿元，按机构预测EPS计算的2026—2028年预测PE约为109倍、68倍和50倍；同期股价低于MA5、MA10并与MA20及布林带中轨重合，MACD柱为负，近10个交易日主力资金净流出约2359万元。机构预测的利润修复尚未被当前经营数据充分验证，后续需重点观察批发业务能否止跌、零售及整合营销增长能否改善整体利润率。</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002707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众信旅游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研究基准日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2026年9月13日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核心经营数据截至</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主要数据来源</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公司2024年年度报告，公告披露日为2025年4月29日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北京市朝阳区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旅游批发、旅游零售、整合营销服务，并延伸至入境旅游、国内旅游、高端旅游、游学留学、目的地服务等领域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64.55亿元，同比增长95.70%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2024年旅游服务收入占比</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99.28%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产能口径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公司不属于制造业或资源类企业，未披露设计产能、产能利用率或旅游产品库存量；其“产能”主要体现为旅游产品开发、目的地资源整合、渠道覆盖、供应链组织和客户服务能力</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旅游批发：采购机票、酒店、景点、餐厅、签证、邮轮、地接等上游资源，设计旅游产品后通过旅行社、旅游代理商和其他分销渠道销售；2024年收入47.93亿元，占营业收入74.26%，同比增长136.43%，毛利率11.95%，主要由优耐德旅游、竹园国旅等品牌承载。</w:t>
      </w:r>
    </w:p>
    <w:p>
      <w:pPr>
        <w:pStyle w:val="ListParagraph"/>
        <w:numPr>
          <w:ilvl w:val="0"/>
          <w:numId w:val="2"/>
        </w:numPr>
        <w:spacing w:after="80" w:line="280"/>
      </w:pPr>
      <w:r>
        <w:rPr>
          <w:sz w:val="22"/>
          <w:szCs w:val="22"/>
        </w:rPr>
        <w:t xml:space="preserve">旅游零售：直接面向终端消费者销售旅游产品，渠道包括直营网点、合作经营网点、旅游顾问、呼叫中心、官方网站、社交媒体、直播平台、社群和OTA合作等；2024年收入7.46亿元，占营业收入11.55%，同比增长59.83%，毛利率21.84%。</w:t>
      </w:r>
    </w:p>
    <w:p>
      <w:pPr>
        <w:pStyle w:val="ListParagraph"/>
        <w:numPr>
          <w:ilvl w:val="0"/>
          <w:numId w:val="2"/>
        </w:numPr>
        <w:spacing w:after="80" w:line="280"/>
      </w:pPr>
      <w:r>
        <w:rPr>
          <w:sz w:val="22"/>
          <w:szCs w:val="22"/>
        </w:rPr>
        <w:t xml:space="preserve">整合营销服务：面向企业、政府和机构客户，提供企业营销咨询、会议执行、参展观展、路演发布、奖励旅游、差旅服务和目的地二次开发等服务；2024年收入8.70亿元，占营业收入13.48%，同比增长11.61%，毛利率7.33%，主要由众信博睿及相关子公司运营。</w:t>
      </w:r>
    </w:p>
    <w:p>
      <w:pPr>
        <w:pStyle w:val="ListParagraph"/>
        <w:numPr>
          <w:ilvl w:val="0"/>
          <w:numId w:val="2"/>
        </w:numPr>
        <w:spacing w:after="80" w:line="280"/>
      </w:pPr>
      <w:r>
        <w:rPr>
          <w:sz w:val="22"/>
          <w:szCs w:val="22"/>
        </w:rPr>
        <w:t xml:space="preserve">其他延伸业务：包括入境旅游、国内旅游、高端旅游、游学留学、移民置业、健康医疗和目的地碎片化服务等；公司还与阿里巴巴相关主体共同投资设立杭州阿信，建设旅游行业B2B分销平台。</w:t>
      </w:r>
    </w:p>
    <w:p>
      <w:pPr>
        <w:pStyle w:val="ListParagraph"/>
        <w:numPr>
          <w:ilvl w:val="0"/>
          <w:numId w:val="2"/>
        </w:numPr>
        <w:spacing w:after="80" w:line="280"/>
      </w:pPr>
      <w:r>
        <w:rPr>
          <w:sz w:val="22"/>
          <w:szCs w:val="22"/>
        </w:rPr>
        <w:t xml:space="preserve">2024年其他业务收入0.46亿元，占营业收入0.72%。</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众信旅游位于旅游产业链中游偏下游，属于“上游资源整合和产品设计＋下游渠道分销与终端服务”的综合旅游服务商。公司不拥有稀缺自然资源或大规模自有航空、酒店、景区资产，资源优势主要体现为采购规模、产品组织效率、渠道覆盖和品牌信任。</w:t>
      </w:r>
    </w:p>
    <w:p>
      <w:pPr>
        <w:pStyle w:val="ListParagraph"/>
        <w:numPr>
          <w:ilvl w:val="0"/>
          <w:numId w:val="2"/>
        </w:numPr>
        <w:spacing w:after="80" w:line="280"/>
      </w:pPr>
      <w:r>
        <w:rPr>
          <w:sz w:val="22"/>
          <w:szCs w:val="22"/>
        </w:rPr>
        <w:t xml:space="preserve">公司实际采购的主要资源包括机票及航空运输、境内外酒店、境外地接、导游、车辆、餐饮、景区门票、目的地体验项目、签证服务、邮轮资源，以及会展场地、活动执行和商务服务资源。</w:t>
      </w:r>
    </w:p>
    <w:p>
      <w:pPr>
        <w:pStyle w:val="ListParagraph"/>
        <w:numPr>
          <w:ilvl w:val="0"/>
          <w:numId w:val="2"/>
        </w:numPr>
        <w:spacing w:after="80" w:line="280"/>
      </w:pPr>
      <w:r>
        <w:rPr>
          <w:sz w:val="22"/>
          <w:szCs w:val="22"/>
        </w:rPr>
        <w:t xml:space="preserve">2024年前五名供应商采购金额合计10.43亿元，占年度采购总额18.57%；供应商名称以“供应商1”等匿名方式披露，无法判断其具体集中于航空公司、酒店集团或境外地接服务商。</w:t>
      </w:r>
    </w:p>
    <w:p>
      <w:pPr>
        <w:pStyle w:val="ListParagraph"/>
        <w:numPr>
          <w:ilvl w:val="0"/>
          <w:numId w:val="2"/>
        </w:numPr>
        <w:spacing w:after="80" w:line="280"/>
      </w:pPr>
      <w:r>
        <w:rPr>
          <w:sz w:val="22"/>
          <w:szCs w:val="22"/>
        </w:rPr>
        <w:t xml:space="preserve">2024年第一大供应商采购占比为8.90%，存在部分核心资源依赖；前五大供应商集中度数据来自公司2024年年度报告，但供应商身份未披露，无法进一步交叉判断业务性质。</w:t>
      </w:r>
    </w:p>
    <w:p>
      <w:pPr>
        <w:pStyle w:val="ListParagraph"/>
        <w:numPr>
          <w:ilvl w:val="0"/>
          <w:numId w:val="2"/>
        </w:numPr>
        <w:spacing w:after="80" w:line="280"/>
      </w:pPr>
      <w:r>
        <w:rPr>
          <w:sz w:val="22"/>
          <w:szCs w:val="22"/>
        </w:rPr>
        <w:t xml:space="preserve">公司上游议价能力主要来自集中采购、批发规模、长期合作和产品整合能力，但航空票价、酒店价格、境外服务费、汇率和目的地政策具有较强外部约束，公司并不拥有对上游成本的绝对定价权。</w:t>
      </w:r>
    </w:p>
    <w:p>
      <w:pPr>
        <w:pStyle w:val="ListParagraph"/>
        <w:numPr>
          <w:ilvl w:val="0"/>
          <w:numId w:val="2"/>
        </w:numPr>
        <w:spacing w:after="80" w:line="280"/>
      </w:pPr>
      <w:r>
        <w:rPr>
          <w:sz w:val="22"/>
          <w:szCs w:val="22"/>
        </w:rPr>
        <w:t xml:space="preserve">出境游业务涉及美元、欧元等外币支付，公司通过远期购汇等方式管理部分汇率风险。</w:t>
      </w:r>
    </w:p>
    <w:p>
      <w:pPr>
        <w:pStyle w:val="ListParagraph"/>
        <w:numPr>
          <w:ilvl w:val="0"/>
          <w:numId w:val="2"/>
        </w:numPr>
        <w:spacing w:after="80" w:line="280"/>
      </w:pPr>
      <w:r>
        <w:rPr>
          <w:sz w:val="22"/>
          <w:szCs w:val="22"/>
        </w:rPr>
        <w:t xml:space="preserve">旅游批发主要通过旅行社代理商、零售旅行社和其他分销渠道触达终端消费者；旅游零售直接面对个人游客；整合营销服务主要面向政府、企业和机构客户。</w:t>
      </w:r>
    </w:p>
    <w:p>
      <w:pPr>
        <w:pStyle w:val="ListParagraph"/>
        <w:numPr>
          <w:ilvl w:val="0"/>
          <w:numId w:val="2"/>
        </w:numPr>
        <w:spacing w:after="80" w:line="280"/>
      </w:pPr>
      <w:r>
        <w:rPr>
          <w:sz w:val="22"/>
          <w:szCs w:val="22"/>
        </w:rPr>
        <w:t xml:space="preserve">截至2024年，前五名客户销售金额合计9.78亿元，占年度销售总额15.16%，第一大客户占10.43%。该数据来自公司2024年年度报告，但客户名称均以“客户1”等匿名方式披露，无法判断其是否为大型OTA、旅行社代理商、企业客户或其他机构客户；该数据来源单一，具体以最新年报为准。</w:t>
      </w:r>
    </w:p>
    <w:p>
      <w:pPr>
        <w:pStyle w:val="ListParagraph"/>
        <w:numPr>
          <w:ilvl w:val="0"/>
          <w:numId w:val="2"/>
        </w:numPr>
        <w:spacing w:after="80" w:line="280"/>
      </w:pPr>
      <w:r>
        <w:rPr>
          <w:sz w:val="22"/>
          <w:szCs w:val="22"/>
        </w:rPr>
        <w:t xml:space="preserve">旅游产品同质化程度较高，消费者价格比较便利，大型OTA平台拥有流量和搜索入口优势；批发商需要依靠产品组合、目的地资源、服务质量和渠道效率维持利润。</w:t>
      </w:r>
    </w:p>
    <w:p>
      <w:pPr>
        <w:pStyle w:val="ListParagraph"/>
        <w:numPr>
          <w:ilvl w:val="0"/>
          <w:numId w:val="2"/>
        </w:numPr>
        <w:spacing w:after="80" w:line="280"/>
      </w:pPr>
      <w:r>
        <w:rPr>
          <w:sz w:val="22"/>
          <w:szCs w:val="22"/>
        </w:rPr>
        <w:t xml:space="preserve">零售业务直接触达消费者，毛利率通常高于批发，但需要承担更多获客、门店、人员和营销费用；整合营销服务依赖大客户获取、项目投标和执行能力，利润率相对较低。</w:t>
      </w:r>
    </w:p>
    <w:p>
      <w:pPr>
        <w:pStyle w:val="ListParagraph"/>
        <w:numPr>
          <w:ilvl w:val="0"/>
          <w:numId w:val="2"/>
        </w:numPr>
        <w:spacing w:after="80" w:line="280"/>
      </w:pPr>
      <w:r>
        <w:rPr>
          <w:sz w:val="22"/>
          <w:szCs w:val="22"/>
        </w:rPr>
        <w:t xml:space="preserve">公司面临的下游竞争并非汽车零部件行业的“年降”模式，主要表现为消费者价格比较、OTA流量竞争、旅行社渠道竞争以及机构客户项目获取竞争。</w:t>
      </w:r>
    </w:p>
    <w:p>
      <w:pPr>
        <w:pStyle w:val="ListParagraph"/>
        <w:numPr>
          <w:ilvl w:val="0"/>
          <w:numId w:val="2"/>
        </w:numPr>
        <w:spacing w:after="80" w:line="280"/>
      </w:pPr>
      <w:r>
        <w:rPr>
          <w:sz w:val="22"/>
          <w:szCs w:val="22"/>
        </w:rPr>
        <w:t xml:space="preserve">截至2024年12月31日，应收账款2.98亿元，占营业收入约4.61%；预付款项4.51亿元，占营业收入约6.99%；应付账款4.26亿元，占营业收入约6.59%；合同负债5.79亿元，占营业收入约8.97%。预付款项增加主要因为业务规模增长、支付了较多机票和酒店等预付款；合同负债增加主要由于预收春节等期间的旅游业务款项。应收账款占收入比例低于预付款项和合同负债比例，体现一定的“先收客户款、再向供应商支付”特征，但不能据此认定公司拥有很强的上游议价能力，旺季期间仍可能因提前锁定资源而增加资金占用。</w:t>
      </w:r>
    </w:p>
    <w:p>
      <w:pPr>
        <w:pStyle w:val="ListParagraph"/>
        <w:numPr>
          <w:ilvl w:val="0"/>
          <w:numId w:val="2"/>
        </w:numPr>
        <w:spacing w:after="80" w:line="280"/>
      </w:pPr>
      <w:r>
        <w:rPr>
          <w:sz w:val="22"/>
          <w:szCs w:val="22"/>
        </w:rPr>
        <w:t xml:space="preserve">截至2024年，前五大供应商采购金额占年度采购总额18.57%，前五大客户销售金额占年度销售总额15.16%；两项数据均来自公司2024年年度报告，名称均匿名披露，无法进一步核实具体交易对手及业务性质。供应商和客户集中度数据仅有该年度纪要所述口径，未提供可交叉核实的其他年度数据，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旅游服务10.88%；旅游批发14.57%；旅游零售13.82%；整合营销服务8.69%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数据缺失，研究纪要未提供公司净利率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出境游仍受疫情及跨境出行限制影响，收入规模较低，整合营销服务占比较高；批发毛利率较高可能与业务量低、产品结构和成本确认方式变化有关，不宜视为正常周期稳定水平。</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旅游服务10.99%；旅游批发11.51%；旅游零售15.55%；整合营销服务6.91%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数据缺失，研究纪要未提供公司净利率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出境游逐步恢复，旅游批发收入同比增长18.58倍；快速恢复期上游资源、产品推广和渠道投入增加，批发毛利率较2022年下降，零售毛利率提升，整合营销服务毛利率下降。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旅游服务12.47%；旅游批发11.95%；旅游零售21.84%；整合营销服务7.33%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数据缺失，研究纪要未提供公司净利率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出境游进一步恢复、旅游批发规模扩大；零售业务受直接触达终端消费者、产品结构改善及渠道恢复影响，毛利率提升最明显；整合营销服务仍受人工、项目执行和客户获取成本影响。</w:t>
            </w:r>
          </w:p>
        </w:tc>
      </w:tr>
    </w:tbl>
    <w:p>
      <w:pPr>
        <w:spacing w:before="200"/>
      </w:pPr>
    </w:p>
    <w:p>
      <w:pPr>
        <w:spacing w:after="160" w:line="300"/>
      </w:pPr>
      <w:r>
        <w:rPr>
          <w:sz w:val="22"/>
          <w:szCs w:val="22"/>
        </w:rPr>
        <w:t xml:space="preserve">公司处于旅游产业链中游偏下游，属于上游资源采购整合、旅游产品设计与下游渠道分销相结合的综合服务商，整体并非高毛利的上游资源或强品牌消费品企业。进一步改善利润主要依赖出境游客流恢复、旅游零售占比提升、产品结构升级、集中采购与产品差异化，以及线上线下渠道效率和规模效应提升；同时受机票酒店及地接价格、汇率、目的地政策、游客需求和营销费用影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27.9981亿元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同比下降2.60%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归属于上市公司股东的净利润3071.70万元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同比下降24.06%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约15.34亿元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同比下降10.23%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归属于上市公司股东的净利润约2100万元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同比下降3.10%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68.2247亿元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同比增长5.69%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归属于上市公司股东的净利润705.87万元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同比下降93.34%</w:t>
            </w:r>
          </w:p>
        </w:tc>
      </w:tr>
    </w:tbl>
    <w:p>
      <w:pPr>
        <w:spacing w:after="200"/>
      </w:pPr>
      <w:r>
        <w:rPr>
          <w:i/>
          <w:iCs/>
          <w:color w:val="595959"/>
          <w:sz w:val="18"/>
          <w:szCs w:val="18"/>
        </w:rPr>
        <w:t xml:space="preserve">2026年上半年扣除非经常性损益后的归母净利润为2716.29万元，同比下降23.04%；基本每股收益0.031元，同比下降24.39%；经营活动现金流净额2.9007亿元，同比下降17.05%。截至2026年6月30日，归属于上市公司股东的净资产为9.2801亿元，较2025年末增长3.95%；总资产为27.7428亿元，较2025年末增长14.67%。2025年扣非归母净利润为7146.40万元，同比下降32.05%，基本每股收益约0.007元。</w:t>
      </w:r>
    </w:p>
    <w:p>
      <w:pPr>
        <w:spacing w:after="160" w:line="300"/>
      </w:pPr>
      <w:r>
        <w:rPr>
          <w:sz w:val="22"/>
          <w:szCs w:val="22"/>
        </w:rPr>
        <w:t xml:space="preserve">2026年上半年收入和归母净利润均同比下降，利润尚未恢复增长。业务结构方面，旅游批发收入约19.79亿元，同比下降10.20%；旅游零售收入约4.77亿元，同比增长20.66%；整合营销服务收入约3.32亿元，同比增长28.00%。收入增长主要来自旅游零售和整合营销，但传统旅游批发业务仍然承压。2025年收入保持增长但利润明显下滑，收入增长与利润增长严重背离；公司2025年第四季度归母净亏损约5936万元。</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数据显示，截至2026年9月10日，近6个月内共有6家机构对2026年度业绩进行预测。上述同花顺数据由其根据券商研报摘录整理，并非上市公司业绩指引，也不代表同花顺投资观点。2027—2028年营业收入的一致预测披露不完整，不宜直接视为可靠的市场一致预期。不同券商预测存在差异，机构预测对出境游需求、汇率、地缘政治环境及居民消费意愿较为敏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同花顺机构预测均值约70.77亿元；券商预测为68.32亿至69.45亿元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同花顺机构预测归母净利润均值约0.55亿元，区间约0.40亿至0.63亿元；券商预测为0.60亿至0.63亿元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未披露明确同比增速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同花顺机构预测均值约0.05元，区间约0.04至0.06元；券商预测约0.05至0.06元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同花顺多机构一致预测披露不完整；财通证券预测72.93亿元，国泰海通预测68.41亿元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同花顺机构预测均值约0.78亿元，区间约0.74亿至0.82亿元；券商预测为0.74亿至0.82亿元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未披露明确同比增速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同花顺机构预测均值约0.08元；券商预测约0.08元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同花顺多机构一致预测披露不完整；财通证券预测76.57亿元，国泰海通预测69.50亿元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同花顺机构预测均值约1.11亿元，区间约1.05亿至1.19亿元；券商预测为1.06亿至1.19亿元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未披露明确同比增速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同花顺机构预测均值约0.11元；券商预测约0.11至0.12元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2026年4月29日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目标价7.33元；预计2026—2028年营业收入分别为68.32亿元、68.41亿元和69.50亿元，EPS分别约为0.05元、0.08元和0.11元；给予2026年1.05倍PS估值。</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预计2026—2028年归母净利润分别为0.60亿元、0.74亿元和1.11亿元，EPS分别为0.06元、0.08元和0.11元；未披露明确目标价。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财通证券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预计2026—2028年营业收入分别为69.45亿元、72.93亿元和76.57亿元，归母净利润分别为0.63亿元、0.82亿元和1.06亿元，EPS分别约为0.06元、0.08元和0.11元；对应PE约为87倍、67倍和52倍；未披露明确目标价。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山西证券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预计2026—2028年归母净利润分别为0.63亿元、0.78亿元和1.19亿元，EPS分别为0.06元、0.08元和0.12元；未披露明确目标价。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同花顺近6个月评级统计</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页面统计为3家机构给出增持，未显示买入、中性、减持或卖出评级。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12个月平均目标价5.90元，覆盖分析师数量为1名；样本较小，仅作辅助参考。</w:t>
            </w:r>
          </w:p>
        </w:tc>
      </w:tr>
    </w:tbl>
    <w:p>
      <w:pPr>
        <w:spacing w:before="200"/>
      </w:pPr>
    </w:p>
    <w:p>
      <w:pPr>
        <w:spacing w:after="160" w:line="300"/>
      </w:pPr>
      <w:r>
        <w:rPr>
          <w:sz w:val="22"/>
          <w:szCs w:val="22"/>
        </w:rPr>
        <w:t xml:space="preserve">截至2026年9月11日，股价约5.47元，总股本约9.827亿股，总市值约53.75亿元，52周价格区间约为4.60—9.09元。根据2026年6月30日归属于上市公司股东的净资产9.2801亿元计算，每股净资产约0.944元，静态PB约5.79倍。由于公司过去12个月归母利润较低，部分行情平台显示TTM市盈率为负值、空值或无法计算，因此当前估值更适合采用预测PE。按同花顺机构预测EPS均值计算，2026—2028年预测PE约为109倍、68倍和50倍；按财通证券或光大证券的2026年EPS约0.06元预测，对应PE约91倍。总体看，当前股价已对未来利润恢复给予较高估值，估值并不便宜，主要依赖未来利润兑现而非当前盈利水平支撑。近期可核实的券商目标价主要为国泰海通的7.33元；Investing.com目标价为5.90元但仅覆盖1名分析师，二者存在较大差异，目标价数据缺乏充分交叉验证。同花顺披露的“6家机构预测”与页面可见的具体机构明细并不完全一致，建议将2026年约0.55亿元的归母净利润视为机构预测区间中枢，而非确定性业绩结论。</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独立董事任期届满辞职并启动补选程序</w:t>
      </w:r>
    </w:p>
    <w:p>
      <w:pPr>
        <w:spacing w:after="160" w:line="300"/>
      </w:pPr>
      <w:r>
        <w:rPr>
          <w:sz w:val="22"/>
          <w:szCs w:val="22"/>
        </w:rPr>
        <w:t xml:space="preserve">2026年9月12日，公司披露独立董事辞职及补选相关公告。原独立董事张志顺因连续任职即将满六年，申请辞去第六届董事会独立董事、董事会审计委员会召集人、薪酬与考核委员会委员及提名委员会委员职务。由于其辞职后将导致董事会独立董事比例低于三分之一，且董事会缺少会计专业人士，辞职将在股东会选举产生新任独立董事后生效，在此之前仍继续履行相关职责。公司提名张永慧为第六届董事会独立董事候选人，并拟在其当选后担任审计委员会召集人、薪酬与考核委员会委员及提名委员会委员。张永慧尚未取得独立董事资格证书，已承诺参加深交所最近一期独立董事培训并取得相关资格；候选人任职资格和独立性尚需经深交所审核无异议后提交股东会审议。</w:t>
      </w:r>
    </w:p>
    <w:p>
      <w:pPr>
        <w:pStyle w:val="Heading2"/>
        <w:spacing w:after="120" w:before="240"/>
      </w:pPr>
      <w:r>
        <w:rPr>
          <w:b/>
          <w:bCs/>
          <w:color w:val="2E74B5"/>
          <w:sz w:val="24"/>
          <w:szCs w:val="24"/>
        </w:rPr>
        <w:t xml:space="preserve">4.2 拟于2026年10月13日召开临时股东会审议独立董事补选</w:t>
      </w:r>
    </w:p>
    <w:p>
      <w:pPr>
        <w:spacing w:after="160" w:line="300"/>
      </w:pPr>
      <w:r>
        <w:rPr>
          <w:sz w:val="22"/>
          <w:szCs w:val="22"/>
        </w:rPr>
        <w:t xml:space="preserve">公司拟于2026年10月13日召开2026年第一次临时股东会，审议《关于补选公司独立董事的议案》，股权登记日为2026年10月8日。该议案为普通决议议案，需经出席股东所持有效表决权股份的二分之一以上通过。部分公告转录页面存在网络投票日期字段缺失，相关正式日期应以公司在巨潮资讯网披露的公告原文为准。</w:t>
      </w:r>
    </w:p>
    <w:p>
      <w:pPr>
        <w:pStyle w:val="Heading2"/>
        <w:spacing w:after="120" w:before="240"/>
      </w:pPr>
      <w:r>
        <w:rPr>
          <w:b/>
          <w:bCs/>
          <w:color w:val="2E74B5"/>
          <w:sz w:val="24"/>
          <w:szCs w:val="24"/>
        </w:rPr>
        <w:t xml:space="preserve">4.3 2026年半年度业绩承压，零售及整合营销业务增长</w:t>
      </w:r>
    </w:p>
    <w:p>
      <w:pPr>
        <w:spacing w:after="160" w:line="300"/>
      </w:pPr>
      <w:r>
        <w:rPr>
          <w:sz w:val="22"/>
          <w:szCs w:val="22"/>
        </w:rPr>
        <w:t xml:space="preserve">公司于2026年8月29日披露2026年半年度报告。2026年上半年实现营业收入27.9981亿元，同比下降2.60%；归属于上市公司股东的净利润3071.70万元，同比下降24.06%；扣除非经常性损益后的归母净利润2716.29万元，同比下降23.04%；经营活动产生的现金流量净额2.9007亿元，同比下降17.05%。分业务看，旅游批发收入19.7897亿元，同比下降10.20%；旅游零售收入4.7743亿元，同比增长20.66%；整合营销服务收入3.3164亿元，同比增长28.00%。公司计划2026年半年度不派发现金红利、不送红股、不以公积金转增股本。公司提示了行业竞争、出境目的地政治经济变化、签证政策、汇率波动及并购整合等风险，并称正在推进目的地资源整合、渠道下沉、数智化转型和“旅游+”业务拓展。</w:t>
      </w:r>
    </w:p>
    <w:p>
      <w:pPr>
        <w:pStyle w:val="Heading2"/>
        <w:spacing w:after="120" w:before="240"/>
      </w:pPr>
      <w:r>
        <w:rPr>
          <w:b/>
          <w:bCs/>
          <w:color w:val="2E74B5"/>
          <w:sz w:val="24"/>
          <w:szCs w:val="24"/>
        </w:rPr>
        <w:t xml:space="preserve">4.4 新增5700万元子公司融资担保，累计担保余额2.70亿元</w:t>
      </w:r>
    </w:p>
    <w:p>
      <w:pPr>
        <w:spacing w:after="160" w:line="300"/>
      </w:pPr>
      <w:r>
        <w:rPr>
          <w:sz w:val="22"/>
          <w:szCs w:val="22"/>
        </w:rPr>
        <w:t xml:space="preserve">2026年8月29日，公司披露为全资子公司提供担保的进展公告。本次新增最高本金余额合计5700万元，其中：为优耐德（北京）国际旅行社有限公司提供中国银行北京崇文支行3000万元、南京银行北京分行1000万元担保；为众信博睿（北京）国际商务会议展览有限公司提供南京银行北京分行700万元担保；为竹园国际旅行社有限公司提供南京银行北京分行1000万元担保。担保方式均为连带责任保证，保证期间为债务履行期限届满之日起三年。本次担保在公司此前审议通过的2026年度与10家控股子公司合计20亿元互保额度内，无需再次提交董事会或股东会审议。截至公告披露日，公司对子公司的实际担保余额为2.70亿元，占最近一期经审计归属于上市公司股东净资产的30.24%；除对子公司的担保外，公司及子公司不存在其他对外担保，也不存在逾期担保。</w:t>
      </w:r>
    </w:p>
    <w:p>
      <w:pPr>
        <w:pStyle w:val="Heading2"/>
        <w:spacing w:after="120" w:before="240"/>
      </w:pPr>
      <w:r>
        <w:rPr>
          <w:b/>
          <w:bCs/>
          <w:color w:val="2E74B5"/>
          <w:sz w:val="24"/>
          <w:szCs w:val="24"/>
        </w:rPr>
        <w:t xml:space="preserve">4.5 子公司收到120万元政府补助</w:t>
      </w:r>
    </w:p>
    <w:p>
      <w:pPr>
        <w:spacing w:after="160" w:line="300"/>
      </w:pPr>
      <w:r>
        <w:rPr>
          <w:sz w:val="22"/>
          <w:szCs w:val="22"/>
        </w:rPr>
        <w:t xml:space="preserve">2026年8月5日，公司披露全资子公司众信博睿整合营销咨询股份有限公司下属子公司众信博睿（北京）国际商务会议展览有限公司收到与收益相关的政府补助120万元。该补助已实际收到，预计计入2026年度营业外收入并增加2026年度利润总额120万元，最终会计处理及对利润的影响以会计师事务所年度审计确认结果为准。该金额约占公司最近一期经审计归属于上市公司股东净利润的17.00%，但属于一次性政府补助，持续性有限。</w:t>
      </w:r>
    </w:p>
    <w:p>
      <w:pPr>
        <w:pStyle w:val="Heading2"/>
        <w:spacing w:after="120" w:before="240"/>
      </w:pPr>
      <w:r>
        <w:rPr>
          <w:b/>
          <w:bCs/>
          <w:color w:val="2E74B5"/>
          <w:sz w:val="24"/>
          <w:szCs w:val="24"/>
        </w:rPr>
        <w:t xml:space="preserve">4.6 未检索到近期业绩预告、回购、增减持及重大并购公告</w:t>
      </w:r>
    </w:p>
    <w:p>
      <w:pPr>
        <w:spacing w:after="160" w:line="300"/>
      </w:pPr>
      <w:r>
        <w:rPr>
          <w:sz w:val="22"/>
          <w:szCs w:val="22"/>
        </w:rPr>
        <w:t xml:space="preserve">截至2026年9月13日，在本次检索到的2026年8月至9月公告信息中，未发现公司新披露2026年三季度业绩预告或业绩预告修正公告；未发现2026年9月新披露的股份回购方案、回购进展或回购注销公告；未检索到2026年8月至9月期间控股股东、实际控制人或主要股东新披露的增持、减持计划及实施进展；未发现2026年8月至9月新披露的重大并购、资产重组或收购交易公告。上述结论属于截至纪要时点的公告检索结果，不代表公司明确声明未来不会实施相关事项。</w:t>
      </w:r>
    </w:p>
    <w:p>
      <w:pPr>
        <w:pStyle w:val="Heading2"/>
        <w:spacing w:after="120" w:before="240"/>
      </w:pPr>
      <w:r>
        <w:rPr>
          <w:b/>
          <w:bCs/>
          <w:color w:val="2E74B5"/>
          <w:sz w:val="24"/>
          <w:szCs w:val="24"/>
        </w:rPr>
        <w:t xml:space="preserve">4.7 未发现近期新增监管措施、行政处罚或交易所纪律处分公告</w:t>
      </w:r>
    </w:p>
    <w:p>
      <w:pPr>
        <w:spacing w:after="160" w:line="300"/>
      </w:pPr>
      <w:r>
        <w:rPr>
          <w:sz w:val="22"/>
          <w:szCs w:val="22"/>
        </w:rPr>
        <w:t xml:space="preserve">截至2026年9月13日，针对2026年8月至9月的公告检索中，未发现公司新增监管措施、行政处罚或交易所纪律处分公告。较早期的外汇行政处罚信息不属于本次近期公告范围。</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5.46元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-0.23元，-4.04%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5.60元/5.64元/5.40元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240,956手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13,234.55万元，约1.32亿元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约4.60~9.09元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约53.67亿元/约47.23亿元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约87.34倍；不同平台因每股收益口径或更新时间不同存在差异，需以交易所及公司最新财报进一步核对</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5.66元/5.62元/5.46元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收盘价低于MA5和MA10，与MA20基本重合；短线反弹动能减弱，但均线尚未形成明显空头发散</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 DIF/DEA/柱</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0.13/0.13/-0.01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MACD柱为负，页面判定DIF低于DEA，短线动能偏弱；由于DIF与DEA四舍五入后相同，实际差距较小，不宜解读为强烈趋势信号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RSI6/RSI12/RSI24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38.5/50.1/52.3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RSI6处于中性区间偏弱位置但尚未进入传统超卖区，RSI12和RSI24显示中期动能暂未明显极端化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上轨5.87元/中轨5.46元/下轨5.05元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股价位于中轨附近；中轨与MA20重合，是短线多空观察位，上轨和下轨分别构成上方压力与下方技术参考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52周位置</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52周高点9.09元，低点4.60元；现价较高点回落约39.9%，较低点高约18.7%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当前股价仍处于52周价格区间偏低位置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近10个交易日主力资金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合计净流出约2,359万元；4个交易日净流入、6个交易日净流出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短线资金面总体偏弱；该指标按大单、超大单金额分档测算，不等同于真实机构身份，不能单独作为趋势判断依据</w:t>
            </w:r>
          </w:p>
        </w:tc>
      </w:tr>
    </w:tbl>
    <w:p>
      <w:pPr>
        <w:spacing w:before="200"/>
      </w:pPr>
    </w:p>
    <w:p>
      <w:pPr>
        <w:spacing w:after="160" w:line="300"/>
      </w:pPr>
      <w:r>
        <w:rPr>
          <w:sz w:val="22"/>
          <w:szCs w:val="22"/>
        </w:rPr>
        <w:t xml:space="preserve">截至2026年9月11日，众信旅游收盘5.46元，单日下跌4.04%，股价跌破MA5和MA10，但仍与MA20及布林带中轨重合。RSI6处于中性区间偏弱位置，MACD柱为负，近10个交易日主力资金总体净流出，短线技术面和资金面偏弱。9月7日至9月10日股价在5.68~5.74元附近整理后于9月11日下破该区间，但当日成交额约1.32亿元，未明显超过9月3日的1.94亿元，暂未形成极端放量杀跌。</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风险提示：以下内容仅为基于截至2026年9月11日收盘数据的主观情景推演，不构成投资建议，也不构成对未来股价的确定性预测。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5.64~5.87元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5.64元对应9月11日盘中高点附近，5.87元对应布林带上轨；若放量突破5.87元，才可能打开向前期反弹高点及更高区间试探的空间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5.40~5.46元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5.40元对应9月11日盘中低点，5.46元对应MA20和布林带中轨；若有效跌破5.40元，短线弱势可能延续</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5.05~5.20元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5.05元对应布林带下轨，5.17~5.20元附近对应8月中旬及前期成交密集区域；若该区间也被有效跌破，需关注前期4.60元附近低点区域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为基于当前技术指标、价格位置和资金流向的主观启发式权重，不是统计概率）：价格区间约5.40~5.70元。触发条件为股价守住5.40~5.46元，成交额维持约1.2亿~1.5亿元且未出现连续放量下跌；若重新站回5.62~5.66元，短线可能回到5.70元附近反复。该情景基于股价贴近MA20和布林带中轨，但MACD柱为负、近10日主力资金合计净流出。</w:t>
      </w:r>
    </w:p>
    <w:p>
      <w:pPr>
        <w:pStyle w:val="ListParagraph"/>
        <w:numPr>
          <w:ilvl w:val="0"/>
          <w:numId w:val="2"/>
        </w:numPr>
        <w:spacing w:after="80" w:line="280"/>
      </w:pPr>
      <w:r>
        <w:rPr>
          <w:sz w:val="22"/>
          <w:szCs w:val="22"/>
        </w:rPr>
        <w:t xml:space="preserve">偏弱下行（权重中等；为基于当前技术指标、价格位置和资金流向的主观启发式判断，不是统计概率）：价格区间约5.05~5.40元。触发条件为收盘价连续跌破5.40元，成交额放大至1.5亿~1.8亿元以上，同时主力资金继续净流出；若5.40元失守，需观察5.20元附近支撑，若5.20元也失守，则进一步观察布林带下轨约5.05元。</w:t>
      </w:r>
    </w:p>
    <w:p>
      <w:pPr>
        <w:pStyle w:val="ListParagraph"/>
        <w:numPr>
          <w:ilvl w:val="0"/>
          <w:numId w:val="2"/>
        </w:numPr>
        <w:spacing w:after="80" w:line="280"/>
      </w:pPr>
      <w:r>
        <w:rPr>
          <w:sz w:val="22"/>
          <w:szCs w:val="22"/>
        </w:rPr>
        <w:t xml:space="preserve">反弹走强（权重偏低；为基于当前技术指标、价格位置和资金流向的主观启发式判断，不是统计概率）：价格区间约5.66~5.87元。触发条件包括重新站上5.62~5.66元、成交额连续放大且至少出现单日1.8亿元以上成交额，同时主力资金由连续净流出转为持续净流入；若进一步突破5.74元附近近期反弹高点，才可能向布林带上轨5.87元靠近。若价格反弹但成交量和资金流向未配合，反弹持续性仍需观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公司总市值约53.7亿元、流通市值约47.2亿元；当日成交额约1.32亿元、换手率2.78%，近5个交易日平均成交额约1.33亿元、平均换手率约2.73%，近期常态成交额约1.3亿~1.5亿元，整体流动性尚可但并非特别活跃。最近10个交易日主力资金合计净流出约2,359万元，9月11日单日净流出约1,328万元。股东结构数据为2026年6月30日半年度报告及相关机构持仓分类快照，发布日期为2026年8月29日：前十大流通股东合计持股约2.68亿股，占流通股本31.01%；前十大股东合计持股约3.82亿股，占总股本约38.84%；截至该时点，合计23家机构持仓约1.19亿股，占流通股本13.80%，其中21家基金持股约1,253.91万股，占流通股本1.44%，其他机构持股约1.07亿股，占流通股本12.36%。前十大股东中包括富国中证旅游主题ETF，持股比例约1.01%；机构持仓主要由“其他机构”构成，公募基金占流通股比例相对有限，不能简单视为公募资金高度集中。上述股东数据距2026年9月11日约两个半月，期间结构可能已经变化；因此，集中度数据可作为历史筹码背景参考，但不能直接推断当前实际持仓变化。以近期成交额约1.3亿~1.5亿元和换手率约2.7%的常态为基准，若流动性改善伴随成交额持续放大，价格波动与资金承接情况仍需结合观察。</w:t>
      </w:r>
    </w:p>
    <w:p>
      <w:pPr>
        <w:spacing w:after="160" w:line="300"/>
      </w:pPr>
      <w:r>
        <w:rPr>
          <w:sz w:val="22"/>
          <w:szCs w:val="22"/>
        </w:rPr>
        <w:t xml:space="preserve">可检查的量价确认信号是：若后续单日成交额连续放大至约1.8亿元以上，同时换手率明显高于近期约2.7%的常态，并且主力资金同步转为净流入，可视为短线资金重新介入的较明确观察信号；若放量主要伴随下跌，则应理解为抛压释放，不能单独视为看多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观察5.40~5.46元支撑区能否有效守住，观察思路，非操作指令。</w:t>
      </w:r>
    </w:p>
    <w:p>
      <w:pPr>
        <w:pStyle w:val="ListParagraph"/>
        <w:numPr>
          <w:ilvl w:val="0"/>
          <w:numId w:val="2"/>
        </w:numPr>
        <w:spacing w:after="80" w:line="280"/>
      </w:pPr>
      <w:r>
        <w:rPr>
          <w:sz w:val="22"/>
          <w:szCs w:val="22"/>
        </w:rPr>
        <w:t xml:space="preserve">观察5.62~5.66元能否重新收复，以及收复时是否伴随成交额放大，观察思路，非操作指令。</w:t>
      </w:r>
    </w:p>
    <w:p>
      <w:pPr>
        <w:pStyle w:val="ListParagraph"/>
        <w:numPr>
          <w:ilvl w:val="0"/>
          <w:numId w:val="2"/>
        </w:numPr>
        <w:spacing w:after="80" w:line="280"/>
      </w:pPr>
      <w:r>
        <w:rPr>
          <w:sz w:val="22"/>
          <w:szCs w:val="22"/>
        </w:rPr>
        <w:t xml:space="preserve">若股价跌破5.20元，观察5.05元布林带下轨附近的承接情况，观察思路，非操作指令。</w:t>
      </w:r>
    </w:p>
    <w:p>
      <w:pPr>
        <w:pStyle w:val="ListParagraph"/>
        <w:numPr>
          <w:ilvl w:val="0"/>
          <w:numId w:val="2"/>
        </w:numPr>
        <w:spacing w:after="80" w:line="280"/>
      </w:pPr>
      <w:r>
        <w:rPr>
          <w:sz w:val="22"/>
          <w:szCs w:val="22"/>
        </w:rPr>
        <w:t xml:space="preserve">若单日成交额达到约1.8亿元以上并连续出现，同时主力资金转为净流入，可作为资金改善的量价配合信号，观察思路，非操作指令。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旅游服务行业参与者众多、竞争分散，竞争已从单一旅行社竞争转向“资源＋产品＋渠道＋流量”竞争。行业主体包括传统大型旅行社和旅游集团、出境游专业批发商、OTA平台以及景区和目的地运营商。</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截至2024年末，全国共有旅行社64,616家；2024年全国旅行社营业收入5,657.7亿元，营业利润37.8亿元。按营业利润除以营业收入简单计算，行业营业利润率约0.67%，该比例不等同于上市旅行社公司的净利率。</w:t>
      </w:r>
    </w:p>
    <w:p>
      <w:pPr>
        <w:pStyle w:val="ListParagraph"/>
        <w:numPr>
          <w:ilvl w:val="0"/>
          <w:numId w:val="2"/>
        </w:numPr>
        <w:spacing w:after="80" w:line="280"/>
      </w:pPr>
      <w:r>
        <w:rPr>
          <w:sz w:val="22"/>
          <w:szCs w:val="22"/>
        </w:rPr>
        <w:t xml:space="preserve">2024年内地居民出境旅游达到12,279.2万人次，同比增长41%，出境旅游恢复是旅行社行业的重要增长动力。</w:t>
      </w:r>
    </w:p>
    <w:p>
      <w:pPr>
        <w:pStyle w:val="ListParagraph"/>
        <w:numPr>
          <w:ilvl w:val="0"/>
          <w:numId w:val="2"/>
        </w:numPr>
        <w:spacing w:after="80" w:line="280"/>
      </w:pPr>
      <w:r>
        <w:rPr>
          <w:sz w:val="22"/>
          <w:szCs w:val="22"/>
        </w:rPr>
        <w:t xml:space="preserve">2024年第三季度旅行社出境旅游组织人次排名靠前的目的地包括泰国、日本、中国香港、韩国、中国澳门、俄罗斯、新加坡、马来西亚、越南和印度尼西亚。</w:t>
      </w:r>
    </w:p>
    <w:p>
      <w:pPr>
        <w:pStyle w:val="ListParagraph"/>
        <w:numPr>
          <w:ilvl w:val="0"/>
          <w:numId w:val="2"/>
        </w:numPr>
        <w:spacing w:after="80" w:line="280"/>
      </w:pPr>
      <w:r>
        <w:rPr>
          <w:sz w:val="22"/>
          <w:szCs w:val="22"/>
        </w:rPr>
        <w:t xml:space="preserve">OTA平台掌握流量入口、用户搜索、交易和数据能力，传统旅行社在复杂出境游、团队游、签证、地接和售后服务方面仍具价值；双方既存在流量竞争，也存在供应链和渠道合作。</w:t>
      </w:r>
    </w:p>
    <w:p>
      <w:pPr>
        <w:pStyle w:val="ListParagraph"/>
        <w:numPr>
          <w:ilvl w:val="0"/>
          <w:numId w:val="2"/>
        </w:numPr>
        <w:spacing w:after="80" w:line="280"/>
      </w:pPr>
      <w:r>
        <w:rPr>
          <w:sz w:val="22"/>
          <w:szCs w:val="22"/>
        </w:rPr>
        <w:t xml:space="preserve">众信旅游的相对优势包括出境游批发规模和品牌积累、长线目的地产品经验、批发零售整合营销一体化、全国代理商和线上线下渠道，以及对机票、酒店、签证、邮轮和地接资源的综合组织能力。</w:t>
      </w:r>
    </w:p>
    <w:p>
      <w:pPr>
        <w:pStyle w:val="ListParagraph"/>
        <w:numPr>
          <w:ilvl w:val="0"/>
          <w:numId w:val="2"/>
        </w:numPr>
        <w:spacing w:after="80" w:line="280"/>
      </w:pPr>
      <w:r>
        <w:rPr>
          <w:sz w:val="22"/>
          <w:szCs w:val="22"/>
        </w:rPr>
        <w:t xml:space="preserve">公司的局限包括上游资源以合作采购为主、缺乏大规模自有航空酒店或景区资产、行业进入壁垒总体有限、旅游产品存在同质化和价格竞争，以及对出境游恢复和居民可选消费存在依赖。</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凯撒旅业（000796）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与众信旅游业务模式较接近的A股可比公司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均涉及出境游、入境游、国内游、旅游批发、零售、会奖旅游和邮轮等业务；凯撒旅业还布局食品、航空配餐和海洋文旅，业务结构更为多元。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中青旅（600138）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旅行社＋景区目的地资产＋综合文旅服务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拥有旅游服务、整合营销、景区和酒店等业务，乌镇、古北水镇等目的地运营资产更突出；众信旅游更聚焦出境游批发、零售和旅游供应链组织。</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岭南控股（000524）</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区域综合旅行社及文旅服务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旗下广之旅经营国内游、出境游、入境游，并兼营航空票务代理、景区开发运营、目的地营销、旅游汽车租赁和信息技术服务；其优势偏向华南区域品牌和本地目的地资源。</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中国中免（601888）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出境及入境旅游消费链、免税旅游零售</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并非传统旅行社直接同业，掌握免税店和商业综合体等线下目的地及零售资产；与众信旅游在出入境客流和居民旅游消费方面相关，但商业模式差异较大。</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携程、飞猪、同程等OTA平台</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在线旅游流量入口及交易平台</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不是A股上市公司；掌握流量入口和用户搜索，既可能分流传统旅行社客户，也可与众信旅游开展机票、酒店、签证及旅游产品销售合作。</w:t>
            </w:r>
          </w:p>
        </w:tc>
      </w:tr>
    </w:tbl>
    <w:p>
      <w:pPr>
        <w:spacing w:before="200"/>
      </w:pPr>
    </w:p>
    <w:p>
      <w:pPr>
        <w:spacing w:after="160" w:line="300"/>
      </w:pPr>
      <w:r>
        <w:rPr>
          <w:sz w:val="22"/>
          <w:szCs w:val="22"/>
        </w:rPr>
        <w:t xml:space="preserve">众信旅游在全国性出境游批发、长线出境游产品、资源组织和批发零售一体化方面具有代表性，但其上游资源主要依靠合作采购，缺乏大规模自有航空、酒店或景区资产。与凯撒旅业相比，两者旅行社业务模式较接近；与中青旅相比，众信旅游资产端目的地运营属性较弱；与岭南控股相比，众信旅游更突出全国性出境游批发和长线产品；与中国中免及OTA相比，业务口径和商业模式差异较大，不宜进行完全同口径的收入、毛利率或估值比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旅游批发业务下滑风险：2026年上半年旅游批发收入同比下降10.20%，而该业务2024年收入占公司营业收入的74.26%，若批发业务持续承压，零售和整合营销的增长可能不足以抵消其影响。</w:t>
      </w:r>
    </w:p>
    <w:p>
      <w:pPr>
        <w:pStyle w:val="ListParagraph"/>
        <w:numPr>
          <w:ilvl w:val="0"/>
          <w:numId w:val="2"/>
        </w:numPr>
        <w:spacing w:after="80" w:line="280"/>
      </w:pPr>
      <w:r>
        <w:rPr>
          <w:sz w:val="22"/>
          <w:szCs w:val="22"/>
        </w:rPr>
        <w:t xml:space="preserve">盈利修复不及预期风险：2025年公司收入同比增长5.69%，但归母净利润同比下降93.34%至705.87万元；2026年上半年归母净利润又同比下降24.06%，收入增长或恢复未必能同步转化为利润增长。</w:t>
      </w:r>
    </w:p>
    <w:p>
      <w:pPr>
        <w:pStyle w:val="ListParagraph"/>
        <w:numPr>
          <w:ilvl w:val="0"/>
          <w:numId w:val="2"/>
        </w:numPr>
        <w:spacing w:after="80" w:line="280"/>
      </w:pPr>
      <w:r>
        <w:rPr>
          <w:sz w:val="22"/>
          <w:szCs w:val="22"/>
        </w:rPr>
        <w:t xml:space="preserve">出境游目的地风险：公司主营业务高度依赖出境游及相关旅游服务，目的地政治经济变化、签证政策调整、跨境出行环境变化或游客需求波动，可能影响产品销售、资源组织和收入确认。</w:t>
      </w:r>
    </w:p>
    <w:p>
      <w:pPr>
        <w:pStyle w:val="ListParagraph"/>
        <w:numPr>
          <w:ilvl w:val="0"/>
          <w:numId w:val="2"/>
        </w:numPr>
        <w:spacing w:after="80" w:line="280"/>
      </w:pPr>
      <w:r>
        <w:rPr>
          <w:sz w:val="22"/>
          <w:szCs w:val="22"/>
        </w:rPr>
        <w:t xml:space="preserve">上游成本与汇率风险：公司主要采购机票、酒店、境外地接、签证、邮轮等资源，不拥有对上游成本的绝对定价权；航空票价、酒店价格、境外服务费及美元、欧元等外币支付的汇率波动，可能压缩旅游产品毛利率。</w:t>
      </w:r>
    </w:p>
    <w:p>
      <w:pPr>
        <w:pStyle w:val="ListParagraph"/>
        <w:numPr>
          <w:ilvl w:val="0"/>
          <w:numId w:val="2"/>
        </w:numPr>
        <w:spacing w:after="80" w:line="280"/>
      </w:pPr>
      <w:r>
        <w:rPr>
          <w:sz w:val="22"/>
          <w:szCs w:val="22"/>
        </w:rPr>
        <w:t xml:space="preserve">流量和价格竞争风险：旅游产品同质化程度较高，大型OTA掌握用户搜索和交易入口，消费者价格比较便利；公司可能面临获客成本上升、渠道费用增加及产品价格竞争，进而影响旅游零售和批发利润率。</w:t>
      </w:r>
    </w:p>
    <w:p>
      <w:pPr>
        <w:pStyle w:val="ListParagraph"/>
        <w:numPr>
          <w:ilvl w:val="0"/>
          <w:numId w:val="2"/>
        </w:numPr>
        <w:spacing w:after="80" w:line="280"/>
      </w:pPr>
      <w:r>
        <w:rPr>
          <w:sz w:val="22"/>
          <w:szCs w:val="22"/>
        </w:rPr>
        <w:t xml:space="preserve">子公司担保及资金占用风险：截至2026年8月公告披露日，公司对子公司的实际担保余额为2.70亿元，占最近一期经审计归母净资产的30.24%；若相关子公司偿债能力变化，可能对公司现金流和资产安全产生影响。</w:t>
      </w:r>
    </w:p>
    <w:p>
      <w:pPr>
        <w:pStyle w:val="ListParagraph"/>
        <w:numPr>
          <w:ilvl w:val="0"/>
          <w:numId w:val="2"/>
        </w:numPr>
        <w:spacing w:after="80" w:line="280"/>
      </w:pPr>
      <w:r>
        <w:rPr>
          <w:sz w:val="22"/>
          <w:szCs w:val="22"/>
        </w:rPr>
        <w:t xml:space="preserve">机构客户与项目执行风险：整合营销服务依赖政府、企业和机构客户获取、项目投标及执行能力，2024年该业务毛利率仅7.33%；若项目获取不及预期或人工、执行和营销成本上升，业务增长可能难以转化为利润。</w:t>
      </w:r>
    </w:p>
    <w:p>
      <w:pPr>
        <w:pStyle w:val="ListParagraph"/>
        <w:numPr>
          <w:ilvl w:val="0"/>
          <w:numId w:val="2"/>
        </w:numPr>
        <w:spacing w:after="80" w:line="280"/>
      </w:pPr>
      <w:r>
        <w:rPr>
          <w:sz w:val="22"/>
          <w:szCs w:val="22"/>
        </w:rPr>
        <w:t xml:space="preserve">估值回落风险：截至2026年9月11日股价约5.46元，按机构预测EPS计算的2026年预测PE约为109倍，当前估值较大程度依赖未来盈利恢复；若业绩兑现低于预测，估值中枢可能面临调整压力。</w:t>
      </w:r>
    </w:p>
    <w:p>
      <w:pPr>
        <w:pStyle w:val="ListParagraph"/>
        <w:numPr>
          <w:ilvl w:val="0"/>
          <w:numId w:val="2"/>
        </w:numPr>
        <w:spacing w:after="80" w:line="280"/>
      </w:pPr>
      <w:r>
        <w:rPr>
          <w:sz w:val="22"/>
          <w:szCs w:val="22"/>
        </w:rPr>
        <w:t xml:space="preserve">技术面与资金面走弱风险：截至2026年9月11日收盘价低于MA5和MA10，MACD柱为负，近10个交易日主力资金合计净流出约2359万元；若股价有效跌破5.40元并伴随成交放大，短期波动可能加剧。</w:t>
      </w:r>
    </w:p>
    <w:p>
      <w:pPr>
        <w:pStyle w:val="ListParagraph"/>
        <w:numPr>
          <w:ilvl w:val="0"/>
          <w:numId w:val="2"/>
        </w:numPr>
        <w:spacing w:after="80" w:line="280"/>
      </w:pPr>
      <w:r>
        <w:rPr>
          <w:sz w:val="22"/>
          <w:szCs w:val="22"/>
        </w:rPr>
        <w:t xml:space="preserve">公司治理事项推进风险：原独立董事因连续任职即将满六年辞职，补选候选人尚未取得独立董事资格证书，相关任职资格和独立性仍需经深交所审核无异议并提交股东会审议，补选流程存在审核和审议未完成的事项。</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期增长逻辑在于出境游需求恢复、旅游零售和整合营销业务扩张、批发零售一体化，以及目的地资源整合、渠道下沉和数智化转型。若旅游批发业务恢复增长，同时零售业务保持较快增速并提升收入占比，产品结构和规模效应有望推动盈利修复；机构预测2026—2028年归母净利润中枢约为0.55亿元、0.78亿元和1.11亿元，但该预测对出境游需求、汇率、地缘政治环境和居民消费意愿较为敏感。</w:t>
      </w:r>
    </w:p>
    <w:p>
      <w:pPr>
        <w:spacing w:after="160" w:line="300"/>
      </w:pPr>
      <w:r>
        <w:rPr>
          <w:sz w:val="22"/>
          <w:szCs w:val="22"/>
        </w:rPr>
        <w:t xml:space="preserve">短期经营仍处于修复与验证阶段。2026年上半年收入和利润均同比下降，2025年第四季度还出现约5936万元归母净亏损，说明公司尚未形成稳定的利润释放能力。公司截至2026年6月末经营活动现金流净额2.9007亿元，但同比下降17.05%；同时对子公司的实际担保余额为2.70亿元，占最近一期经审计归母净资产的30.24%。后续应结合批发业务恢复情况、零售及整合营销的盈利贡献、现金流和担保风险变化，判断增长逻辑能否转化为持续业绩。</w:t>
      </w:r>
    </w:p>
    <w:p>
      <w:pPr>
        <w:spacing w:after="160" w:line="300"/>
      </w:pPr>
      <w:r>
        <w:rPr>
          <w:sz w:val="22"/>
          <w:szCs w:val="22"/>
        </w:rPr>
        <w:t xml:space="preserve">当前股价对应较高的预测估值，且技术面处于偏弱状态，未来表现将取决于业绩兑现与资金承接的共同改善。技术上，5.40—5.46元为短期重要观察区间，5.05—5.20元为下方更强支撑参考，5.64—5.87元为上方压力区间；这些仅反映截至2026年9月11日的历史价格和指标状态，不能替代对公司基本面和市场环境的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https://static.cninfo.com.cn/finalpage/2025-04-29/1223361712.PDF — https://static.cninfo.com.cn/finalpage/2025-04-29/1223361712.PDF</w:t>
      </w:r>
    </w:p>
    <w:p>
      <w:pPr>
        <w:spacing w:after="200"/>
      </w:pPr>
      <w:r>
        <w:rPr>
          <w:i/>
          <w:iCs/>
          <w:color w:val="595959"/>
          <w:sz w:val="18"/>
          <w:szCs w:val="18"/>
        </w:rPr>
        <w:t xml:space="preserve">众信旅游集团股份有限公司 2024 年年度报告全文 — https://static.cninfo.com.cn/finalpage/2025-04-29/1223361712.PDF?utm_source=openai</w:t>
      </w:r>
    </w:p>
    <w:p>
      <w:pPr>
        <w:spacing w:after="200"/>
      </w:pPr>
      <w:r>
        <w:rPr>
          <w:i/>
          <w:iCs/>
          <w:color w:val="595959"/>
          <w:sz w:val="18"/>
          <w:szCs w:val="18"/>
        </w:rPr>
        <w:t xml:space="preserve">众信旅游(002707)_公司公告_众信旅游：2024年年度报告新浪财经_新浪网 — https://money.finance.sina.com.cn/corp/view/vCB_AllBulletinDetail.php?id=11035062&amp;stockid=002707&amp;utm_source=openai</w:t>
      </w:r>
    </w:p>
    <w:p>
      <w:pPr>
        <w:spacing w:after="200"/>
      </w:pPr>
      <w:r>
        <w:rPr>
          <w:i/>
          <w:iCs/>
          <w:color w:val="595959"/>
          <w:sz w:val="18"/>
          <w:szCs w:val="18"/>
        </w:rPr>
        <w:t xml:space="preserve">众信旅游(002707)_公司公告_众信旅游：2022年年度报告新浪财经_新浪网 — https://money.finance.sina.com.cn/corp/view/vCB_AllBulletinDetail.php?id=9176094&amp;stockid=002707&amp;utm_source=openai</w:t>
      </w:r>
    </w:p>
    <w:p>
      <w:pPr>
        <w:spacing w:after="200"/>
      </w:pPr>
      <w:r>
        <w:rPr>
          <w:i/>
          <w:iCs/>
          <w:color w:val="595959"/>
          <w:sz w:val="18"/>
          <w:szCs w:val="18"/>
        </w:rPr>
        <w:t xml:space="preserve">众信旅游(002707)_公司公告_众信旅游：2023年年度报告新浪财经_新浪网 — https://money.finance.sina.com.cn/corp/view/vCB_AllBulletinDetail.php?id=10168188&amp;stockid=002707&amp;utm_source=openai</w:t>
      </w:r>
    </w:p>
    <w:p>
      <w:pPr>
        <w:spacing w:after="200"/>
      </w:pPr>
      <w:r>
        <w:rPr>
          <w:i/>
          <w:iCs/>
          <w:color w:val="595959"/>
          <w:sz w:val="18"/>
          <w:szCs w:val="18"/>
        </w:rPr>
        <w:t xml:space="preserve">中华人民共和国文化和旅游部&lt;div&gt;2024年文化和旅游发展统计公报&lt;/div&gt; — https://zwgk.mct.gov.cn/zfxxgkml/tjxx/202505/t20250530_960335.html?utm_source=openai</w:t>
      </w:r>
    </w:p>
    <w:p>
      <w:pPr>
        <w:spacing w:after="200"/>
      </w:pPr>
      <w:r>
        <w:rPr>
          <w:i/>
          <w:iCs/>
          <w:color w:val="595959"/>
          <w:sz w:val="18"/>
          <w:szCs w:val="18"/>
        </w:rPr>
        <w:t xml:space="preserve">《中国旅行服务业发展报告2025》在线发布 — https://www.ctaweb.org.cn/xsjl/10022.html?utm_source=openai</w:t>
      </w:r>
    </w:p>
    <w:p>
      <w:pPr>
        <w:spacing w:after="200"/>
      </w:pPr>
      <w:r>
        <w:rPr>
          <w:i/>
          <w:iCs/>
          <w:color w:val="595959"/>
          <w:sz w:val="18"/>
          <w:szCs w:val="18"/>
        </w:rPr>
        <w:t xml:space="preserve">凯撒旅业集团股份有限公司 2025 年年度报告摘要 — https://static.cninfo.com.cn/finalpage/2026-04-29/1225250756.PDF?utm_source=openai</w:t>
      </w:r>
    </w:p>
    <w:p>
      <w:pPr>
        <w:spacing w:after="200"/>
      </w:pPr>
      <w:r>
        <w:rPr>
          <w:i/>
          <w:iCs/>
          <w:color w:val="595959"/>
          <w:sz w:val="18"/>
          <w:szCs w:val="18"/>
        </w:rPr>
        <w:t xml:space="preserve">中青旅控股股份有限公司2024年年度报告 — https://static.cninfo.com.cn/finalpage/2025-04-04/1223006549.PDF?utm_source=openai</w:t>
      </w:r>
    </w:p>
    <w:p>
      <w:pPr>
        <w:spacing w:after="200"/>
      </w:pPr>
      <w:r>
        <w:rPr>
          <w:i/>
          <w:iCs/>
          <w:color w:val="595959"/>
          <w:sz w:val="18"/>
          <w:szCs w:val="18"/>
        </w:rPr>
        <w:t xml:space="preserve">广州岭南集团控股股份有限公司2024年年度报告全文 — https://static.cninfo.com.cn/finalpage/2025-03-29/1222947116.PDF?utm_source=openai</w:t>
      </w:r>
    </w:p>
    <w:p>
      <w:pPr>
        <w:spacing w:after="200"/>
      </w:pPr>
      <w:r>
        <w:rPr>
          <w:i/>
          <w:iCs/>
          <w:color w:val="595959"/>
          <w:sz w:val="18"/>
          <w:szCs w:val="18"/>
        </w:rPr>
        <w:t xml:space="preserve">中國旅遊集團中免股份有限公司 — https://www.sse.com.cn/disclosure/listedinfo/announcement/c/new/2024-08-31/601888_20240831_7MD6.pdf?utm_source=openai</w:t>
      </w:r>
    </w:p>
    <w:p>
      <w:pPr>
        <w:spacing w:after="200"/>
      </w:pPr>
      <w:r>
        <w:rPr>
          <w:i/>
          <w:iCs/>
          <w:color w:val="595959"/>
          <w:sz w:val="18"/>
          <w:szCs w:val="18"/>
        </w:rPr>
        <w:t xml:space="preserve">https://static.cninfo.com.cn/finalpage/2026-08-29/1225525456.PDF — https://static.cninfo.com.cn/finalpage/2026-08-29/1225525456.PDF</w:t>
      </w:r>
    </w:p>
    <w:p>
      <w:pPr>
        <w:spacing w:after="200"/>
      </w:pPr>
      <w:r>
        <w:rPr>
          <w:i/>
          <w:iCs/>
          <w:color w:val="595959"/>
          <w:sz w:val="18"/>
          <w:szCs w:val="18"/>
        </w:rPr>
        <w:t xml:space="preserve">众信旅游(002707)_公司公告_众信旅游：2026年半年度报告摘要新浪财经_新浪网 — https://money.finance.sina.com.cn/corp/view/vCB_AllBulletinDetail.php?id=12567430&amp;stockid=002707&amp;utm_source=openai</w:t>
      </w:r>
    </w:p>
    <w:p>
      <w:pPr>
        <w:spacing w:after="200"/>
      </w:pPr>
      <w:r>
        <w:rPr>
          <w:i/>
          <w:iCs/>
          <w:color w:val="595959"/>
          <w:sz w:val="18"/>
          <w:szCs w:val="18"/>
        </w:rPr>
        <w:t xml:space="preserve">众信旅游集团股份有限公司2026年半年度报告摘要 — https://static.cninfo.com.cn/finalpage/2026-08-29/1225525456.PDF?utm_source=openai</w:t>
      </w:r>
    </w:p>
    <w:p>
      <w:pPr>
        <w:spacing w:after="200"/>
      </w:pPr>
      <w:r>
        <w:rPr>
          <w:i/>
          <w:iCs/>
          <w:color w:val="595959"/>
          <w:sz w:val="18"/>
          <w:szCs w:val="18"/>
        </w:rPr>
        <w:t xml:space="preserve">众信旅游：上半年旅游批发产品营收同比减少一成，旅游行业高歌猛进时代已经过去 _ 东方财富网 — https://finance.eastmoney.com/a/202608283858656324.html?utm_source=openai</w:t>
      </w:r>
    </w:p>
    <w:p>
      <w:pPr>
        <w:spacing w:after="200"/>
      </w:pPr>
      <w:r>
        <w:rPr>
          <w:i/>
          <w:iCs/>
          <w:color w:val="595959"/>
          <w:sz w:val="18"/>
          <w:szCs w:val="18"/>
        </w:rPr>
        <w:t xml:space="preserve">众信旅游(002707) 盈利预测_F10_同花顺金融服务网 — https://basic.10jqka.com.cn/002707/worth.html</w:t>
      </w:r>
    </w:p>
    <w:p>
      <w:pPr>
        <w:spacing w:after="200"/>
      </w:pPr>
      <w:r>
        <w:rPr>
          <w:i/>
          <w:iCs/>
          <w:color w:val="595959"/>
          <w:sz w:val="18"/>
          <w:szCs w:val="18"/>
        </w:rPr>
        <w:t xml:space="preserve">公司公告_众信旅游：2025年年度报告新浪财经_新浪网 — https://vip.stock.finance.sina.com.cn/corp/view/vCB_AllBulletinDetail.php?id=12201243</w:t>
      </w:r>
    </w:p>
    <w:p>
      <w:pPr>
        <w:spacing w:after="200"/>
      </w:pPr>
      <w:r>
        <w:rPr>
          <w:i/>
          <w:iCs/>
          <w:color w:val="595959"/>
          <w:sz w:val="18"/>
          <w:szCs w:val="18"/>
        </w:rPr>
        <w:t xml:space="preserve">众信旅游(002707)2025年报及26Q1财报业绩点评：海外目的地需求波动拖累业绩__新浪财经_新浪网 — https://stock.finance.sina.com.cn/stock/go.php/vReport_Show/kind/search/rptid/830795056403/index.phtml?utm_source=openai</w:t>
      </w:r>
    </w:p>
    <w:p>
      <w:pPr>
        <w:spacing w:after="200"/>
      </w:pPr>
      <w:r>
        <w:rPr>
          <w:i/>
          <w:iCs/>
          <w:color w:val="595959"/>
          <w:sz w:val="18"/>
          <w:szCs w:val="18"/>
        </w:rPr>
        <w:t xml:space="preserve">众信旅游(002707) 盈利预测_F10_同花顺金融服务网 — https://basic.10jqka.com.cn/002707/worth.html?utm_source=openai</w:t>
      </w:r>
    </w:p>
    <w:p>
      <w:pPr>
        <w:spacing w:after="200"/>
      </w:pPr>
      <w:r>
        <w:rPr>
          <w:i/>
          <w:iCs/>
          <w:color w:val="595959"/>
          <w:sz w:val="18"/>
          <w:szCs w:val="18"/>
        </w:rPr>
        <w:t xml:space="preserve">众信旅游(002707)2026年中报点评：短期业绩扰动不改转型方向 长期成长价值逐步兑现__新浪财经_新浪网 — https://stock.finance.sina.com.cn/stock/go.php/vReport_Show/kind/lastest/rptid/841837908252/index.phtml</w:t>
      </w:r>
    </w:p>
    <w:p>
      <w:pPr>
        <w:spacing w:after="200"/>
      </w:pPr>
      <w:r>
        <w:rPr>
          <w:i/>
          <w:iCs/>
          <w:color w:val="595959"/>
          <w:sz w:val="18"/>
          <w:szCs w:val="18"/>
        </w:rPr>
        <w:t xml:space="preserve">〖山证消费〗众信旅游2025年报2026一季报点评：业务结构呈现积极变化，零售、加盟营收占比提升_新浪财经_新浪网 — https://finance.sina.com.cn/stock/relnews/cn/2026-05-08/doc-inhxcyyr4289021.shtml?utm_source=openai</w:t>
      </w:r>
    </w:p>
    <w:p>
      <w:pPr>
        <w:spacing w:after="200"/>
      </w:pPr>
      <w:r>
        <w:rPr>
          <w:i/>
          <w:iCs/>
          <w:color w:val="595959"/>
          <w:sz w:val="18"/>
          <w:szCs w:val="18"/>
        </w:rPr>
        <w:t xml:space="preserve">众信旅游(002707)2026年中报点评：短期业绩扰动不改转型方向 长期成长价值逐步兑现__新浪财经_新浪网 — https://stock.finance.sina.com.cn/stock/go.php/vReport_Show/kind/lastest/rptid/841837908252/index.phtml?utm_source=openai</w:t>
      </w:r>
    </w:p>
    <w:p>
      <w:pPr>
        <w:spacing w:after="200"/>
      </w:pPr>
      <w:r>
        <w:rPr>
          <w:i/>
          <w:iCs/>
          <w:color w:val="595959"/>
          <w:sz w:val="18"/>
          <w:szCs w:val="18"/>
        </w:rPr>
        <w:t xml:space="preserve">众信旅游(002707)股票最新价格行情,实时走势图,股价分析预测_英为财情Investing.com — https://cn.investing.com/equities/utour-travel-a?utm_source=openai</w:t>
      </w:r>
    </w:p>
    <w:p>
      <w:pPr>
        <w:spacing w:after="200"/>
      </w:pPr>
      <w:r>
        <w:rPr>
          <w:i/>
          <w:iCs/>
          <w:color w:val="595959"/>
          <w:sz w:val="18"/>
          <w:szCs w:val="18"/>
        </w:rPr>
        <w:t xml:space="preserve">众信旅游(002707)_公司公告_众信旅游：2026年半年度报告摘要新浪财经_新浪网 — https://money.finance.sina.com.cn/corp/view/vCB_AllBulletinDetail.php?id=12567430&amp;stockid=002707</w:t>
      </w:r>
    </w:p>
    <w:p>
      <w:pPr>
        <w:spacing w:after="200"/>
      </w:pPr>
      <w:r>
        <w:rPr>
          <w:i/>
          <w:iCs/>
          <w:color w:val="595959"/>
          <w:sz w:val="18"/>
          <w:szCs w:val="18"/>
        </w:rPr>
        <w:t xml:space="preserve">众信旅游(002707)_公司公告_众信旅游：关于第六届董事会第八次会议决议公告新浪财经_新浪网 — https://vip.stock.finance.sina.com.cn/corp/view/vCB_AllBulletinDetail.php?id=12598630&amp;stockid=002707</w:t>
      </w:r>
    </w:p>
    <w:p>
      <w:pPr>
        <w:spacing w:after="200"/>
      </w:pPr>
      <w:r>
        <w:rPr>
          <w:i/>
          <w:iCs/>
          <w:color w:val="595959"/>
          <w:sz w:val="18"/>
          <w:szCs w:val="18"/>
        </w:rPr>
        <w:t xml:space="preserve">众信旅游(002707)_公司公告_众信旅游：关于召开2026年第一次临时股东会的通知新浪财经_新浪网 — https://vip.stock.finance.sina.com.cn/corp/view/vCB_AllBulletinDetail.php?id=12598629&amp;stockid=002707</w:t>
      </w:r>
    </w:p>
    <w:p>
      <w:pPr>
        <w:spacing w:after="200"/>
      </w:pPr>
      <w:r>
        <w:rPr>
          <w:i/>
          <w:iCs/>
          <w:color w:val="595959"/>
          <w:sz w:val="18"/>
          <w:szCs w:val="18"/>
        </w:rPr>
        <w:t xml:space="preserve">众信旅游(002707)_公司公告_众信旅游：2026年半年度报告新浪财经_新浪网 — https://money.finance.sina.com.cn/corp/view/vCB_AllBulletinDetail.php?id=12567428&amp;stockid=002707</w:t>
      </w:r>
    </w:p>
    <w:p>
      <w:pPr>
        <w:spacing w:after="200"/>
      </w:pPr>
      <w:r>
        <w:rPr>
          <w:i/>
          <w:iCs/>
          <w:color w:val="595959"/>
          <w:sz w:val="18"/>
          <w:szCs w:val="18"/>
        </w:rPr>
        <w:t xml:space="preserve">众信旅游(002707)_公司公告_众信旅游：关于为全资子公司提供担保的进展公告新浪财经_新浪网 — https://vip.stock.finance.sina.com.cn/corp/view/vCB_AllBulletinDetail.php?id=12567426&amp;stockid=002707</w:t>
      </w:r>
    </w:p>
    <w:p>
      <w:pPr>
        <w:spacing w:after="200"/>
      </w:pPr>
      <w:r>
        <w:rPr>
          <w:i/>
          <w:iCs/>
          <w:color w:val="595959"/>
          <w:sz w:val="18"/>
          <w:szCs w:val="18"/>
        </w:rPr>
        <w:t xml:space="preserve">众信旅游(002707)_公司公告_众信旅游：关于子公司获得政府补助的公告新浪财经_新浪网 — https://vip.stock.finance.sina.com.cn/corp/view/vCB_AllBulletinDetail.php?id=12477997&amp;stockid=002707</w:t>
      </w:r>
    </w:p>
    <w:p>
      <w:pPr>
        <w:spacing w:after="200"/>
      </w:pPr>
      <w:r>
        <w:rPr>
          <w:i/>
          <w:iCs/>
          <w:color w:val="595959"/>
          <w:sz w:val="18"/>
          <w:szCs w:val="18"/>
        </w:rPr>
        <w:t xml:space="preserve">众信旅游(002707)公司公告_新浪财经_新浪网 — https://vip.stock.finance.sina.com.cn/corp/go.php/vCB_AllBulletin/stockid/002707.phtml</w:t>
      </w:r>
    </w:p>
    <w:p>
      <w:pPr>
        <w:spacing w:after="200"/>
      </w:pPr>
      <w:r>
        <w:rPr>
          <w:i/>
          <w:iCs/>
          <w:color w:val="595959"/>
          <w:sz w:val="18"/>
          <w:szCs w:val="18"/>
        </w:rPr>
        <w:t xml:space="preserve">外汇行政处罚信息查询 — https://www.safe.gov.cn/www/illegal/listQuery?saffno=c9edc2e47d814aecbf5b22e14f226efe&amp;utm_source=openai</w:t>
      </w:r>
    </w:p>
    <w:p>
      <w:pPr>
        <w:spacing w:after="200"/>
      </w:pPr>
      <w:r>
        <w:rPr>
          <w:i/>
          <w:iCs/>
          <w:color w:val="595959"/>
          <w:sz w:val="18"/>
          <w:szCs w:val="18"/>
        </w:rPr>
        <w:t xml:space="preserve">深圳证券交易所主板上市公司列表 — https://zh.wikipedia.org/wiki/%E6%B7%B1%E5%9C%B3%E8%AF%81%E5%88%B8%E4%BA%A4%E6%98%93%E6%89%80%E4%B8%BB%E6%9D%BF%E4%B8%8A%E5%B8%82%E5%85%AC%E5%8F%B8%E5%88%97%E8%A1%A8?utm_source=openai</w:t>
      </w:r>
    </w:p>
    <w:p>
      <w:pPr>
        <w:spacing w:after="200"/>
      </w:pPr>
      <w:r>
        <w:rPr>
          <w:i/>
          <w:iCs/>
          <w:color w:val="595959"/>
          <w:sz w:val="18"/>
          <w:szCs w:val="18"/>
        </w:rPr>
        <w:t xml:space="preserve">众信旅游(002707)_历史上榜数据 — https://data.cfi.cn/cfi_lhb_stock.aspx?stockcode=002707</w:t>
      </w:r>
    </w:p>
    <w:p>
      <w:pPr>
        <w:spacing w:after="200"/>
      </w:pPr>
      <w:r>
        <w:rPr>
          <w:i/>
          <w:iCs/>
          <w:color w:val="595959"/>
          <w:sz w:val="18"/>
          <w:szCs w:val="18"/>
        </w:rPr>
        <w:t xml:space="preserve">众信旅游(002707) 最新动态_F10_同花顺金融服务网 — https://basic.10jqka.com.cn/002707/?utm_source=openai</w:t>
      </w:r>
    </w:p>
    <w:p>
      <w:pPr>
        <w:spacing w:after="200"/>
      </w:pPr>
      <w:r>
        <w:rPr>
          <w:i/>
          <w:iCs/>
          <w:color w:val="595959"/>
          <w:sz w:val="18"/>
          <w:szCs w:val="18"/>
        </w:rPr>
        <w:t xml:space="preserve">众信旅游(SZ002707)股票股价_股价行情_财报_数据报告 - 雪球 — https://xueqiu.com/s/SZ002707?utm_source=openai</w:t>
      </w:r>
    </w:p>
    <w:p>
      <w:pPr>
        <w:spacing w:after="200"/>
      </w:pPr>
      <w:r>
        <w:rPr>
          <w:i/>
          <w:iCs/>
          <w:color w:val="595959"/>
          <w:sz w:val="18"/>
          <w:szCs w:val="18"/>
        </w:rPr>
        <w:t xml:space="preserve">众信旅游(002707.SZ) 股票行情_历史数据_主力资金 - 大波浪数据 — https://www.yyqyx.com/s/002707.SZ</w:t>
      </w:r>
    </w:p>
    <w:p>
      <w:pPr>
        <w:spacing w:after="200"/>
      </w:pPr>
      <w:r>
        <w:rPr>
          <w:i/>
          <w:iCs/>
          <w:color w:val="595959"/>
          <w:sz w:val="18"/>
          <w:szCs w:val="18"/>
        </w:rPr>
        <w:t xml:space="preserve">众信旅游 (002707) - 历史交易数据 | 打板客网 — https://dabanke.com/hangqing-002707.html</w:t>
      </w:r>
    </w:p>
    <w:p>
      <w:pPr>
        <w:spacing w:after="200"/>
      </w:pPr>
      <w:r>
        <w:rPr>
          <w:i/>
          <w:iCs/>
          <w:color w:val="595959"/>
          <w:sz w:val="18"/>
          <w:szCs w:val="18"/>
        </w:rPr>
        <w:t xml:space="preserve">众信旅游(002707)_公司公告_众信旅游：2026年半年度报告新浪财经_新浪网 — https://vip.stock.finance.sina.com.cn/corp/view/vCB_AllBulletinDetail.php?id=12567428&amp;stockid=002707&amp;utm_source=openai</w:t>
      </w:r>
    </w:p>
    <w:p>
      <w:pPr>
        <w:spacing w:after="200"/>
      </w:pPr>
      <w:r>
        <w:rPr>
          <w:i/>
          <w:iCs/>
          <w:color w:val="595959"/>
          <w:sz w:val="18"/>
          <w:szCs w:val="18"/>
        </w:rPr>
        <w:t xml:space="preserve">本报告由AI基于公开渠道信息自动检索、整理并生成，信息截至 截至2026年9月11日收盘；技术指标按不复权日线数据计算，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2026-09-13T11:40:40.990Z</dcterms:created>
  <dcterms:modified xsi:type="dcterms:W3CDTF">2026-09-13T11:40:40.990Z</dcterms:modified>
</cp:coreProperties>
</file>

<file path=docProps/custom.xml><?xml version="1.0" encoding="utf-8"?>
<Properties xmlns="http://schemas.openxmlformats.org/officeDocument/2006/custom-properties" xmlns:vt="http://schemas.openxmlformats.org/officeDocument/2006/docPropsVTypes"/>
</file>