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帝欧水华集团股份有限公司 (002798)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行业：建筑陶瓷、卫浴与亚克力新材料</w:t>
      </w:r>
    </w:p>
    <w:p>
      <w:pPr>
        <w:jc w:val="center"/>
      </w:pPr>
      <w:r>
        <w:rPr>
          <w:color w:val="595959"/>
          <w:sz w:val="22"/>
          <w:szCs w:val="22"/>
        </w:rPr>
        <w:t xml:space="preserve">报告日期：2026年9月13日</w:t>
      </w:r>
    </w:p>
    <w:p>
      <w:pPr>
        <w:jc w:val="center"/>
      </w:pPr>
      <w:r>
        <w:rPr>
          <w:color w:val="595959"/>
          <w:sz w:val="20"/>
          <w:szCs w:val="20"/>
        </w:rPr>
        <w:t xml:space="preserve">行情及技术指标截至2026年9月11日收盘；52周高低点及阶段涨跌采用前复权口径，日线技术指标采用不复权收盘价计算。部分行情数据来源页面可能存在刷新延迟，实际数据应以深交所或券商终端为准。</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帝欧水华当前最具决策意义的特征是“收入持续下滑、亏损明显收窄但尚未实现主营稳定盈利”。2026年上半年营业收入9.53亿元，同比下降18.94%；归母净利润亏损2933.01万元，同比减亏65.22%，但扣非归母净利润仍亏损7722.57万元。2025年全年收入22.95亿元，同比下降16.26%，归母净利润亏损5.30亿元。公司经营活动现金流持续为净流入，2026年上半年达到1.37亿元，同比增长39.57%，但现金流改善并不等同于盈利模式已经修复。</w:t>
      </w:r>
    </w:p>
    <w:p>
      <w:pPr>
        <w:spacing w:after="160" w:line="300"/>
      </w:pPr>
      <w:r>
        <w:rPr>
          <w:sz w:val="22"/>
          <w:szCs w:val="22"/>
        </w:rPr>
        <w:t xml:space="preserve">公司主营仍以建筑陶瓷为主，2025年陶瓷墙地砖收入17.87亿元，占营业收入77.88%，经销渠道收入18.79亿元，占比81.90%，收入结构向经销、零售、整装和家装渠道倾斜。制造业毛利率已由2024年的19.23%提升至2025年的24.27%，2026年上半年销售毛利率约27.25%，主要受渠道定价管控、成本节约、能源成本下降和低效产能调整推动，但期间费用、资产减值及历史经营负担仍使净利润处于亏损状态。</w:t>
      </w:r>
    </w:p>
    <w:p>
      <w:pPr>
        <w:spacing w:after="160" w:line="300"/>
      </w:pPr>
      <w:r>
        <w:rPr>
          <w:sz w:val="22"/>
          <w:szCs w:val="22"/>
        </w:rPr>
        <w:t xml:space="preserve">公司正在推进人工智能和数据科技业务，2026年向全资孙公司雅安云擎增资1.50亿元，并涉及服务器、知识产权及存量业务安排。不过相关业务尚未形成明确收入或盈利贡献，公司自身也提示技术、人才和资金统筹压力。现阶段公司未来增长仍主要取决于建材主业的渠道优化、产品结构升级、产能和能源成本控制，以及工程客户应收风险下降，AI业务更接近尚待验证的潜在增长方向。</w:t>
      </w:r>
    </w:p>
    <w:p>
      <w:pPr>
        <w:spacing w:after="160" w:line="300"/>
      </w:pPr>
      <w:r>
        <w:rPr>
          <w:sz w:val="22"/>
          <w:szCs w:val="22"/>
        </w:rPr>
        <w:t xml:space="preserve">截至2026年9月11日，股价收于6.68元，较52周高点8.77元低约23.8%，但较52周低点4.56元高约46.5%。股价跌破MA5但仍高于MA10和MA20，MACD处于零轴上方，显示中期技术形态尚未完全转弱，但当日放量下跌并伴随主力资金净流出约1615万元，短线资金分歧有所加大。公司总市值约39.2亿元，PB约2倍，因仍处于亏损状态，PE暂不适用。</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002798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帝欧水华；原证券简称为“帝欧家居”</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名称及简称变更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2025年9月完成名称及证券简称变更，自2025年9月10日起使用“帝欧水华”简称，证券代码保持不变</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建筑陶瓷、卫浴产品和亚克力新材料</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约22.95亿元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2025年收入结构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陶瓷墙地砖17.87亿元，占77.88%；卫浴产品3.61亿元，占15.72%；亚克力板1.20亿元，占5.24%；其他业务0.26亿元，占1.15%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生产基地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共6个：瓷砖基地位于广东佛山三水、江西景德镇、广西藤县；卫浴基地位于重庆永川、成都东部新区；亚克力板材基地位于成都温江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2025年主要产品实际产量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瓷砖5,767.26万平方米；卫生洁具45.89万台/套；亚克力板5,419.58吨</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产能口径说明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公司未披露统一的设计产能总数，年度产量为实际生产量，不等同于理论设计产能；两组年产1,300万平方米高端陶瓷地砖智能化生产线截至2025年末是否完全达产尚不确定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AI业务阶段</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新增人工智能事业集群，主要用于内部生产管理、供应链协同、AI家居设计、SKU管理、现金头寸管理和营销赋能；相关子公司处于成立初期，部分项目仍在内部研发和场景验证，暂未形成成熟的外部商业化收入</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建筑陶瓷：欧神诺品牌，产品包括瓷砖、岩板、轻质幕墙陶瓷板、景观厚砖、人造石、马赛克、实验室陶瓷台面及铺贴辅助材料等</w:t>
      </w:r>
    </w:p>
    <w:p>
      <w:pPr>
        <w:pStyle w:val="ListParagraph"/>
        <w:numPr>
          <w:ilvl w:val="0"/>
          <w:numId w:val="2"/>
        </w:numPr>
        <w:spacing w:after="80" w:line="280"/>
      </w:pPr>
      <w:r>
        <w:rPr>
          <w:sz w:val="22"/>
          <w:szCs w:val="22"/>
        </w:rPr>
        <w:t xml:space="preserve">卫浴产品：帝王洁具品牌，产品包括浴室柜、普通及智能坐便器、淋浴器、淋浴房、浴缸、五金配件，并延伸至卫浴空间设计及全屋定制</w:t>
      </w:r>
    </w:p>
    <w:p>
      <w:pPr>
        <w:pStyle w:val="ListParagraph"/>
        <w:numPr>
          <w:ilvl w:val="0"/>
          <w:numId w:val="2"/>
        </w:numPr>
        <w:spacing w:after="80" w:line="280"/>
      </w:pPr>
      <w:r>
        <w:rPr>
          <w:sz w:val="22"/>
          <w:szCs w:val="22"/>
        </w:rPr>
        <w:t xml:space="preserve">亚克力新材料：生产和销售亚克力板材，应用于卫浴、家居、广告标牌和装饰等领域</w:t>
      </w:r>
    </w:p>
    <w:p>
      <w:pPr>
        <w:pStyle w:val="ListParagraph"/>
        <w:numPr>
          <w:ilvl w:val="0"/>
          <w:numId w:val="2"/>
        </w:numPr>
        <w:spacing w:after="80" w:line="280"/>
      </w:pPr>
      <w:r>
        <w:rPr>
          <w:sz w:val="22"/>
          <w:szCs w:val="22"/>
        </w:rPr>
        <w:t xml:space="preserve">人工智能业务：用于生产管理、供应链协同、AI家居设计、SKU管理、现金头寸管理和营销赋能，目前尚未形成成熟的外部商业化收入</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帝欧水华位于家居建材产业链的中游制造环节，业务覆盖陶瓷、卫浴和亚克力产品的研发、制造、品牌运营与渠道管理。公司拥有欧神诺和帝王洁具品牌、六大生产基地以及经销、工程、整装、家装和新零售等渠道，但并不具备上游矿产或能源资源优势，也不是完全依靠强势消费品牌获取高溢价的纯下游企业。</w:t>
      </w:r>
    </w:p>
    <w:p>
      <w:pPr>
        <w:pStyle w:val="ListParagraph"/>
        <w:numPr>
          <w:ilvl w:val="0"/>
          <w:numId w:val="2"/>
        </w:numPr>
        <w:spacing w:after="80" w:line="280"/>
      </w:pPr>
      <w:r>
        <w:rPr>
          <w:sz w:val="22"/>
          <w:szCs w:val="22"/>
        </w:rPr>
        <w:t xml:space="preserve">建筑陶瓷主要采购泥沙料、化工料、熔块、釉料，并消耗电、煤、柴油等能源；卫浴业务还涉及陶瓷坯体、釉料、五金件、塑料件和包装材料；亚克力业务涉及相关化工原料。</w:t>
      </w:r>
    </w:p>
    <w:p>
      <w:pPr>
        <w:pStyle w:val="ListParagraph"/>
        <w:numPr>
          <w:ilvl w:val="0"/>
          <w:numId w:val="2"/>
        </w:numPr>
        <w:spacing w:after="80" w:line="280"/>
      </w:pPr>
      <w:r>
        <w:rPr>
          <w:sz w:val="22"/>
          <w:szCs w:val="22"/>
        </w:rPr>
        <w:t xml:space="preserve">2025年制造业营业成本中，原材料成本4.35亿元，占25.04%；能源及动力2.62亿元，占15.07%；外协成本6.47亿元，占37.29%；人工费用1.19亿元，占6.85%；制造费用2.22亿元，占12.81%。</w:t>
      </w:r>
    </w:p>
    <w:p>
      <w:pPr>
        <w:pStyle w:val="ListParagraph"/>
        <w:numPr>
          <w:ilvl w:val="0"/>
          <w:numId w:val="2"/>
        </w:numPr>
        <w:spacing w:after="80" w:line="280"/>
      </w:pPr>
      <w:r>
        <w:rPr>
          <w:sz w:val="22"/>
          <w:szCs w:val="22"/>
        </w:rPr>
        <w:t xml:space="preserve">公司部分生产环节或产品采用外协、OEM方式，外协成本占比较高；自主生产部分主要通过合格供应商招标采购，并与主要供应商通过年度框架协议合作。</w:t>
      </w:r>
    </w:p>
    <w:p>
      <w:pPr>
        <w:pStyle w:val="ListParagraph"/>
        <w:numPr>
          <w:ilvl w:val="0"/>
          <w:numId w:val="2"/>
        </w:numPr>
        <w:spacing w:after="80" w:line="280"/>
      </w:pPr>
      <w:r>
        <w:rPr>
          <w:sz w:val="22"/>
          <w:szCs w:val="22"/>
        </w:rPr>
        <w:t xml:space="preserve">泥沙料、化工料、熔块、釉料、电、煤和柴油具有一定大宗商品属性，公司对上游成本缺乏完全定价权，整体偏向成本价格接受者。公司可通过集中采购、供应商招标、产能优化、工艺改造和节能降耗进行成本控制，但这不等同于拥有较强的上游议价权。</w:t>
      </w:r>
    </w:p>
    <w:p>
      <w:pPr>
        <w:pStyle w:val="ListParagraph"/>
        <w:numPr>
          <w:ilvl w:val="0"/>
          <w:numId w:val="2"/>
        </w:numPr>
        <w:spacing w:after="80" w:line="280"/>
      </w:pPr>
      <w:r>
        <w:rPr>
          <w:sz w:val="22"/>
          <w:szCs w:val="22"/>
        </w:rPr>
        <w:t xml:space="preserve">原材料和能源价格上涨而产品价格无法同步上调时，公司盈利能力将承压；外协模式还会使公司受到外协厂商报价、交付能力和质量管理的影响。</w:t>
      </w:r>
    </w:p>
    <w:p>
      <w:pPr>
        <w:pStyle w:val="ListParagraph"/>
        <w:numPr>
          <w:ilvl w:val="0"/>
          <w:numId w:val="2"/>
        </w:numPr>
        <w:spacing w:after="80" w:line="280"/>
      </w:pPr>
      <w:r>
        <w:rPr>
          <w:sz w:val="22"/>
          <w:szCs w:val="22"/>
        </w:rPr>
        <w:t xml:space="preserve">下游客户包括经销商及终端消费者、房地产开发商、政府及企事业单位、整装和家装客户、新零售渠道客户、建材流通商及工程项目客户。</w:t>
      </w:r>
    </w:p>
    <w:p>
      <w:pPr>
        <w:pStyle w:val="ListParagraph"/>
        <w:numPr>
          <w:ilvl w:val="0"/>
          <w:numId w:val="2"/>
        </w:numPr>
        <w:spacing w:after="80" w:line="280"/>
      </w:pPr>
      <w:r>
        <w:rPr>
          <w:sz w:val="22"/>
          <w:szCs w:val="22"/>
        </w:rPr>
        <w:t xml:space="preserve">2025年经销渠道收入18.79亿元，占营业收入81.90%；直营工程收入4.15亿元，占18.10%。经销渠道占比由2024年的75.32%提高至2025年的81.90%，直营工程占比由24.68%下降至18.10%。</w:t>
      </w:r>
    </w:p>
    <w:p>
      <w:pPr>
        <w:pStyle w:val="ListParagraph"/>
        <w:numPr>
          <w:ilvl w:val="0"/>
          <w:numId w:val="2"/>
        </w:numPr>
        <w:spacing w:after="80" w:line="280"/>
      </w:pPr>
      <w:r>
        <w:rPr>
          <w:sz w:val="22"/>
          <w:szCs w:val="22"/>
        </w:rPr>
        <w:t xml:space="preserve">经销渠道中，经销商承担运输、仓储、加工、销售、结算和售后等职能，公司需要通过价格政策、返利、市场支持和渠道服务维持经销体系，对终端价格的控制能力有限。</w:t>
      </w:r>
    </w:p>
    <w:p>
      <w:pPr>
        <w:pStyle w:val="ListParagraph"/>
        <w:numPr>
          <w:ilvl w:val="0"/>
          <w:numId w:val="2"/>
        </w:numPr>
        <w:spacing w:after="80" w:line="280"/>
      </w:pPr>
      <w:r>
        <w:rPr>
          <w:sz w:val="22"/>
          <w:szCs w:val="22"/>
        </w:rPr>
        <w:t xml:space="preserve">工程渠道中的房地产开发商和大型工程客户通常具有较强议价能力，可能要求较长账期、较高质保和较大价格折让。公司2024年接受部分房地产开发商以房产抵偿货款，2025年及2026年仍发生以房抵债事项，工程客户信用及回款风险曾对经营形成明显影响。</w:t>
      </w:r>
    </w:p>
    <w:p>
      <w:pPr>
        <w:pStyle w:val="ListParagraph"/>
        <w:numPr>
          <w:ilvl w:val="0"/>
          <w:numId w:val="2"/>
        </w:numPr>
        <w:spacing w:after="80" w:line="280"/>
      </w:pPr>
      <w:r>
        <w:rPr>
          <w:sz w:val="22"/>
          <w:szCs w:val="22"/>
        </w:rPr>
        <w:t xml:space="preserve">公司公开年报中未检索到能够直接确认前五大客户销售额占比的清晰数据，无法对客户集中度作定量判断；该数据来源和年份不足以交叉核实，具体应以公司最新年度报告“前五名客户销售情况”章节为准。</w:t>
      </w:r>
    </w:p>
    <w:p>
      <w:pPr>
        <w:pStyle w:val="ListParagraph"/>
        <w:numPr>
          <w:ilvl w:val="0"/>
          <w:numId w:val="2"/>
        </w:numPr>
        <w:spacing w:after="80" w:line="280"/>
      </w:pPr>
      <w:r>
        <w:rPr>
          <w:sz w:val="22"/>
          <w:szCs w:val="22"/>
        </w:rPr>
        <w:t xml:space="preserve">公司正降低对房地产工程渠道的依赖，转向经销、零售、整装和家装渠道，但渠道结构变化并不意味着公司对下游已形成强定价权。</w:t>
      </w:r>
    </w:p>
    <w:p>
      <w:pPr>
        <w:pStyle w:val="ListParagraph"/>
        <w:numPr>
          <w:ilvl w:val="0"/>
          <w:numId w:val="2"/>
        </w:numPr>
        <w:spacing w:after="80" w:line="280"/>
      </w:pPr>
      <w:r>
        <w:rPr>
          <w:sz w:val="22"/>
          <w:szCs w:val="22"/>
        </w:rPr>
        <w:t xml:space="preserve">截至2024年12月31日，公司应收账款原值约16.07亿元，坏账准备约8.85亿元；2024年营业收入约27.41亿元。按应收账款原值计算，应收账款约为全年营业收入的58.6%；按计提坏账准备后的账面净额粗略计算，约为7.22亿元，占营业收入约26.3%。2025年经营活动现金流净额为1.87亿元，较2024年的1.33亿元增长40.79%，公司称应收账款及存货等主要非货币性流动资产下降，经营活动连续四年保持现金净流入。但2025年应收账款原值及坏账准备未获得与2024年同等清晰的可比披露口径，不能直接计算2025年应收账款/收入比例；现金流改善也可能受到渠道结构变化、资产处置和以房抵债等因素共同影响。</w:t>
      </w:r>
    </w:p>
    <w:p>
      <w:pPr>
        <w:pStyle w:val="ListParagraph"/>
        <w:numPr>
          <w:ilvl w:val="0"/>
          <w:numId w:val="2"/>
        </w:numPr>
        <w:spacing w:after="80" w:line="280"/>
      </w:pPr>
      <w:r>
        <w:rPr>
          <w:sz w:val="22"/>
          <w:szCs w:val="22"/>
        </w:rPr>
        <w:t xml:space="preserve">客户集中度：研究纪要未获得可直接确认的前五大客户销售额占比，无法作定量结论。该数据来源单一且未能交叉核实，具体以公司最新年报为准。供应商集中度：纪要未披露主要供应商采购占比等定量数据，仅披露公司通过合格供应商招标采购、年度框架协议及供应商评审进行管理，因此无法判断供应商集中度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制造业毛利率17.15%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销售净利率约-36.7%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房地产及建材需求下行、原材料和能源成本高企，并计提较大规模资产减值及信用减值，毛利率和净利率均承压。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制造业毛利率22.56%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销售净利率约-17.5%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公司优化客户结构、提高经销渠道占比、改善采购体系并控制管理成本，毛利率修复；但房地产相关应收账款和历史资产减值压力仍在，净利润继续为负。</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制造业毛利率19.23%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销售净利率约-20.8%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收入继续收缩，陶瓷墙地砖和卫浴销量下降，工程渠道收入大幅下降；建筑陶瓷价格和成本端承压，毛利率较2023年下降3.33个百分点。</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制造业毛利率24.27%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销售净利率约-23.1%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渠道定价管控、制造成本节约、能源成本下降和低效产能调整推动毛利率同比提高5.04个百分点；但收入继续下滑，期间费用、资产减值及历史经营负担使净利率仍为负。</w:t>
            </w:r>
          </w:p>
        </w:tc>
      </w:tr>
    </w:tbl>
    <w:p>
      <w:pPr>
        <w:spacing w:before="200"/>
      </w:pPr>
    </w:p>
    <w:p>
      <w:pPr>
        <w:spacing w:after="160" w:line="300"/>
      </w:pPr>
      <w:r>
        <w:rPr>
          <w:sz w:val="22"/>
          <w:szCs w:val="22"/>
        </w:rPr>
        <w:t xml:space="preserve">公司处于“品牌+设计+制造+渠道”的中游家居建材制造位置，既不是资源禀赋驱动的上游高毛利企业，也不是完全依靠强势消费品牌溢价的下游高毛利企业。进一步改善利润主要取决于岩板、高端瓷砖、智能卫浴及其他高附加值产品的结构升级，经销、家装、整装和零售渠道占比提升，工程客户应收风险下降，低效产能压缩、能源成本控制以及亚克力和新材料业务扩大；AI业务能否改善生产、库存、营销和供应链效率仍待商业化验证。</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9.5339亿元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同比下降18.94%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归母净利润亏损2933.01万元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同比减亏65.22%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约5.77亿元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同比下降13.85%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归母净利润亏损约1470.62万元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同比减亏63.46%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2025年全年（截至2025年12月31日）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22.9484亿元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同比下降16.26%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归母净利润亏损5.3038亿元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同比减亏6.80%</w:t>
            </w:r>
          </w:p>
        </w:tc>
      </w:tr>
    </w:tbl>
    <w:p>
      <w:pPr>
        <w:spacing w:after="200"/>
      </w:pPr>
      <w:r>
        <w:rPr>
          <w:i/>
          <w:iCs/>
          <w:color w:val="595959"/>
          <w:sz w:val="18"/>
          <w:szCs w:val="18"/>
        </w:rPr>
        <w:t xml:space="preserve">2026年半年度报告披露日期为2026年8月25日，报告期截至2026年6月30日，财务报告未经审计。2026年上半年扣非归母净利润亏损7722.57万元，同比减亏15.20%；经营活动现金流量净额1.3690亿元，同比增加39.57%；基本每股收益为-0.06元。2025年全年扣非归母净利润亏损5.4376亿元，同比减亏5.63%；经营活动现金流量净额1.8710亿元，同比增长40.79%；基本每股收益为-1.27元。</w:t>
      </w:r>
    </w:p>
    <w:p>
      <w:pPr>
        <w:spacing w:after="160" w:line="300"/>
      </w:pPr>
      <w:r>
        <w:rPr>
          <w:sz w:val="22"/>
          <w:szCs w:val="22"/>
        </w:rPr>
        <w:t xml:space="preserve">公司处于收入下滑、亏损收窄阶段。2026年上半年营业成本同比下降24.71%，销售费用同比下降14.85%，财务费用同比下降41.72%，信用减值损失转为收益约209.74万元，资产处置收益增加至1012.48万元，推动归母亏损同比收窄。但管理费用同比增加48.84%至1.2117亿元，且扣非归母净利润仍亏损7722.57万元，主营业务尚未实现稳定盈利。2026年上半年销售毛利率约27.25%，销售净利率约-3.25%，净资产收益率约-1.58%，资产负债率为59.58%。</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主要来自华鑫证券2026年9月1日报告《建材业务持续优化静待拐点出现，AI业务初步成型打造新的增长曲线》。公开摘要披露了2026—2028年归母净利润和EPS预测，但未披露对应营业收入预测值。该预测为单一券商预测，不属于多机构平均一致预期；预测结果对建材需求恢复、海外业务拓展及AI业务商业化有较强依赖。</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最新公开报告未披露具体营业收入预测值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归母净利润亏损0.59亿元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2026年仍为亏损，未提供同比增速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最新公开报告未披露具体营业收入预测值</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归母净利润盈利0.20亿元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具体同比增速未披露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最新公开报告未披露具体营业收入预测值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归母净利润盈利0.66亿元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具体同比增速未披露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0.11元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预计建材业务经营质量改善、亏损收窄，AI业务可能成为中长期第二增长曲线；未披露明确目标价。</w:t>
            </w:r>
          </w:p>
        </w:tc>
      </w:tr>
    </w:tbl>
    <w:p>
      <w:pPr>
        <w:spacing w:before="200"/>
      </w:pPr>
    </w:p>
    <w:p>
      <w:pPr>
        <w:spacing w:after="160" w:line="300"/>
      </w:pPr>
      <w:r>
        <w:rPr>
          <w:sz w:val="22"/>
          <w:szCs w:val="22"/>
        </w:rPr>
        <w:t xml:space="preserve">截至2026年9月10日收盘，收盘价约6.84元/股，总市值约40.19亿元，总股本约5.875亿股，PB约2.05倍，PS约1.75倍至1.94倍，股息率为0%。由于公司2025年全年及2026年上半年归母净利润均为亏损，PE估值暂不适用，行情软件显示的亏损或负PE不能视为低估值信号。PB约2.05倍需结合资产质量、未来减值风险及盈利修复情况判断；PS仅可作为辅助指标。华鑫证券预测2026年仍亏损，2027年和2028年分别盈利约2000万元和6600万元，报告中对应PE约为170倍和52倍，但该计算基于报告发布时股价，不能直接等同于2026年9月10日收盘价下的实时估值。公司当前估值主要依赖传统建材业务继续减亏、2027年实现微利及AI业务逐步商业化，尚非基于已验证盈利能力的价值估值。</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参加投资者网上集体接待日及半年度报告业绩说明会</w:t>
      </w:r>
    </w:p>
    <w:p>
      <w:pPr>
        <w:spacing w:after="160" w:line="300"/>
      </w:pPr>
      <w:r>
        <w:rPr>
          <w:sz w:val="22"/>
          <w:szCs w:val="22"/>
        </w:rPr>
        <w:t xml:space="preserve">公司于2026年9月8日披露公告，拟参加四川辖区2026年投资者网上集体接待日及半年度报告业绩说明会。该事项属于投资者关系活动安排，不涉及业绩预测调整、重大资产重组、股份回购或股东增减持等新事项。</w:t>
      </w:r>
    </w:p>
    <w:p>
      <w:pPr>
        <w:pStyle w:val="Heading2"/>
        <w:spacing w:after="120" w:before="240"/>
      </w:pPr>
      <w:r>
        <w:rPr>
          <w:b/>
          <w:bCs/>
          <w:color w:val="2E74B5"/>
          <w:sz w:val="24"/>
          <w:szCs w:val="24"/>
        </w:rPr>
        <w:t xml:space="preserve">4.2 2026年半年度报告：收入下降、亏损收窄、现金流改善</w:t>
      </w:r>
    </w:p>
    <w:p>
      <w:pPr>
        <w:spacing w:after="160" w:line="300"/>
      </w:pPr>
      <w:r>
        <w:rPr>
          <w:sz w:val="22"/>
          <w:szCs w:val="22"/>
        </w:rPr>
        <w:t xml:space="preserve">公司于2026年8月25日披露2026年半年度报告。上半年营业收入约9.53亿元，同比下降18.94%；归属于上市公司股东的净利润亏损2,933.01万元，同比减亏65.22%；扣除非经常性损益后的净利润亏损约7,722.57万元；经营活动产生的现金流量净额约1.37亿元，同比增长39.57%。公司尚未实现整体盈利。</w:t>
      </w:r>
    </w:p>
    <w:p>
      <w:pPr>
        <w:pStyle w:val="Heading2"/>
        <w:spacing w:after="120" w:before="240"/>
      </w:pPr>
      <w:r>
        <w:rPr>
          <w:b/>
          <w:bCs/>
          <w:color w:val="2E74B5"/>
          <w:sz w:val="24"/>
          <w:szCs w:val="24"/>
        </w:rPr>
        <w:t xml:space="preserve">4.3 2026年半年度业绩预告</w:t>
      </w:r>
    </w:p>
    <w:p>
      <w:pPr>
        <w:spacing w:after="160" w:line="300"/>
      </w:pPr>
      <w:r>
        <w:rPr>
          <w:sz w:val="22"/>
          <w:szCs w:val="22"/>
        </w:rPr>
        <w:t xml:space="preserve">公司于2026年7月15日披露《2026年半年度业绩预告》（公告编号：2026-072），预计2026年1—6月归属于上市公司股东的净利润亏损2,300万元至3,500万元，同比减亏58.49%至72.72%；扣除非经常性损益后的净利润亏损6,300万元至7,800万元，同比减亏14.35%至30.82%；预计营业收入为9.20亿元至9.80亿元。该预告为财务部门初步测算，未经会计师事务所审计。</w:t>
      </w:r>
    </w:p>
    <w:p>
      <w:pPr>
        <w:pStyle w:val="Heading2"/>
        <w:spacing w:after="120" w:before="240"/>
      </w:pPr>
      <w:r>
        <w:rPr>
          <w:b/>
          <w:bCs/>
          <w:color w:val="2E74B5"/>
          <w:sz w:val="24"/>
          <w:szCs w:val="24"/>
        </w:rPr>
        <w:t xml:space="preserve">4.4 实际控制人一致行动人增持公司股份</w:t>
      </w:r>
    </w:p>
    <w:p>
      <w:pPr>
        <w:spacing w:after="160" w:line="300"/>
      </w:pPr>
      <w:r>
        <w:rPr>
          <w:sz w:val="22"/>
          <w:szCs w:val="22"/>
        </w:rPr>
        <w:t xml:space="preserve">公司于2026年7月22日披露公告。实际控制人之一朱江的一致行动人成都水华智能科技集团有限公司于2026年7月20日至7月21日通过集中竞价方式合计增持公司股份2,048,400股，占公司当前总股本约0.35%。增持后，实际控制人及其一致行动人合计持有公司142,742,535股，占公司当前总股本24.30%。持股比例变动还受到“帝欧转债”转股导致总股本变化的影响。</w:t>
      </w:r>
    </w:p>
    <w:p>
      <w:pPr>
        <w:pStyle w:val="Heading2"/>
        <w:spacing w:after="120" w:before="240"/>
      </w:pPr>
      <w:r>
        <w:rPr>
          <w:b/>
          <w:bCs/>
          <w:color w:val="2E74B5"/>
          <w:sz w:val="24"/>
          <w:szCs w:val="24"/>
        </w:rPr>
        <w:t xml:space="preserve">4.5 股东鲍杰军减持股份</w:t>
      </w:r>
    </w:p>
    <w:p>
      <w:pPr>
        <w:spacing w:after="160" w:line="300"/>
      </w:pPr>
      <w:r>
        <w:rPr>
          <w:sz w:val="22"/>
          <w:szCs w:val="22"/>
        </w:rPr>
        <w:t xml:space="preserve">2026年5月7日公告显示，股东鲍杰军于2026年4月16日至4月30日期间通过集中竞价方式减持公司股份621,300股。受减持及可转债转股导致总股本增加影响，其与一致行动人陈家旺合计持股比例由此前6.98%变为5.95%。截至2026年9月11日，研究纪要未检索到其在2026年7—9月进一步减持的公告。</w:t>
      </w:r>
    </w:p>
    <w:p>
      <w:pPr>
        <w:pStyle w:val="Heading2"/>
        <w:spacing w:after="120" w:before="240"/>
      </w:pPr>
      <w:r>
        <w:rPr>
          <w:b/>
          <w:bCs/>
          <w:color w:val="2E74B5"/>
          <w:sz w:val="24"/>
          <w:szCs w:val="24"/>
        </w:rPr>
        <w:t xml:space="preserve">4.6 提供担保进展及担保风险提示</w:t>
      </w:r>
    </w:p>
    <w:p>
      <w:pPr>
        <w:spacing w:after="160" w:line="300"/>
      </w:pPr>
      <w:r>
        <w:rPr>
          <w:sz w:val="22"/>
          <w:szCs w:val="22"/>
        </w:rPr>
        <w:t xml:space="preserve">公司于2026年8月21日披露《关于提供担保的进展公告》（公告编号：2026-078）。公司及子公司欧神诺分别与中国银行梧州分行签订最高额保证合同，共同为广西欧神诺提供最高本金8,000万元担保；欧神诺另与柳州银行梧州分行签订最高额保证合同，为广西欧神诺提供最高本金750万元担保。截至公告披露日，公司及子公司对外担保余额为104,600.53万元，占最近一期经审计净资产的62.77%；其中，对合并报表内单位担保余额为103,283.53万元，占净资产61.98%，对合并报表外单位担保余额为1,317.00万元，占净资产0.79%。公司及子公司不存在逾期担保，也未为股东、实际控制人及其关联方提供担保。2026年度对外担保额度总额不超过300,050万元，且对外担保总额度超过最近一期经审计净资产100%。</w:t>
      </w:r>
    </w:p>
    <w:p>
      <w:pPr>
        <w:pStyle w:val="Heading2"/>
        <w:spacing w:after="120" w:before="240"/>
      </w:pPr>
      <w:r>
        <w:rPr>
          <w:b/>
          <w:bCs/>
          <w:color w:val="2E74B5"/>
          <w:sz w:val="24"/>
          <w:szCs w:val="24"/>
        </w:rPr>
        <w:t xml:space="preserve">4.7 为经销商提供担保额度获股东会通过</w:t>
      </w:r>
    </w:p>
    <w:p>
      <w:pPr>
        <w:spacing w:after="160" w:line="300"/>
      </w:pPr>
      <w:r>
        <w:rPr>
          <w:sz w:val="22"/>
          <w:szCs w:val="22"/>
        </w:rPr>
        <w:t xml:space="preserve">公司于2026年7月16日披露相关议案，拟由公司及全资子公司欧神诺为合作经销商银行贷款提供连带责任保证担保，担保总额度不超过8,000万元，并要求经销商提供反担保措施。该议案已于2026年7月31日召开的2026年第三次临时股东会审议通过。</w:t>
      </w:r>
    </w:p>
    <w:p>
      <w:pPr>
        <w:pStyle w:val="Heading2"/>
        <w:spacing w:after="120" w:before="240"/>
      </w:pPr>
      <w:r>
        <w:rPr>
          <w:b/>
          <w:bCs/>
          <w:color w:val="2E74B5"/>
          <w:sz w:val="24"/>
          <w:szCs w:val="24"/>
        </w:rPr>
        <w:t xml:space="preserve">4.8 向雅安云擎数据科技有限公司增资1.5亿元</w:t>
      </w:r>
    </w:p>
    <w:p>
      <w:pPr>
        <w:spacing w:after="160" w:line="300"/>
      </w:pPr>
      <w:r>
        <w:rPr>
          <w:sz w:val="22"/>
          <w:szCs w:val="22"/>
        </w:rPr>
        <w:t xml:space="preserve">公司于2026年7月7日披露公告，拟通过全资子公司水华未来（四川）科技有限公司，以自有资金1.50亿元向全资孙公司雅安云擎数据科技有限公司增资。增资完成后，雅安云擎注册资本由5,000万元增加至2亿元，公司仍通过子公司持有其100%权益。2026年7月14日，公司披露雅安云擎已完成工商变更登记。相关业务涉及人工智能、数据科技等方向，与公司原有卫浴、建筑陶瓷和亚克力业务不直接相关；公司提示相关人才和技术储备有限，以及资金统筹压力加大等风险。截至2026年9月11日，尚未看到该新业务形成明确收入或盈利贡献的公开披露。</w:t>
      </w:r>
    </w:p>
    <w:p>
      <w:pPr>
        <w:pStyle w:val="Heading2"/>
        <w:spacing w:after="120" w:before="240"/>
      </w:pPr>
      <w:r>
        <w:rPr>
          <w:b/>
          <w:bCs/>
          <w:color w:val="2E74B5"/>
          <w:sz w:val="24"/>
          <w:szCs w:val="24"/>
        </w:rPr>
        <w:t xml:space="preserve">4.9 与善思开悟相关资产及业务安排</w:t>
      </w:r>
    </w:p>
    <w:p>
      <w:pPr>
        <w:spacing w:after="160" w:line="300"/>
      </w:pPr>
      <w:r>
        <w:rPr>
          <w:sz w:val="22"/>
          <w:szCs w:val="22"/>
        </w:rPr>
        <w:t xml:space="preserve">公开重组信息显示，2026年6月公司披露了水华未来与善思开悟科技相关主体之间的资产及业务安排，涉及机电设施、服务器资产以及相关知识产权、存量业务。其中，机电设施和服务器资产交易金额约4,416.73万元，知识产权及存量业务的披露金额为0元。该事项与向雅安云擎增资共同构成公司向数据科技、人工智能方向拓展的资本运作线索。</w:t>
      </w:r>
    </w:p>
    <w:p>
      <w:pPr>
        <w:pStyle w:val="Heading2"/>
        <w:spacing w:after="120" w:before="240"/>
      </w:pPr>
      <w:r>
        <w:rPr>
          <w:b/>
          <w:bCs/>
          <w:color w:val="2E74B5"/>
          <w:sz w:val="24"/>
          <w:szCs w:val="24"/>
        </w:rPr>
        <w:t xml:space="preserve">4.10 股份回购方案已实施完毕</w:t>
      </w:r>
    </w:p>
    <w:p>
      <w:pPr>
        <w:spacing w:after="160" w:line="300"/>
      </w:pPr>
      <w:r>
        <w:rPr>
          <w:sz w:val="22"/>
          <w:szCs w:val="22"/>
        </w:rPr>
        <w:t xml:space="preserve">公司于2026年1月6日披露《关于股份回购进展暨完成的公告》。此前回购方案为回购股份数量下限850万股、上限1,670万股，回购价格上限经调整后为8.40元/股，回购资金总额上限约1.4028亿元，回购股份全部用于转换公司发行的可转换公司债券。截至2026年1月6日，该回购方案已实施完毕。截至2026年9月11日，暂未检索到公司启动新一轮股份回购或披露新的回购进展公告。</w:t>
      </w:r>
    </w:p>
    <w:p>
      <w:pPr>
        <w:pStyle w:val="Heading2"/>
        <w:spacing w:after="120" w:before="240"/>
      </w:pPr>
      <w:r>
        <w:rPr>
          <w:b/>
          <w:bCs/>
          <w:color w:val="2E74B5"/>
          <w:sz w:val="24"/>
          <w:szCs w:val="24"/>
        </w:rPr>
        <w:t xml:space="preserve">4.11 终止2025年度向特定对象发行股票事项</w:t>
      </w:r>
    </w:p>
    <w:p>
      <w:pPr>
        <w:spacing w:after="160" w:line="300"/>
      </w:pPr>
      <w:r>
        <w:rPr>
          <w:sz w:val="22"/>
          <w:szCs w:val="22"/>
        </w:rPr>
        <w:t xml:space="preserve">公司于2026年4月22日披露《关于终止2025年度向特定对象发行股票事项的公告》（公告编号：2026-028）。公司此前于2026年2月收到深交所受理通知，并于2026年3月收到审核问询函；经综合考虑公司实际情况并与相关中介机构沟通后，公司决定终止该次向特定对象发行股票事项，并向深交所申请撤回相关申请文件。</w:t>
      </w:r>
    </w:p>
    <w:p>
      <w:pPr>
        <w:pStyle w:val="Heading2"/>
        <w:spacing w:after="120" w:before="240"/>
      </w:pPr>
      <w:r>
        <w:rPr>
          <w:b/>
          <w:bCs/>
          <w:color w:val="2E74B5"/>
          <w:sz w:val="24"/>
          <w:szCs w:val="24"/>
        </w:rPr>
        <w:t xml:space="preserve">4.12 监管信息：暂未发现新增重大处罚或调查事项</w:t>
      </w:r>
    </w:p>
    <w:p>
      <w:pPr>
        <w:spacing w:after="160" w:line="300"/>
      </w:pPr>
      <w:r>
        <w:rPr>
          <w:sz w:val="22"/>
          <w:szCs w:val="22"/>
        </w:rPr>
        <w:t xml:space="preserve">截至2026年9月11日，针对公司公告、深交所监管信息及公开检索结果，暂未发现2026年7—9月新增的重大行政处罚、立案调查、交易所纪律处分或重大监管问询公告。该结论仅代表截至2026年9月11日的公开信息检索结果，不代表未来不会出现新的监管事项。公司近期持续提示担保规模较大以及人工智能、数据科技等新业务面临行业竞争、技术储备、人才储备和政策变化等风险。</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6.68元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约9,546万元，约0.95亿元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约14.33万手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约2.77%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约39.2亿元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约34.5亿元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8.77元，2026年5月11日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4.56元，2026年7月21日</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阶段位置</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最新价较52周高点低约23.8%，较52周低点高约46.5%；最新收盘价高于近一年约82%的交易日收盘价</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阶段涨跌幅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2026年以来累计上涨约16.58%；近20个交易日累计上涨约14.19%；近5个交易日累计上涨约0.91%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估值参考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动态市盈率因公司2026年半年度归母净利润仍为亏损而不适用；市净率约2.00倍</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6.84元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收盘价6.68元低于MA5约2.28%，显示短线出现冲高后的回撤迹象</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收盘价高于MA10约0.95%，短期支撑暂未失守</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6.20元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收盘价高于MA20约7.66%；MA20与布林中轨重合，构成较重要的中期支撑参考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均线结构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MA5高于MA10，MA10高于MA20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短期均线仍保持偏多排列，但股价已经跌破MA5，短线动能出现一定回撤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DIF 0.34；DEA 0.28；MACD柱0.11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MACD柱位于零轴上方，DIF仍高于DEA，中短期动能尚未完全转弱；需观察后续MACD柱是否连续收缩</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 60.6；RSI12 66.3；RSI24 61.2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RSI6处于传统中性区间，RSI12接近70但尚未明显进入极端超买区间；继续上行需要成交量配合</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上轨7.13元；中轨6.20元；下轨5.28元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收盘价位于布林中轨与上轨之间，距上轨约0.45元、距中轨约0.48元；中轨6.20元为重要支撑参考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近期量价关系</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近10个交易日成交额约0.42亿至1.48亿元，平均约0.92亿元；近5个交易日平均约0.94亿元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9月11日成交额约0.95亿元，处于近期正常偏高水平，但价格下跌，放量尚未形成正向价格确认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9月11日净流出约1,615万元；近10个交易日合计净流入约3,281万元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近10个交易日总体仍为净流入，但9月11日出现放量下跌和较大额净流出，短线资金分歧加大；该数据为大单与超大单合计口径，并非交易所官方披露数据</w:t>
            </w:r>
          </w:p>
        </w:tc>
      </w:tr>
    </w:tbl>
    <w:p>
      <w:pPr>
        <w:spacing w:before="200"/>
      </w:pPr>
    </w:p>
    <w:p>
      <w:pPr>
        <w:spacing w:after="160" w:line="300"/>
      </w:pPr>
      <w:r>
        <w:rPr>
          <w:sz w:val="22"/>
          <w:szCs w:val="22"/>
        </w:rPr>
        <w:t xml:space="preserve">截至2026年9月11日，股价处于近一年价格区间偏高位置，较52周高点仍有约23.8%的距离。均线方面，股价跌破MA5但仍站在MA10和MA20之上，MA5、MA10、MA20维持多头排列，说明中短期趋势尚未完全破坏，但短线出现冲高回撤。MACD仍位于零轴上方，RSI处于中性至偏强区间，技术面尚未出现明显超买或超卖信号。量价方面，9月11日成交额约0.95亿元，处于近期正常偏高水平，但伴随股价下跌及主力资金净流出，短线资金面由此前偏积极转为分歧加大。后续重点观察6.53~6.62元支撑区域、6.20元附近MA20支撑，以及7.05~7.13元压力区域的量价配合情况。</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风险提示：以下内容仅为基于截至2026年9月11日收盘数据的主观情景推演，不构成投资建议，也不是对未来股价的确定性预测。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7.05~7.13元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对应2026年9月7日盘中高点7.05元及布林带上轨7.13元。若放量突破并连续收盘站稳，可能打开向52周高点8.77元附近继续修复的空间；若冲高回落或缩量，则需关注上方抛压。</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6.53~6.62元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对应2026年9月11日盘中低点6.53元、9月4日收盘价6.62元及MA10约6.62元。若守住该区域，短线仍可能维持6.53~7.05元震荡；若有效跌破6.53元，调整压力将增加。</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6.15~6.30元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对应MA20约6.20元、9月2日盘中低点6.15元及近期上涨波段中的短线整理区域。若有效跌破6.15元，下一参考区域可能下移至5.50~5.73元，并进一步接近布林下轨5.28元及近期8月低位区域。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五成至六成；该权重基于当前技术指标与资金流向的主观判断，不是统计概率）：参考区间为6.50~7.05元。触发条件包括股价守住6.53元附近、MA10约6.62元未被持续跌破、成交额维持在近期常态约0.6~1.2亿元区间，且主力资金不再连续出现千万元级净流出。当前股价仍高于MA20、MACD位于零轴上方，但已跌破MA5且9月11日出现放量下跌，因此更可能表现为反弹后的换手和区间震荡。</w:t>
      </w:r>
    </w:p>
    <w:p>
      <w:pPr>
        <w:pStyle w:val="ListParagraph"/>
        <w:numPr>
          <w:ilvl w:val="0"/>
          <w:numId w:val="2"/>
        </w:numPr>
        <w:spacing w:after="80" w:line="280"/>
      </w:pPr>
      <w:r>
        <w:rPr>
          <w:sz w:val="22"/>
          <w:szCs w:val="22"/>
        </w:rPr>
        <w:t xml:space="preserve">偏弱下行（主观启发式权重中等，约两成至三成；该权重基于当前技术指标与资金流向的主观判断，不是统计概率）：参考区间为6.15~6.53元，弱势情况下可能向5.50~5.73元寻找支撑。触发条件包括收盘价连续跌破6.53元，随后进一步跌破MA10和6.20元附近的MA20，下跌时成交额持续高于近期均值并达到约1.0亿元以上，同时主力资金连续净流出且家居用品、轻工制造板块同步走弱。若跌破6.15~6.20元，短期均线支撑可能失效，价格或回试前期整理平台和布林带下方区域。</w:t>
      </w:r>
    </w:p>
    <w:p>
      <w:pPr>
        <w:pStyle w:val="ListParagraph"/>
        <w:numPr>
          <w:ilvl w:val="0"/>
          <w:numId w:val="2"/>
        </w:numPr>
        <w:spacing w:after="80" w:line="280"/>
      </w:pPr>
      <w:r>
        <w:rPr>
          <w:sz w:val="22"/>
          <w:szCs w:val="22"/>
        </w:rPr>
        <w:t xml:space="preserve">反弹走强（主观启发式权重偏低至中等，约两成左右；该权重基于当前技术指标与资金流向的主观判断，不是统计概率）：参考区间为6.85~7.13元，强势情况下尝试突破7.13元。触发条件包括股价重新站上MA5约6.84元，放量突破6.93~7.05元近期高点区间，单日成交额明显高于近期均值并达到约1.3亿元以上，主力资金重新转为较大规模净流入，且相关板块或市场风险偏好同步改善。若7.05~7.13元出现放量有效突破，技术形态可能重新转强；若缩量反弹至该区域但不能突破，仍需关注冲高回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当日换手率约2.77%，成交额约9,546万元；近10个交易日成交额约0.42亿至1.48亿元，平均约0.92亿元，近5个交易日平均约0.94亿元。当日主力资金净流出约1,615万元，近10个交易日合计净流入约3,281万元。股东结构数据截至2026年6月30日，股东户数约2.03万户，较2026年3月31日增加8.89%；前十大股东披露持股比例合计约38.20%。前十大股东中，四川资本市场纾困发展基金持股5.84%，其余主要为自然人、公司法人或实际控制人及一致行动人相关股东；截至2026年6月30日，同花顺页面显示有25家主力机构披露持仓，合计约6,117.56万股、占流通A股约11.84%，但不能据此判断其在9月行情中未发生调仓。公司回购专用证券账户和员工持股计划分别约占2.89%和2.49%，不宜简单等同于外部机构主动建仓。上述股东户数、前十大股东及机构持仓数据与最新行情相隔约两个半月，期间可能发生增减持、可转债转股、回购账户变化或其他股本结构变化，因此仅作为滞后背景参考。综合来看，公司总市值较小、日均成交额约1亿元，具备一定流动性但并非特别活跃的大盘股；成交额明显下降时，买卖盘深度可能减弱，价格对单笔资金的敏感度会提高；成交额放大但股价下跌时，则需关注资金兑现或筹码交换。</w:t>
      </w:r>
    </w:p>
    <w:p>
      <w:pPr>
        <w:spacing w:after="160" w:line="300"/>
      </w:pPr>
      <w:r>
        <w:rPr>
          <w:sz w:val="22"/>
          <w:szCs w:val="22"/>
        </w:rPr>
        <w:t xml:space="preserve">可检查的量能确认信号是：若后续单日成交额连续放大至约1.3亿元以上，同时股价收盘站上6.93~7.05元且主力资金同步转为净流入，可视为短线资金重新确认上涨的观察信号；若放量但股价仍跌破6.53元，则更偏向资金分歧或抛压释放，而非有效突破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观察6.53~6.62元区域能否形成短线支撑，以及6.20元附近MA20是否被有效跌破。</w:t>
      </w:r>
    </w:p>
    <w:p>
      <w:pPr>
        <w:pStyle w:val="ListParagraph"/>
        <w:numPr>
          <w:ilvl w:val="0"/>
          <w:numId w:val="2"/>
        </w:numPr>
        <w:spacing w:after="80" w:line="280"/>
      </w:pPr>
      <w:r>
        <w:rPr>
          <w:sz w:val="22"/>
          <w:szCs w:val="22"/>
        </w:rPr>
        <w:t xml:space="preserve">观察7.05~7.13元压力区能否在成交额放大情况下有效突破。</w:t>
      </w:r>
    </w:p>
    <w:p>
      <w:pPr>
        <w:pStyle w:val="ListParagraph"/>
        <w:numPr>
          <w:ilvl w:val="0"/>
          <w:numId w:val="2"/>
        </w:numPr>
        <w:spacing w:after="80" w:line="280"/>
      </w:pPr>
      <w:r>
        <w:rPr>
          <w:sz w:val="22"/>
          <w:szCs w:val="22"/>
        </w:rPr>
        <w:t xml:space="preserve">观察成交额是否连续达到约1.3亿元以上，并与价格上涨及主力资金净流入同步。</w:t>
      </w:r>
    </w:p>
    <w:p>
      <w:pPr>
        <w:pStyle w:val="ListParagraph"/>
        <w:numPr>
          <w:ilvl w:val="0"/>
          <w:numId w:val="2"/>
        </w:numPr>
        <w:spacing w:after="80" w:line="280"/>
      </w:pPr>
      <w:r>
        <w:rPr>
          <w:sz w:val="22"/>
          <w:szCs w:val="22"/>
        </w:rPr>
        <w:t xml:space="preserve">观察9月11日主力资金净流出是否演变为连续性流出。以上均为观察思路，非操作指令。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建筑陶瓷和卫生洁具行业属于充分竞争行业，企业数量较多，市场呈现“大市场、小企业”特征。行业竞争已由单纯价格竞争转向品牌、营销、人才、服务、规模、产品设计和供应链效率等综合竞争。建筑陶瓷需求受房地产新开工、竣工、旧房改造、城市更新和家装消费影响，房地产开发投资下行时工程渠道通常先受到冲击。</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经销、家装、整装和旧房翻新成为行业企业争夺重点，头部品牌凭借渠道、设计、供应链和规模优势提升集中度。</w:t>
      </w:r>
    </w:p>
    <w:p>
      <w:pPr>
        <w:pStyle w:val="ListParagraph"/>
        <w:numPr>
          <w:ilvl w:val="0"/>
          <w:numId w:val="2"/>
        </w:numPr>
        <w:spacing w:after="80" w:line="280"/>
      </w:pPr>
      <w:r>
        <w:rPr>
          <w:sz w:val="22"/>
          <w:szCs w:val="22"/>
        </w:rPr>
        <w:t xml:space="preserve">能耗、环保和碳排放约束推动落后产能退出，能源成本和产能利用率对制造业毛利率影响较大。</w:t>
      </w:r>
    </w:p>
    <w:p>
      <w:pPr>
        <w:pStyle w:val="ListParagraph"/>
        <w:numPr>
          <w:ilvl w:val="0"/>
          <w:numId w:val="2"/>
        </w:numPr>
        <w:spacing w:after="80" w:line="280"/>
      </w:pPr>
      <w:r>
        <w:rPr>
          <w:sz w:val="22"/>
          <w:szCs w:val="22"/>
        </w:rPr>
        <w:t xml:space="preserve">行业仍存在大量区域性企业，集中度虽在提升但过程较慢。</w:t>
      </w:r>
    </w:p>
    <w:p>
      <w:pPr>
        <w:pStyle w:val="ListParagraph"/>
        <w:numPr>
          <w:ilvl w:val="0"/>
          <w:numId w:val="2"/>
        </w:numPr>
        <w:spacing w:after="80" w:line="280"/>
      </w:pPr>
      <w:r>
        <w:rPr>
          <w:sz w:val="22"/>
          <w:szCs w:val="22"/>
        </w:rPr>
        <w:t xml:space="preserve">公开行业资料将马可波罗、东鹏控股、蒙娜丽莎、帝欧家居/帝欧水华、新明珠等视为建筑陶瓷行业头部或第一梯队企业，但相关前四家上市或大型企业建筑陶瓷产量合计市场份额仍不足10%。该市场份额数据主要依据行业研究和企业申报材料，统计口径可能包括自产产量、全国陶瓷砖产量或不同年度数据，不能完全等同于权威官方统计或直接横向比较。</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东鹏控股（003012）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瓷砖、卫浴、木地板、涂料、辅材和整装家居综合布局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业务范围与帝欧水华较为接近，优势在于品牌知名度、产品品类、零售渠道和综合家居布局，整体规模明显大于帝欧水华。</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蒙娜丽莎（002918）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聚焦高品质建筑陶瓷，重点产品包括瓷砖、大板和岩板</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与帝欧水华欧神诺瓷砖业务高度重合，优势在于建筑陶瓷品牌、设计研发、大规格产品和经销网络；业务结构较帝欧水华更偏建筑陶瓷专业化。</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马可波罗控股（001386）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大型建筑陶瓷品牌企业，产品包括有釉砖、无釉砖及相关建筑陶瓷产品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收入规模、产量和品牌影响力处于行业前列，是欧神诺在高端瓷砖、工程渠道和经销渠道方面的重要竞争对手。</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惠达卫浴（603385）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卫生陶瓷、整体卫浴及相关家居产品</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与帝王洁具业务直接重合，优势在于卫浴专业化、卫生陶瓷制造历史和品牌积累。</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箭牌家居（001322）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卫生洁具、智能卫浴、浴室家具、瓷砖及整体家居</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是帝王洁具在智能马桶、浴室柜、整体卫浴和零售渠道上的直接竞争对手，竞争优势更多体现在卫浴品牌、智能卫浴产品和终端零售网络。</w:t>
            </w:r>
          </w:p>
        </w:tc>
      </w:tr>
    </w:tbl>
    <w:p>
      <w:pPr>
        <w:spacing w:before="200"/>
      </w:pPr>
    </w:p>
    <w:p>
      <w:pPr>
        <w:spacing w:after="160" w:line="300"/>
      </w:pPr>
      <w:r>
        <w:rPr>
          <w:sz w:val="22"/>
          <w:szCs w:val="22"/>
        </w:rPr>
        <w:t xml:space="preserve">帝欧水华与东鹏控股、蒙娜丽莎、马可波罗等企业在建筑陶瓷、品牌、经销和工程渠道方面存在竞争，与惠达卫浴、箭牌家居在卫浴产品和零售渠道方面存在竞争。公司差异化特征是同时覆盖建筑陶瓷、卫浴和亚克力新材料，具备欧神诺与帝王洁具双品牌、多基地制造和多渠道体系；但与规模更大的行业企业相比，公司仍面临收入规模、盈利能力和资本负债压力。综合来看，公司品牌和渠道能力优于普通区域陶瓷企业，但上游成本定价权和下游工程客户议价权有限，利润改善更依赖产品结构升级、渠道优化、产能和能源成本控制，而非资源禀赋或强定价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主业收入和盈利修复不及预期风险：2026年上半年收入同比下降18.94%，扣非归母净利润仍亏损7722.57万元；即使毛利率改善，公司仍可能因收入继续下滑、期间费用较高及历史经营负担而无法实现稳定盈利。</w:t>
      </w:r>
    </w:p>
    <w:p>
      <w:pPr>
        <w:pStyle w:val="ListParagraph"/>
        <w:numPr>
          <w:ilvl w:val="0"/>
          <w:numId w:val="2"/>
        </w:numPr>
        <w:spacing w:after="80" w:line="280"/>
      </w:pPr>
      <w:r>
        <w:rPr>
          <w:sz w:val="22"/>
          <w:szCs w:val="22"/>
        </w:rPr>
        <w:t xml:space="preserve">房地产及工程客户回款风险：公司曾发生房地产开发商以房产抵偿货款，2025年及2026年仍有以房抵债事项；工程客户通常具有较强议价能力并可能要求较长账期，相关应收账款回收、信用减值和资产处置可能继续影响利润与现金流。</w:t>
      </w:r>
    </w:p>
    <w:p>
      <w:pPr>
        <w:pStyle w:val="ListParagraph"/>
        <w:numPr>
          <w:ilvl w:val="0"/>
          <w:numId w:val="2"/>
        </w:numPr>
        <w:spacing w:after="80" w:line="280"/>
      </w:pPr>
      <w:r>
        <w:rPr>
          <w:sz w:val="22"/>
          <w:szCs w:val="22"/>
        </w:rPr>
        <w:t xml:space="preserve">担保规模较大风险：截至2026年8月公告披露日，公司及子公司对外担保余额为10.46亿元，占最近一期经审计净资产的62.77%；2026年度对外担保额度上限超过最近一期经审计净资产100%，若被担保主体经营或偿债能力恶化，公司可能承担代偿责任。</w:t>
      </w:r>
    </w:p>
    <w:p>
      <w:pPr>
        <w:pStyle w:val="ListParagraph"/>
        <w:numPr>
          <w:ilvl w:val="0"/>
          <w:numId w:val="2"/>
        </w:numPr>
        <w:spacing w:after="80" w:line="280"/>
      </w:pPr>
      <w:r>
        <w:rPr>
          <w:sz w:val="22"/>
          <w:szCs w:val="22"/>
        </w:rPr>
        <w:t xml:space="preserve">经销渠道及下游议价风险：2025年经销渠道收入占比已升至81.90%，公司需要通过价格政策、返利、市场支持和渠道服务维持经销体系，对终端价格的控制能力有限；经销商贷款担保额度不超过8000万元，也可能增加渠道信用管理压力。</w:t>
      </w:r>
    </w:p>
    <w:p>
      <w:pPr>
        <w:pStyle w:val="ListParagraph"/>
        <w:numPr>
          <w:ilvl w:val="0"/>
          <w:numId w:val="2"/>
        </w:numPr>
        <w:spacing w:after="80" w:line="280"/>
      </w:pPr>
      <w:r>
        <w:rPr>
          <w:sz w:val="22"/>
          <w:szCs w:val="22"/>
        </w:rPr>
        <w:t xml:space="preserve">上游成本和外协管理风险：2025年制造业成本中外协成本占37.29%，能源及动力成本占15.07%；原材料、能源价格上涨或外协厂商出现报价上升、交付延迟和质量问题，可能压缩毛利率并影响生产稳定性。</w:t>
      </w:r>
    </w:p>
    <w:p>
      <w:pPr>
        <w:pStyle w:val="ListParagraph"/>
        <w:numPr>
          <w:ilvl w:val="0"/>
          <w:numId w:val="2"/>
        </w:numPr>
        <w:spacing w:after="80" w:line="280"/>
      </w:pPr>
      <w:r>
        <w:rPr>
          <w:sz w:val="22"/>
          <w:szCs w:val="22"/>
        </w:rPr>
        <w:t xml:space="preserve">AI及数据科技业务投入回报不确定风险：公司向雅安云擎增资1.50亿元，相关业务与原有建材、卫浴和亚克力业务关联度较低，目前尚未形成明确收入或盈利贡献；公司已提示技术、人才储备不足及资金统筹压力，后续存在投入无法及时转化为商业化收益的风险。</w:t>
      </w:r>
    </w:p>
    <w:p>
      <w:pPr>
        <w:pStyle w:val="ListParagraph"/>
        <w:numPr>
          <w:ilvl w:val="0"/>
          <w:numId w:val="2"/>
        </w:numPr>
        <w:spacing w:after="80" w:line="280"/>
      </w:pPr>
      <w:r>
        <w:rPr>
          <w:sz w:val="22"/>
          <w:szCs w:val="22"/>
        </w:rPr>
        <w:t xml:space="preserve">资产质量和减值风险：公司2024年应收账款原值约16.07亿元、坏账准备约8.85亿元，历史信用减值和资产减值对净利润影响较大；2025年及2026年上半年尚缺乏完全同口径的应收账款可比数据，未来若客户信用状况恶化，仍可能出现新增减值。</w:t>
      </w:r>
    </w:p>
    <w:p>
      <w:pPr>
        <w:pStyle w:val="ListParagraph"/>
        <w:numPr>
          <w:ilvl w:val="0"/>
          <w:numId w:val="2"/>
        </w:numPr>
        <w:spacing w:after="80" w:line="280"/>
      </w:pPr>
      <w:r>
        <w:rPr>
          <w:sz w:val="22"/>
          <w:szCs w:val="22"/>
        </w:rPr>
        <w:t xml:space="preserve">股价波动和估值支撑不足风险：公司当前仍亏损，PE估值不适用，PB约2倍主要依赖资产质量和未来盈利修复进行判断；截至2026年9月11日股价跌破MA5，且当日出现放量下跌和主力资金净流出，若跌破6.53元及6.20元附近支撑，短期波动压力可能加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经营改善已出现一定迹象：建材业务毛利率提升，营业成本、销售费用和财务费用下降，经营现金流继续改善，2026年上半年归母亏损同比收窄。但收入端仍处于收缩状态，扣非利润持续为负，管理费用同比增加48.84%，说明当前减亏仍较多依赖成本控制、减值及资产处置等因素，尚不能确认主营业务已进入稳定盈利阶段。</w:t>
      </w:r>
    </w:p>
    <w:p>
      <w:pPr>
        <w:spacing w:after="160" w:line="300"/>
      </w:pPr>
      <w:r>
        <w:rPr>
          <w:sz w:val="22"/>
          <w:szCs w:val="22"/>
        </w:rPr>
        <w:t xml:space="preserve">展望未来，盈利修复的核心在于经销、家装、整装和零售渠道能否持续扩大，高端瓷砖、岩板、智能卫浴及亚克力等高附加值产品能否改善产品结构，同时降低工程客户回款和信用减值压力。单一券商预测预计公司2026年仍亏损、2027年实现约2000万元盈利、2028年盈利约6600万元，但该预测依赖建材需求恢复、海外业务拓展及AI商业化，且并非多机构一致预期，应保持审慎观察。</w:t>
      </w:r>
    </w:p>
    <w:p>
      <w:pPr>
        <w:spacing w:after="160" w:line="300"/>
      </w:pPr>
      <w:r>
        <w:rPr>
          <w:sz w:val="22"/>
          <w:szCs w:val="22"/>
        </w:rPr>
        <w:t xml:space="preserve">技术面上，6.53—6.62元为短线支撑参考，6.20元附近为较重要的中期支撑，7.05—7.13元为上方压力区域。后续走势需要结合成交额、主力资金和价格突破情况观察，技术指标只能反映阶段性交易特征，不能替代对公司盈利、现金流和担保风险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帝欧水华集团股份有限公司2025年第三季度报告|上海证券报 — https://paper.cnstock.com/html/2025-10/30/content_2138060.htm?utm_source=openai</w:t>
      </w:r>
    </w:p>
    <w:p>
      <w:pPr>
        <w:spacing w:after="200"/>
      </w:pPr>
      <w:r>
        <w:rPr>
          <w:i/>
          <w:iCs/>
          <w:color w:val="595959"/>
          <w:sz w:val="18"/>
          <w:szCs w:val="18"/>
        </w:rPr>
        <w:t xml:space="preserve">帝欧水华集团股份有限公司2025年年度报告摘要 — https://disc.static.szse.cn/disc/disk03/finalpage/2026-04-29/ec06be09-8c6b-4829-a1af-500b8020156e.PDF?utm_source=openai</w:t>
      </w:r>
    </w:p>
    <w:p>
      <w:pPr>
        <w:spacing w:after="200"/>
      </w:pPr>
      <w:r>
        <w:rPr>
          <w:i/>
          <w:iCs/>
          <w:color w:val="595959"/>
          <w:sz w:val="18"/>
          <w:szCs w:val="18"/>
        </w:rPr>
        <w:t xml:space="preserve">https://pdf.dfcfw.com/pdf/H2_AN202604281821698973_1.pdf — https://pdf.dfcfw.com/pdf/H2_AN202604281821698973_1.pdf</w:t>
      </w:r>
    </w:p>
    <w:p>
      <w:pPr>
        <w:spacing w:after="200"/>
      </w:pPr>
      <w:r>
        <w:rPr>
          <w:i/>
          <w:iCs/>
          <w:color w:val="595959"/>
          <w:sz w:val="18"/>
          <w:szCs w:val="18"/>
        </w:rPr>
        <w:t xml:space="preserve">https://www.monarch-sw.com/upload/zyycms/20250504/6d16160e60da0a62d72440c72be9c5d2.pdf — https://www.monarch-sw.com/upload/zyycms/20250504/6d16160e60da0a62d72440c72be9c5d2.pdf</w:t>
      </w:r>
    </w:p>
    <w:p>
      <w:pPr>
        <w:spacing w:after="200"/>
      </w:pPr>
      <w:r>
        <w:rPr>
          <w:i/>
          <w:iCs/>
          <w:color w:val="595959"/>
          <w:sz w:val="18"/>
          <w:szCs w:val="18"/>
        </w:rPr>
        <w:t xml:space="preserve">帝欧水华(002798)_公司公告_帝欧水华：2025年年度报告新浪财经_新浪网 — https://vip.stock.finance.sina.com.cn/corp/view/vCB_AllBulletinDetail.php?id=12261153&amp;stockid=002798&amp;utm_source=openai</w:t>
      </w:r>
    </w:p>
    <w:p>
      <w:pPr>
        <w:spacing w:after="200"/>
      </w:pPr>
      <w:r>
        <w:rPr>
          <w:i/>
          <w:iCs/>
          <w:color w:val="595959"/>
          <w:sz w:val="18"/>
          <w:szCs w:val="18"/>
        </w:rPr>
        <w:t xml:space="preserve">帝欧水华(002798)_公司公告_帝欧家居：2024年年度报告摘要新浪财经_新浪网 — https://money.finance.sina.com.cn/corp/view/vCB_AllBulletinDetail.php?id=11011260&amp;stockid=002798&amp;utm_source=openai</w:t>
      </w:r>
    </w:p>
    <w:p>
      <w:pPr>
        <w:spacing w:after="200"/>
      </w:pPr>
      <w:r>
        <w:rPr>
          <w:i/>
          <w:iCs/>
          <w:color w:val="595959"/>
          <w:sz w:val="18"/>
          <w:szCs w:val="18"/>
        </w:rPr>
        <w:t xml:space="preserve">帝欧水华(002798)_公司公告_帝欧家居：2024年年度报告新浪财经_新浪网 — https://vip.stock.finance.sina.com.cn/corp/view/vCB_AllBulletinDetail.php?id=11011275&amp;stockid=002798&amp;utm_source=openai</w:t>
      </w:r>
    </w:p>
    <w:p>
      <w:pPr>
        <w:spacing w:after="200"/>
      </w:pPr>
      <w:r>
        <w:rPr>
          <w:i/>
          <w:iCs/>
          <w:color w:val="595959"/>
          <w:sz w:val="18"/>
          <w:szCs w:val="18"/>
        </w:rPr>
        <w:t xml:space="preserve">帝欧水华(002798)_公司公告_帝欧水华：2025年年度报告摘要新浪财经_新浪网 — https://money.finance.sina.com.cn/corp/view/vCB_AllBulletinDetail.php?id=12261133&amp;stockid=002798&amp;utm_source=openai</w:t>
      </w:r>
    </w:p>
    <w:p>
      <w:pPr>
        <w:spacing w:after="200"/>
      </w:pPr>
      <w:r>
        <w:rPr>
          <w:i/>
          <w:iCs/>
          <w:color w:val="595959"/>
          <w:sz w:val="18"/>
          <w:szCs w:val="18"/>
        </w:rPr>
        <w:t xml:space="preserve">帝欧家居集团股份有限公司2022 年年度报告全文 — https://pdf.dfcfw.com/pdf/H2_AN202306151590974954_1.pdf?utm_source=openai</w:t>
      </w:r>
    </w:p>
    <w:p>
      <w:pPr>
        <w:spacing w:after="200"/>
      </w:pPr>
      <w:r>
        <w:rPr>
          <w:i/>
          <w:iCs/>
          <w:color w:val="595959"/>
          <w:sz w:val="18"/>
          <w:szCs w:val="18"/>
        </w:rPr>
        <w:t xml:space="preserve">帝欧水华(002798)_公司公告_帝欧家居：2023年年度报告新浪财经_新浪网 — https://vip.stock.finance.sina.com.cn/corp/view/vCB_AllBulletinDetail.php?id=10125983&amp;stockid=002798&amp;utm_source=openai</w:t>
      </w:r>
    </w:p>
    <w:p>
      <w:pPr>
        <w:spacing w:after="200"/>
      </w:pPr>
      <w:r>
        <w:rPr>
          <w:i/>
          <w:iCs/>
          <w:color w:val="595959"/>
          <w:sz w:val="18"/>
          <w:szCs w:val="18"/>
        </w:rPr>
        <w:t xml:space="preserve">帝欧水华(002798)_公司公告_帝欧家居：2024年年度报告新浪财经_新浪网 — https://money.finance.sina.com.cn/corp/view/vCB_AllBulletinDetail.php?id=11011275&amp;stockid=002798&amp;utm_source=openai</w:t>
      </w:r>
    </w:p>
    <w:p>
      <w:pPr>
        <w:spacing w:after="200"/>
      </w:pPr>
      <w:r>
        <w:rPr>
          <w:i/>
          <w:iCs/>
          <w:color w:val="595959"/>
          <w:sz w:val="18"/>
          <w:szCs w:val="18"/>
        </w:rPr>
        <w:t xml:space="preserve">马可波罗控股股份有限公司 — https://reportdocs.static.szse.cn/UpFiles/rasinfodisc1/202405/RAS_202405_101500076B321EBDC440B0AB23D864DA1C88F9.pdf?utm_source=openai</w:t>
      </w:r>
    </w:p>
    <w:p>
      <w:pPr>
        <w:spacing w:after="200"/>
      </w:pPr>
      <w:r>
        <w:rPr>
          <w:i/>
          <w:iCs/>
          <w:color w:val="595959"/>
          <w:sz w:val="18"/>
          <w:szCs w:val="18"/>
        </w:rPr>
        <w:t xml:space="preserve">2021年中国陶瓷砖产量及重点企业对比分析：帝欧家居vs蒙娜丽莎vs东鹏控股[图]_智研咨询 — https://www.chyxx.com/industry/1101741.html?utm_source=openai</w:t>
      </w:r>
    </w:p>
    <w:p>
      <w:pPr>
        <w:spacing w:after="200"/>
      </w:pPr>
      <w:r>
        <w:rPr>
          <w:i/>
          <w:iCs/>
          <w:color w:val="595959"/>
          <w:sz w:val="18"/>
          <w:szCs w:val="18"/>
        </w:rPr>
        <w:t xml:space="preserve">优势
▪ 公司“蒙娜丽莎”品牌为建筑陶瓷行业头部一线品牌之一，销售渠道遍布全国，2022年以来经销 — https://static.cninfo.com.cn/finalpage/2023-05-27/1216922007.PDF?utm_source=openai</w:t>
      </w:r>
    </w:p>
    <w:p>
      <w:pPr>
        <w:spacing w:after="200"/>
      </w:pPr>
      <w:r>
        <w:rPr>
          <w:i/>
          <w:iCs/>
          <w:color w:val="595959"/>
          <w:sz w:val="18"/>
          <w:szCs w:val="18"/>
        </w:rPr>
        <w:t xml:space="preserve">2026-2032年中国陶瓷砖行业市场现状及发展前景分析报告_智研咨询 — https://www.chyxx.com/research/1127725.html?utm_source=openai</w:t>
      </w:r>
    </w:p>
    <w:p>
      <w:pPr>
        <w:spacing w:after="200"/>
      </w:pPr>
      <w:r>
        <w:rPr>
          <w:i/>
          <w:iCs/>
          <w:color w:val="595959"/>
          <w:sz w:val="18"/>
          <w:szCs w:val="18"/>
        </w:rPr>
        <w:t xml:space="preserve">帝欧水华(002798)_公司公告_帝欧水华：2026年半年度报告摘要新浪财经_新浪网 — https://money.finance.sina.com.cn/corp/view/vCB_AllBulletinDetail.php?id=12529072&amp;stockid=002798&amp;utm_source=openai</w:t>
      </w:r>
    </w:p>
    <w:p>
      <w:pPr>
        <w:spacing w:after="200"/>
      </w:pPr>
      <w:r>
        <w:rPr>
          <w:i/>
          <w:iCs/>
          <w:color w:val="595959"/>
          <w:sz w:val="18"/>
          <w:szCs w:val="18"/>
        </w:rPr>
        <w:t xml:space="preserve">帝欧水华(002798)_公司公告_帝欧水华：2026年半年度报告新浪财经_新浪网 — https://money.finance.sina.com.cn/corp/view/vCB_AllBulletinDetail.php?id=12529074&amp;stockid=002798&amp;utm_source=openai</w:t>
      </w:r>
    </w:p>
    <w:p>
      <w:pPr>
        <w:spacing w:after="200"/>
      </w:pPr>
      <w:r>
        <w:rPr>
          <w:i/>
          <w:iCs/>
          <w:color w:val="595959"/>
          <w:sz w:val="18"/>
          <w:szCs w:val="18"/>
        </w:rPr>
        <w:t xml:space="preserve">帝欧水华(002798)_公司公告_帝欧水华：2026年半年度报告新浪财经_新浪网 — https://money.finance.sina.com.cn/corp/view/vCB_AllBulletinDetail.php?id=12529074&amp;stockid=002798</w:t>
      </w:r>
    </w:p>
    <w:p>
      <w:pPr>
        <w:spacing w:after="200"/>
      </w:pPr>
      <w:r>
        <w:rPr>
          <w:i/>
          <w:iCs/>
          <w:color w:val="595959"/>
          <w:sz w:val="18"/>
          <w:szCs w:val="18"/>
        </w:rPr>
        <w:t xml:space="preserve">公司事件点评报告：建材业务持续优化静待拐点出现，AI业务初步成型打造新的增长曲线- 宏观研究报告 _ 数据中心 _ 东方财富网 — https://data.eastmoney.com/report/info/AP202609011828868717.html?utm_source=openai</w:t>
      </w:r>
    </w:p>
    <w:p>
      <w:pPr>
        <w:spacing w:after="200"/>
      </w:pPr>
      <w:r>
        <w:rPr>
          <w:i/>
          <w:iCs/>
          <w:color w:val="595959"/>
          <w:sz w:val="18"/>
          <w:szCs w:val="18"/>
        </w:rPr>
        <w:t xml:space="preserve">帝欧水华(002798)_公司公告_帝欧水华：2025年年度报告新浪财经_新浪网 — https://money.finance.sina.com.cn/corp/view/vCB_AllBulletinDetail.php?id=12261153&amp;stockid=002798&amp;utm_source=openai</w:t>
      </w:r>
    </w:p>
    <w:p>
      <w:pPr>
        <w:spacing w:after="200"/>
      </w:pPr>
      <w:r>
        <w:rPr>
          <w:i/>
          <w:iCs/>
          <w:color w:val="595959"/>
          <w:sz w:val="18"/>
          <w:szCs w:val="18"/>
        </w:rPr>
        <w:t xml:space="preserve">证券代码：002798   证券简称：帝欧水华   公告编号：2026-072 — https://static.cninfo.com.cn/finalpage/2026-07-15/1225424975.PDF?utm_source=openai</w:t>
      </w:r>
    </w:p>
    <w:p>
      <w:pPr>
        <w:spacing w:after="200"/>
      </w:pPr>
      <w:r>
        <w:rPr>
          <w:i/>
          <w:iCs/>
          <w:color w:val="595959"/>
          <w:sz w:val="18"/>
          <w:szCs w:val="18"/>
        </w:rPr>
        <w:t xml:space="preserve">机构首次关注-研报-股票频道-证券之星 — https://stock.stockstar.com/report/data_fn_isswqwxvxxrxqqpypvrpr.html?utm_source=openai</w:t>
      </w:r>
    </w:p>
    <w:p>
      <w:pPr>
        <w:spacing w:after="200"/>
      </w:pPr>
      <w:r>
        <w:rPr>
          <w:i/>
          <w:iCs/>
          <w:color w:val="595959"/>
          <w:sz w:val="18"/>
          <w:szCs w:val="18"/>
        </w:rPr>
        <w:t xml:space="preserve">「帝欧水华」002798.SZ - 帝欧水华集团股份有限公司 - 深圳证券交易所主板 - A股 - 准上市 — https://www.zhunshangshi.com/stock/002798/?utm_source=openai</w:t>
      </w:r>
    </w:p>
    <w:p>
      <w:pPr>
        <w:spacing w:after="200"/>
      </w:pPr>
      <w:r>
        <w:rPr>
          <w:i/>
          <w:iCs/>
          <w:color w:val="595959"/>
          <w:sz w:val="18"/>
          <w:szCs w:val="18"/>
        </w:rPr>
        <w:t xml:space="preserve">B619
信息披露
Disclosure
2026年4月29日星期三
zqsb@stcn.com ( — https://epaper.stcn.com/att/202604/29/ZQ29B619-HJ_eBook.pdf?utm_source=openai</w:t>
      </w:r>
    </w:p>
    <w:p>
      <w:pPr>
        <w:spacing w:after="200"/>
      </w:pPr>
      <w:r>
        <w:rPr>
          <w:i/>
          <w:iCs/>
          <w:color w:val="595959"/>
          <w:sz w:val="18"/>
          <w:szCs w:val="18"/>
        </w:rPr>
        <w:t xml:space="preserve">帝欧水华集团股份有限公司 关于参加四川辖区2026年投资者网上集体接待日及半年度报告业绩说明会活动的公告_新浪财经_新浪网 — https://finance.sina.com.cn/jjxw/2026-09-08/doc-iniracmk5006016.shtml?utm_source=openai</w:t>
      </w:r>
    </w:p>
    <w:p>
      <w:pPr>
        <w:spacing w:after="200"/>
      </w:pPr>
      <w:r>
        <w:rPr>
          <w:i/>
          <w:iCs/>
          <w:color w:val="595959"/>
          <w:sz w:val="18"/>
          <w:szCs w:val="18"/>
        </w:rPr>
        <w:t xml:space="preserve">证券代码：002798  证券简称：帝欧水华  公告编号：2026-076 — https://static.cninfo.com.cn/finalpage/2026-07-22/1225435721.PDF?utm_source=openai</w:t>
      </w:r>
    </w:p>
    <w:p>
      <w:pPr>
        <w:spacing w:after="200"/>
      </w:pPr>
      <w:r>
        <w:rPr>
          <w:i/>
          <w:iCs/>
          <w:color w:val="595959"/>
          <w:sz w:val="18"/>
          <w:szCs w:val="18"/>
        </w:rPr>
        <w:t xml:space="preserve">证券代码：002798  证券简称：帝欧水华  公告编号：2026-050 — https://static.cninfo.com.cn/finalpage/2026-05-07/1225280705.PDF?utm_source=openai</w:t>
      </w:r>
    </w:p>
    <w:p>
      <w:pPr>
        <w:spacing w:after="200"/>
      </w:pPr>
      <w:r>
        <w:rPr>
          <w:i/>
          <w:iCs/>
          <w:color w:val="595959"/>
          <w:sz w:val="18"/>
          <w:szCs w:val="18"/>
        </w:rPr>
        <w:t xml:space="preserve">证券代码：002798  证券简称：帝欧水华  公告编号：2026-002 — https://disc.static.szse.cn/disc/disk03/finalpage/2026-01-06/21f7d55b-a375-42e0-bd12-c158ed5fb171.PDF?utm_source=openai</w:t>
      </w:r>
    </w:p>
    <w:p>
      <w:pPr>
        <w:spacing w:after="200"/>
      </w:pPr>
      <w:r>
        <w:rPr>
          <w:i/>
          <w:iCs/>
          <w:color w:val="595959"/>
          <w:sz w:val="18"/>
          <w:szCs w:val="18"/>
        </w:rPr>
        <w:t xml:space="preserve">中国证券报 - 帝欧水华集团股份有限公司关于提供担保的进展公告 — https://epaper.cs.com.cn/zgzqb/html/2026-08/21/nw.D110000zgzqb_20260821_6-B003.htm?utm_source=openai</w:t>
      </w:r>
    </w:p>
    <w:p>
      <w:pPr>
        <w:spacing w:after="200"/>
      </w:pPr>
      <w:r>
        <w:rPr>
          <w:i/>
          <w:iCs/>
          <w:color w:val="595959"/>
          <w:sz w:val="18"/>
          <w:szCs w:val="18"/>
        </w:rPr>
        <w:t xml:space="preserve">帝欧水华(002798)_公司公告_帝欧水华：关于对全资孙公司增资的公告新浪财经_新浪网 — https://money.finance.sina.com.cn/corp/view/vCB_AllBulletinDetail.php?id=12433379&amp;stockid=002798&amp;utm_source=openai</w:t>
      </w:r>
    </w:p>
    <w:p>
      <w:pPr>
        <w:spacing w:after="200"/>
      </w:pPr>
      <w:r>
        <w:rPr>
          <w:i/>
          <w:iCs/>
          <w:color w:val="595959"/>
          <w:sz w:val="18"/>
          <w:szCs w:val="18"/>
        </w:rPr>
        <w:t xml:space="preserve">帝欧水华(002798)并购重组_证券之星 — https://stock.quote.stockstar.com/corp/restructure_002798.shtml?utm_source=openai</w:t>
      </w:r>
    </w:p>
    <w:p>
      <w:pPr>
        <w:spacing w:after="200"/>
      </w:pPr>
      <w:r>
        <w:rPr>
          <w:i/>
          <w:iCs/>
          <w:color w:val="595959"/>
          <w:sz w:val="18"/>
          <w:szCs w:val="18"/>
        </w:rPr>
        <w:t xml:space="preserve">证券代码：002798  证券简称：帝欧水华  公告编号：2026-028 — https://disc.static.szse.cn/disc/disk03/finalpage/2026-04-22/95e922e5-5624-4664-bb64-6df0b53de082.PDF?utm_source=openai</w:t>
      </w:r>
    </w:p>
    <w:p>
      <w:pPr>
        <w:spacing w:after="200"/>
      </w:pPr>
      <w:r>
        <w:rPr>
          <w:i/>
          <w:iCs/>
          <w:color w:val="595959"/>
          <w:sz w:val="18"/>
          <w:szCs w:val="18"/>
        </w:rPr>
        <w:t xml:space="preserve">深圳证券交易所-监管动态 — https://www.szse.cn/disclosure/supervision/dynamic/?utm_source=openai</w:t>
      </w:r>
    </w:p>
    <w:p>
      <w:pPr>
        <w:spacing w:after="200"/>
      </w:pPr>
      <w:r>
        <w:rPr>
          <w:i/>
          <w:iCs/>
          <w:color w:val="595959"/>
          <w:sz w:val="18"/>
          <w:szCs w:val="18"/>
        </w:rPr>
        <w:t xml:space="preserve">帝欧水华集团股份有限公司2026年半年度报告全文 — https://static.cninfo.com.cn/finalpage/2026-08-25/1225499873.PDF?utm_source=openai</w:t>
      </w:r>
    </w:p>
    <w:p>
      <w:pPr>
        <w:spacing w:after="200"/>
      </w:pPr>
      <w:r>
        <w:rPr>
          <w:i/>
          <w:iCs/>
          <w:color w:val="595959"/>
          <w:sz w:val="18"/>
          <w:szCs w:val="18"/>
        </w:rPr>
        <w:t xml:space="preserve">帝欧水华(002798.SZ) 股票行情_历史数据_主力资金 - 大波浪数据 — https://www.yyqyx.com/s/002798.SZ</w:t>
      </w:r>
    </w:p>
    <w:p>
      <w:pPr>
        <w:spacing w:after="200"/>
      </w:pPr>
      <w:r>
        <w:rPr>
          <w:i/>
          <w:iCs/>
          <w:color w:val="595959"/>
          <w:sz w:val="18"/>
          <w:szCs w:val="18"/>
        </w:rPr>
        <w:t xml:space="preserve">帝欧水华(002798)个股分析_牛叉诊股_同花顺财经 — https://doctor.10jqka.com.cn/002798/</w:t>
      </w:r>
    </w:p>
    <w:p>
      <w:pPr>
        <w:spacing w:after="200"/>
      </w:pPr>
      <w:r>
        <w:rPr>
          <w:i/>
          <w:iCs/>
          <w:color w:val="595959"/>
          <w:sz w:val="18"/>
          <w:szCs w:val="18"/>
        </w:rPr>
        <w:t xml:space="preserve">本报告由AI基于公开渠道信息自动检索、整理并生成，信息截至 行情及技术指标截至2026年9月11日收盘；52周高低点及阶段涨跌采用前复权口径，日线技术指标采用不复权收盘价计算。部分行情数据来源页面可能存在刷新延迟，实际数据应以深交所或券商终端为准。，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2026-09-13T13:37:26.795Z</dcterms:created>
  <dcterms:modified xsi:type="dcterms:W3CDTF">2026-09-13T13:37:26.795Z</dcterms:modified>
</cp:coreProperties>
</file>

<file path=docProps/custom.xml><?xml version="1.0" encoding="utf-8"?>
<Properties xmlns="http://schemas.openxmlformats.org/officeDocument/2006/custom-properties" xmlns:vt="http://schemas.openxmlformats.org/officeDocument/2006/docPropsVTypes"/>
</file>