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宁波中大力德智能传动股份有限公司（中大力德） (002896)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行业：通用设备制造·智能传动核心零部件</w:t>
      </w:r>
    </w:p>
    <w:p>
      <w:pPr>
        <w:jc w:val="center"/>
      </w:pPr>
      <w:r>
        <w:rPr>
          <w:color w:val="595959"/>
          <w:sz w:val="22"/>
          <w:szCs w:val="22"/>
        </w:rPr>
        <w:t xml:space="preserve">报告日期：2026年9月14日</w:t>
      </w:r>
    </w:p>
    <w:p>
      <w:pPr>
        <w:jc w:val="center"/>
      </w:pPr>
      <w:r>
        <w:rPr>
          <w:color w:val="595959"/>
          <w:sz w:val="20"/>
          <w:szCs w:val="20"/>
        </w:rPr>
        <w:t xml:space="preserve">截至2026年9月11日收盘；技术指标采用大波浪数据日线不复权口径，52周高低点采用前复权口径。大波浪数据、证券时报中财网显示收盘价为62.64元，但Investing页面显示为60.82元或60.18元，存在数据差异；以下优先采用62.64元口径，实际交易前需再次核对。</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大力德2026年上半年呈现“收入增长、利润和现金流下滑”的明显分化：营业收入5.97亿元，同比增长15.61%，但归母净利润仅2778.14万元，同比下降40.09%，扣非归母净利润同比下降48.15%，经营活动现金流净额为-5649.11万元。公司同时计提资产减值准备1170.98万元，其中应收账款、在产品及发出商品相关减值较为突出，短期盈利质量和经营周转承压。</w:t>
      </w:r>
    </w:p>
    <w:p>
      <w:pPr>
        <w:spacing w:after="160" w:line="300"/>
      </w:pPr>
      <w:r>
        <w:rPr>
          <w:sz w:val="22"/>
          <w:szCs w:val="22"/>
        </w:rPr>
        <w:t xml:space="preserve">公司业务覆盖减速电机、精密减速器及驱动器和智能执行单元，2025年三类业务收入占比合计约97.75%，其中智能执行单元收入3.92亿元、减速电机收入3.73亿元、精密减速器收入2.52亿元。产品应用于工业机器人、协作机器人、数控机床、智能物流、新能源设备和3C电子等领域，产品覆盖较广，但公司并非单一精密减速器企业，单一品类的绝对领先地位尚未得到数据确认。</w:t>
      </w:r>
    </w:p>
    <w:p>
      <w:pPr>
        <w:spacing w:after="160" w:line="300"/>
      </w:pPr>
      <w:r>
        <w:rPr>
          <w:sz w:val="22"/>
          <w:szCs w:val="22"/>
        </w:rPr>
        <w:t xml:space="preserve">2025年公司营业收入10.41亿元，同比增长6.61%，归母净利润6270.60万元，同比下降13.57%，综合毛利率为26.10%；其中精密减速器毛利率为21.44%，同比下降1.82个百分点。收入结构中境外收入同比增长35.02%，但占比仅8.97%；经销收入占比升至48.42%，高于直销收入占比，且经销毛利率低于直销，渠道结构变化可能对盈利能力形成压力。</w:t>
      </w:r>
    </w:p>
    <w:p>
      <w:pPr>
        <w:spacing w:after="160" w:line="300"/>
      </w:pPr>
      <w:r>
        <w:rPr>
          <w:sz w:val="22"/>
          <w:szCs w:val="22"/>
        </w:rPr>
        <w:t xml:space="preserve">截至2026年9月11日，公司股价为62.64元，较52周高点109.17元低约42.6%，但技术指标仍处于弱势震荡状态，股价低于MA10和MA20，MACD位于零轴下方，近10个交易日主力资金合计净流出约1.08亿元。按2026年6月末净资产计算，市净率约10.3倍；按TTM口径计算，市盈率约279倍，当前估值对未来利润增长、机器人相关业务放量及毛利率修复的依赖较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002896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中大力德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2026年9月14日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核心财务与经营数据截至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通用设备制造业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国民经济行业分类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C34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机械传动与控制领域关键零部件的研发、制造、销售和服务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10.41亿元，同比增长6.61%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2025年境内收入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9.48亿元，占91.03%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9,334.09万元，占8.97%，同比增长35.02%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2025年销售模式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直销收入5.37亿元，占51.58%；经销收入5.04亿元，占48.42%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2025年生产与销售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通用设备制造业生产量369.34万台，销售量365.97万台，期末库存量42.01万台</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电机及减速电机：2025年收入3.73亿元，占营业收入35.88%，同比增长8.14%，毛利率31.22%；产品包括微型及小型交流减速电机、微型有刷直流减速电机、准双曲面减速电机、永磁同步减速电机等。</w:t>
      </w:r>
    </w:p>
    <w:p>
      <w:pPr>
        <w:pStyle w:val="ListParagraph"/>
        <w:numPr>
          <w:ilvl w:val="0"/>
          <w:numId w:val="2"/>
        </w:numPr>
        <w:spacing w:after="80" w:line="280"/>
      </w:pPr>
      <w:r>
        <w:rPr>
          <w:sz w:val="22"/>
          <w:szCs w:val="22"/>
        </w:rPr>
        <w:t xml:space="preserve">精密减速器：2025年收入2.52亿元，占营业收入24.24%，同比增长4.04%，毛利率21.44%；产品包括行星减速器、RV减速器、谐波减速器等。</w:t>
      </w:r>
    </w:p>
    <w:p>
      <w:pPr>
        <w:pStyle w:val="ListParagraph"/>
        <w:numPr>
          <w:ilvl w:val="0"/>
          <w:numId w:val="2"/>
        </w:numPr>
        <w:spacing w:after="80" w:line="280"/>
      </w:pPr>
      <w:r>
        <w:rPr>
          <w:sz w:val="22"/>
          <w:szCs w:val="22"/>
        </w:rPr>
        <w:t xml:space="preserve">驱动器及智能执行单元：2025年智能执行单元收入3.92亿元，占营业收入37.63%，同比增长5.80%，毛利率25.08%；公司将减速器、电机和驱动器集成，形成一体化及模组化产品。</w:t>
      </w:r>
    </w:p>
    <w:p>
      <w:pPr>
        <w:pStyle w:val="ListParagraph"/>
        <w:numPr>
          <w:ilvl w:val="0"/>
          <w:numId w:val="2"/>
        </w:numPr>
        <w:spacing w:after="80" w:line="280"/>
      </w:pPr>
      <w:r>
        <w:rPr>
          <w:sz w:val="22"/>
          <w:szCs w:val="22"/>
        </w:rPr>
        <w:t xml:space="preserve">配件：2025年收入755.68万元，占营业收入0.73%，毛利率14.43%。</w:t>
      </w:r>
    </w:p>
    <w:p>
      <w:pPr>
        <w:pStyle w:val="ListParagraph"/>
        <w:numPr>
          <w:ilvl w:val="0"/>
          <w:numId w:val="2"/>
        </w:numPr>
        <w:spacing w:after="80" w:line="280"/>
      </w:pPr>
      <w:r>
        <w:rPr>
          <w:sz w:val="22"/>
          <w:szCs w:val="22"/>
        </w:rPr>
        <w:t xml:space="preserve">其他业务：2025年收入1,581.33万元，占营业收入1.52%，毛利率10.43%。</w:t>
      </w:r>
    </w:p>
    <w:p>
      <w:pPr>
        <w:pStyle w:val="ListParagraph"/>
        <w:numPr>
          <w:ilvl w:val="0"/>
          <w:numId w:val="2"/>
        </w:numPr>
        <w:spacing w:after="80" w:line="280"/>
      </w:pPr>
      <w:r>
        <w:rPr>
          <w:sz w:val="22"/>
          <w:szCs w:val="22"/>
        </w:rPr>
        <w:t xml:space="preserve">主要应用于工业机器人及协作机器人、数控机床、智能物流及仓储设备、新能源设备、3C电子设备，以及印刷、雕刻、包装、纺织、食品机械、医疗、制药、环保和教学设备等。</w:t>
      </w:r>
    </w:p>
    <w:p>
      <w:pPr>
        <w:pStyle w:val="ListParagraph"/>
        <w:numPr>
          <w:ilvl w:val="0"/>
          <w:numId w:val="2"/>
        </w:numPr>
        <w:spacing w:after="80" w:line="280"/>
      </w:pPr>
      <w:r>
        <w:rPr>
          <w:sz w:val="22"/>
          <w:szCs w:val="22"/>
        </w:rPr>
        <w:t xml:space="preserve">公司产品型号接近千种；收入基础为减速电机、通用传动部件和智能执行单元，同时向高精度减速器和机器人模组延伸。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大力德位于智能制造产业链中游，是精密机械加工与机电一体化核心零部件供应商。公司上游采购金属材料、齿轮及电机零部件并进行精密加工和装配，下游面向机器人、智能物流、机床、新能源设备等装备制造商。</w:t>
      </w:r>
    </w:p>
    <w:p>
      <w:pPr>
        <w:pStyle w:val="ListParagraph"/>
        <w:numPr>
          <w:ilvl w:val="0"/>
          <w:numId w:val="2"/>
        </w:numPr>
        <w:spacing w:after="80" w:line="280"/>
      </w:pPr>
      <w:r>
        <w:rPr>
          <w:sz w:val="22"/>
          <w:szCs w:val="22"/>
        </w:rPr>
        <w:t xml:space="preserve">主要采购及构成包括齿轮、齿轴、轴承、箱体、箱盖，以及漆包线、硅钢片、定子、转子、机壳、端盖等；相关材料主要由钢材、铜、铝等金属加工而成。</w:t>
      </w:r>
    </w:p>
    <w:p>
      <w:pPr>
        <w:pStyle w:val="ListParagraph"/>
        <w:numPr>
          <w:ilvl w:val="0"/>
          <w:numId w:val="2"/>
        </w:numPr>
        <w:spacing w:after="80" w:line="280"/>
      </w:pPr>
      <w:r>
        <w:rPr>
          <w:sz w:val="22"/>
          <w:szCs w:val="22"/>
        </w:rPr>
        <w:t xml:space="preserve">2025年营业成本中，直接材料4.79亿元，占63.43%；直接人工9,110.30万元，占12.07%；制造费用1.85亿元，占24.51%。直接材料占比低于2024年的66.32%，制造费用占比高于2024年的22.20%。</w:t>
      </w:r>
    </w:p>
    <w:p>
      <w:pPr>
        <w:pStyle w:val="ListParagraph"/>
        <w:numPr>
          <w:ilvl w:val="0"/>
          <w:numId w:val="2"/>
        </w:numPr>
        <w:spacing w:after="80" w:line="280"/>
      </w:pPr>
      <w:r>
        <w:rPr>
          <w:sz w:val="22"/>
          <w:szCs w:val="22"/>
        </w:rPr>
        <w:t xml:space="preserve">公司投资者问答披露，减速器直接材料成本约占减速器成本70%左右；该数据来自2021年投资者问答，并非2025年年报，当前实际比例可能受产品结构、材料价格和自动化程度变化影响，仅作方向性参考。</w:t>
      </w:r>
    </w:p>
    <w:p>
      <w:pPr>
        <w:pStyle w:val="ListParagraph"/>
        <w:numPr>
          <w:ilvl w:val="0"/>
          <w:numId w:val="2"/>
        </w:numPr>
        <w:spacing w:after="80" w:line="280"/>
      </w:pPr>
      <w:r>
        <w:rPr>
          <w:sz w:val="22"/>
          <w:szCs w:val="22"/>
        </w:rPr>
        <w:t xml:space="preserve">2025年前五大供应商采购金额1.17亿元，占年度采购总额21.07%；第一大供应商占5.34%，前五大供应商中无关联方。供应商集中度整体不高，单一供应商依赖度较低。</w:t>
      </w:r>
    </w:p>
    <w:p>
      <w:pPr>
        <w:pStyle w:val="ListParagraph"/>
        <w:numPr>
          <w:ilvl w:val="0"/>
          <w:numId w:val="2"/>
        </w:numPr>
        <w:spacing w:after="80" w:line="280"/>
      </w:pPr>
      <w:r>
        <w:rPr>
          <w:sz w:val="22"/>
          <w:szCs w:val="22"/>
        </w:rPr>
        <w:t xml:space="preserve">2025年度ESG报告披露合作供应商合计1,052家，其中浙江供应商496家，供应商本地化占比47.15%，本地化采购占比73.59%；但未披露钢材、铜材、轴承、漆包线等具体品类的供应商集中度。</w:t>
      </w:r>
    </w:p>
    <w:p>
      <w:pPr>
        <w:pStyle w:val="ListParagraph"/>
        <w:numPr>
          <w:ilvl w:val="0"/>
          <w:numId w:val="2"/>
        </w:numPr>
        <w:spacing w:after="80" w:line="280"/>
      </w:pPr>
      <w:r>
        <w:rPr>
          <w:sz w:val="22"/>
          <w:szCs w:val="22"/>
        </w:rPr>
        <w:t xml:space="preserve">公司对钢材、铜、铝等大宗金属材料总体属于价格接受者，原材料价格上涨通常会压缩毛利率；公司可通过采购规模、供应商切换、工艺改进和产品调价部分对冲，但对上游大宗材料的定价权有限。</w:t>
      </w:r>
    </w:p>
    <w:p>
      <w:pPr>
        <w:pStyle w:val="ListParagraph"/>
        <w:numPr>
          <w:ilvl w:val="0"/>
          <w:numId w:val="2"/>
        </w:numPr>
        <w:spacing w:after="80" w:line="280"/>
      </w:pPr>
      <w:r>
        <w:rPr>
          <w:sz w:val="22"/>
          <w:szCs w:val="22"/>
        </w:rPr>
        <w:t xml:space="preserve">下游客户主要为机器人、智能物流、机床、新能源设备、3C电子、医疗设备、包装和食品机械等设备制造商，收入来源较为分散，不依赖单一行业。</w:t>
      </w:r>
    </w:p>
    <w:p>
      <w:pPr>
        <w:pStyle w:val="ListParagraph"/>
        <w:numPr>
          <w:ilvl w:val="0"/>
          <w:numId w:val="2"/>
        </w:numPr>
        <w:spacing w:after="80" w:line="280"/>
      </w:pPr>
      <w:r>
        <w:rPr>
          <w:sz w:val="22"/>
          <w:szCs w:val="22"/>
        </w:rPr>
        <w:t xml:space="preserve">2025年前五大客户销售金额2.02亿元，占年度销售总额19.36%；第一大客户占8.59%，前五大客户中无关联方。该集中度数据为2025年度年报口径；年报未披露前五大客户具体名称，无法进一步确认其对应的终端行业，具体以最新年报为准。</w:t>
      </w:r>
    </w:p>
    <w:p>
      <w:pPr>
        <w:pStyle w:val="ListParagraph"/>
        <w:numPr>
          <w:ilvl w:val="0"/>
          <w:numId w:val="2"/>
        </w:numPr>
        <w:spacing w:after="80" w:line="280"/>
      </w:pPr>
      <w:r>
        <w:rPr>
          <w:sz w:val="22"/>
          <w:szCs w:val="22"/>
        </w:rPr>
        <w:t xml:space="preserve">年报列示了诺力股份、杭叉集团、宇环数控、弘亚数控、亚威股份、京山轻机、格力博、鱼跃医疗、东富龙、楚天科技、海康威视、上海快仓、Maersk集团、三一国际、智元机器人、傅利叶等终端客户，但未披露具体产品、订单规模及合作深度，不能据此推断公司已成为相关客户的核心供应商或形成大规模供货。</w:t>
      </w:r>
    </w:p>
    <w:p>
      <w:pPr>
        <w:pStyle w:val="ListParagraph"/>
        <w:numPr>
          <w:ilvl w:val="0"/>
          <w:numId w:val="2"/>
        </w:numPr>
        <w:spacing w:after="80" w:line="280"/>
      </w:pPr>
      <w:r>
        <w:rPr>
          <w:sz w:val="22"/>
          <w:szCs w:val="22"/>
        </w:rPr>
        <w:t xml:space="preserve">客户通常关注传动精度、噪声、使用寿命、交付稳定性、批量一致性、产品定制和售后服务；设备厂商通常具有较强的成本控制和供应商认证能力。</w:t>
      </w:r>
    </w:p>
    <w:p>
      <w:pPr>
        <w:pStyle w:val="ListParagraph"/>
        <w:numPr>
          <w:ilvl w:val="0"/>
          <w:numId w:val="2"/>
        </w:numPr>
        <w:spacing w:after="80" w:line="280"/>
      </w:pPr>
      <w:r>
        <w:rPr>
          <w:sz w:val="22"/>
          <w:szCs w:val="22"/>
        </w:rPr>
        <w:t xml:space="preserve">公司采用直销与经销相结合的销售模式。2025年直销毛利率29.81%，经销毛利率22.15%；经销收入占比由2024年的40.50%升至2025年的48.42%，渠道让利压力可能对综合利润率形成影响。</w:t>
      </w:r>
    </w:p>
    <w:p>
      <w:pPr>
        <w:pStyle w:val="ListParagraph"/>
        <w:numPr>
          <w:ilvl w:val="0"/>
          <w:numId w:val="2"/>
        </w:numPr>
        <w:spacing w:after="80" w:line="280"/>
      </w:pPr>
      <w:r>
        <w:rPr>
          <w:sz w:val="22"/>
          <w:szCs w:val="22"/>
        </w:rPr>
        <w:t xml:space="preserve">通用减速电机和中低端传动部件竞争较充分，存在同质化和价格竞争；RV减速器、谐波减速器等精密减速器技术壁垒更高，竞争重点包括齿形设计、材料处理、加工精度、装配工艺、检测能力、寿命和批量一致性。</w:t>
      </w:r>
    </w:p>
    <w:p>
      <w:pPr>
        <w:pStyle w:val="ListParagraph"/>
        <w:numPr>
          <w:ilvl w:val="0"/>
          <w:numId w:val="2"/>
        </w:numPr>
        <w:spacing w:after="80" w:line="280"/>
      </w:pPr>
      <w:r>
        <w:rPr>
          <w:sz w:val="22"/>
          <w:szCs w:val="22"/>
        </w:rPr>
        <w:t xml:space="preserve">截至2025年12月31日，应收账款1.25亿元，占营业收入约11.99%；存货3.17亿元，占约30.50%；应付账款2.67亿元，占约25.66%；预付款项737.28万元，占比较低。基于2024年末和2025年末平均余额的粗略估算，应收账款周转天数约39.6天、存货周转天数约136.1天、应付账款周转天数约105.9天。上述周转天数并非公司正式披露的平均余额口径，且未考虑应收票据、应收款项融资、存货分类及采购付款时点。2025年收入增长6.61%，但存货同比约增长24%、应收账款同比约增长23.6%，应付账款同比约增长49%；存货增长明显快于收入，可能反映产能扩张、备货增加或部分产品消化速度偏慢。</w:t>
      </w:r>
    </w:p>
    <w:p>
      <w:pPr>
        <w:pStyle w:val="ListParagraph"/>
        <w:numPr>
          <w:ilvl w:val="0"/>
          <w:numId w:val="2"/>
        </w:numPr>
        <w:spacing w:after="80" w:line="280"/>
      </w:pPr>
      <w:r>
        <w:rPr>
          <w:sz w:val="22"/>
          <w:szCs w:val="22"/>
        </w:rPr>
        <w:t xml:space="preserve">上游方面，2025年前五大供应商占采购总额21.07%，第一大供应商占5.34%；下游方面，2025年前五大客户占销售总额19.36%，第一大客户占8.59%。两端集中度均不高，但客户前五名具体名称未披露，且供应商具体品类集中度未披露；上述数据均为2025年度口径，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公司处于减速电机和通用传动产品扩张阶段，产品结构和规模效应相对较好；原因分析为研究判断。</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原材料、人工及制造成本压力上升，同时通用设备行业竞争加剧、产品价格承压；原因分析为研究判断。</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22.88%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行业供需竞争和产品价格下降压力延续，综合毛利率进一步下滑；原因分析为研究判断。</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25.90%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精密减速器及智能执行单元收入恢复增长，产品结构改善，同时材料成本压力有所缓解；原因分析为研究判断。</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减速电机毛利率提升至31.22%，境外收入毛利率达到47.29%，对综合毛利率形成支撑；但精密减速器毛利率为21.44%，同比下降1.82个百分点，产品结构改善尚未完全转化为稳定的利润率优势；原因分析为研究判断。</w:t>
            </w:r>
          </w:p>
        </w:tc>
      </w:tr>
    </w:tbl>
    <w:p>
      <w:pPr>
        <w:spacing w:before="200"/>
      </w:pPr>
    </w:p>
    <w:p>
      <w:pPr>
        <w:spacing w:after="160" w:line="300"/>
      </w:pPr>
      <w:r>
        <w:rPr>
          <w:sz w:val="22"/>
          <w:szCs w:val="22"/>
        </w:rPr>
        <w:t xml:space="preserve">公司处于智能制造产业链中游，属于精密机械加工与机电一体化核心零部件供应商，整体不是上游资源型或下游品牌型高毛利公司。上游受钢材、铜、铝等材料价格影响，缺乏大宗原材料定价权；下游客户较分散但具有较强成本控制和供应商认证能力。后续利润率改善主要取决于大型RV减速器、谐波减速器、智能执行单元和机器人组件等高附加值产品占比提升、材料成本控制、库存周转改善及产能利用率提升，而非单纯扩大通用减速电机销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5.9655亿元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同比增长15.61%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2778.14万元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同比下降40.09%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5.1602亿元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4637.15万元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同比数据未披露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10.4089亿元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同比增长6.61%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6270.60万元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同比下降13.57%</w:t>
            </w:r>
          </w:p>
        </w:tc>
      </w:tr>
    </w:tbl>
    <w:p>
      <w:pPr>
        <w:spacing w:after="200"/>
      </w:pPr>
      <w:r>
        <w:rPr>
          <w:i/>
          <w:iCs/>
          <w:color w:val="595959"/>
          <w:sz w:val="18"/>
          <w:szCs w:val="18"/>
        </w:rPr>
        <w:t xml:space="preserve">2026年上半年扣非归母净利润为1951.02万元，同比下降48.15%；2025年上半年为3762.81万元。2026年上半年基本每股收益、稀释每股收益均为0.14元，同比下降41.67%，加权平均净资产收益率为2.30%，较上年同期下降1.59个百分点。2026年上半年经营活动产生的现金流量净额为-5649.11万元，2025年同期为896.60万元；截至2026年6月30日，总资产为19.9107亿元，较2025年末增长7.44%，归属于上市公司股东的净资产为11.9510亿元，较2025年末下降0.56%。2025年度扣非归母净利润为4647.56万元，同比下降20.27%；基本每股收益为0.32元，同比下降13.51%，加权平均净资产收益率为5.29%。</w:t>
      </w:r>
    </w:p>
    <w:p>
      <w:pPr>
        <w:spacing w:after="160" w:line="300"/>
      </w:pPr>
      <w:r>
        <w:rPr>
          <w:sz w:val="22"/>
          <w:szCs w:val="22"/>
        </w:rPr>
        <w:t xml:space="preserve">公司近期呈现收入增长但利润下滑的特征，2026年上半年利润降幅明显高于收入增速，反映盈利能力承压。西南证券披露，2026年上半年综合毛利率约23.28%，同比下降约4.5个百分点，精密减速器和智能执行单元毛利率下滑对利润形成拖累。2025年智能执行单元、减速电机和精密减速器收入分别为3.9167亿元、3.7349亿元和2.5236亿元；境外收入为9334.09万元，同比增长35.02%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同花顺F10截至2026年9月11日汇总的近六个月内5家机构预测，属于卖方机构预测，不是公司公告数据。2026年各机构营业收入预测为11.64亿至13.01亿元，归母净利润预测为6400万元至1.12亿元，EPS预测为0.33元至0.57元；2027年营业收入预测为12.81亿至16.24亿元，归母净利润预测为8200万元至1.34亿元，EPS预测为0.42元至0.68元；2028年营业收入预测为13.99亿至19.49亿元，归母净利润预测为9400万元至1.68亿元，EPS预测为0.48元至0.86元。样本仅包括5家机构，不等同于全市场完整一致预期；部分年度平均值与各机构简单算术平均可能存在口径或四舍五入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约0.85亿元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较2025年实际归母净利润增长约35.49%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约0.44元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约14.01亿元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预计继续增长，具体同比增速未披露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约16.10亿元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约1.21亿元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预计继续增长，具体同比增速未披露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约0.62元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预测2026年至2028年EPS分别为0.33元、0.45元和0.51元；未披露明确目标价。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认为公司收入保持增长，但行业竞争加剧导致毛利率承压、短期利润下滑；公开可检索摘要未显示明确目标价。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谨慎增持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2026年2月23日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2025年至2027年归母净利润分别为0.76亿元、1.03亿元和1.22亿元，EPS分别为0.38元、0.53元和0.62元；给予2026年170倍PE，对应合理价格89.29元。该报告发布于2026年半年报之前，且2025年利润预测高于最终披露数据，目标价和预测存在一定时效性折扣。</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证券之星汇总机构信息</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1家买入、1家增持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近90天，截至研究纪要披露时</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汇总显示机构目标均价为84.86元，但具体机构构成及对应报告未充分核验，不能视为完全可靠的最新一致目标价。</w:t>
            </w:r>
          </w:p>
        </w:tc>
      </w:tr>
    </w:tbl>
    <w:p>
      <w:pPr>
        <w:spacing w:before="200"/>
      </w:pPr>
    </w:p>
    <w:p>
      <w:pPr>
        <w:spacing w:after="160" w:line="300"/>
      </w:pPr>
      <w:r>
        <w:rPr>
          <w:sz w:val="22"/>
          <w:szCs w:val="22"/>
        </w:rPr>
        <w:t xml:space="preserve">截至2026年9月11日收盘，公司股价为62.64元，总股本约1.965亿股，总市值约123.1亿元。按2025年归母净利润6270.60万元计算，静态PE约196倍；按2025年末归母净资产12.018亿元计算，PB约10.2倍。按TTM归母净利润约4411万元计算，TTM PE约279倍；按2026年6月末归母净资产11.951亿元计算，PB约10.3倍。理杏仁披露的PE-TTM约273.16倍、PB约10.08倍，同花顺页面显示动态PE约221.56倍，不同口径存在差异。按一致预期EPS计算，2026E、2027E和2028E PE分别约142倍、120倍和101倍；按机构预测区间计算，三年远期PE区间分别约为110至190倍、92至149倍和73至131倍。公司当前估值处于较高水平，估值合理性高度依赖未来利润增长、机器人相关业务放量及核心产品毛利率修复。2026年上半年利润下滑、毛利率下降和经营现金流转负，与当前高估值之间存在明显矛盾，后续需重点跟踪毛利率、扣非归母净利润、经营现金流和应收账款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截至2026年9月14日的公告概况</w:t>
      </w:r>
    </w:p>
    <w:p>
      <w:pPr>
        <w:spacing w:after="160" w:line="300"/>
      </w:pPr>
      <w:r>
        <w:rPr>
          <w:sz w:val="22"/>
          <w:szCs w:val="22"/>
        </w:rPr>
        <w:t xml:space="preserve">002896对应宁波中大力德智能传动股份有限公司，简称“中大力德”，在深圳证券交易所上市，主营精密减速器、减速电机及相关传动控制产品。近期重要公告主要集中于2026年8月26日，包括2026年半年度报告、半年度报告摘要、计提资产减值准备公告、董事会决议及资金往来情况公告。2026年9月暂未检索到新的公司重大公告。</w:t>
      </w:r>
    </w:p>
    <w:p>
      <w:pPr>
        <w:pStyle w:val="Heading2"/>
        <w:spacing w:after="120" w:before="240"/>
      </w:pPr>
      <w:r>
        <w:rPr>
          <w:b/>
          <w:bCs/>
          <w:color w:val="2E74B5"/>
          <w:sz w:val="24"/>
          <w:szCs w:val="24"/>
        </w:rPr>
        <w:t xml:space="preserve">4.2 2026年半年度业绩：收入增长，利润和经营现金流下滑</w:t>
      </w:r>
    </w:p>
    <w:p>
      <w:pPr>
        <w:spacing w:after="160" w:line="300"/>
      </w:pPr>
      <w:r>
        <w:rPr>
          <w:sz w:val="22"/>
          <w:szCs w:val="22"/>
        </w:rPr>
        <w:t xml:space="preserve">公司于2026年8月26日披露2026年半年度报告。2026年上半年实现营业收入5.9655亿元，同比增长15.61%；归属于上市公司股东的净利润2778.14万元，同比下降40.09%；扣除非经常性损益后的归母净利润1951.02万元，同比下降48.15%；经营活动产生的现金流量净额为-5649.11万元，上年同期为896.60万元；基本每股收益0.14元，同比下降41.67%。整体表现为收入增长，但利润及经营现金流明显下滑。</w:t>
      </w:r>
    </w:p>
    <w:p>
      <w:pPr>
        <w:pStyle w:val="Heading2"/>
        <w:spacing w:after="120" w:before="240"/>
      </w:pPr>
      <w:r>
        <w:rPr>
          <w:b/>
          <w:bCs/>
          <w:color w:val="2E74B5"/>
          <w:sz w:val="24"/>
          <w:szCs w:val="24"/>
        </w:rPr>
        <w:t xml:space="preserve">4.3 半年度利润分配安排</w:t>
      </w:r>
    </w:p>
    <w:p>
      <w:pPr>
        <w:spacing w:after="160" w:line="300"/>
      </w:pPr>
      <w:r>
        <w:rPr>
          <w:sz w:val="22"/>
          <w:szCs w:val="22"/>
        </w:rPr>
        <w:t xml:space="preserve">公司公告称，2026年半年度不派发现金红利、不送红股、不以公积金转增股本。该安排属于报告期利润分配安排，不等同于取消年度分红。公司此前已实施2025年度每10股派发现金股利1.20元的年度分红方案。</w:t>
      </w:r>
    </w:p>
    <w:p>
      <w:pPr>
        <w:pStyle w:val="Heading2"/>
        <w:spacing w:after="120" w:before="240"/>
      </w:pPr>
      <w:r>
        <w:rPr>
          <w:b/>
          <w:bCs/>
          <w:color w:val="2E74B5"/>
          <w:sz w:val="24"/>
          <w:szCs w:val="24"/>
        </w:rPr>
        <w:t xml:space="preserve">4.4 暂未检索到2026年三季度业绩预告</w:t>
      </w:r>
    </w:p>
    <w:p>
      <w:pPr>
        <w:spacing w:after="160" w:line="300"/>
      </w:pPr>
      <w:r>
        <w:rPr>
          <w:sz w:val="22"/>
          <w:szCs w:val="22"/>
        </w:rPr>
        <w:t xml:space="preserve">截至2026年9月14日，在本次检索范围内，未发现公司发布2026年三季度业绩预告、业绩快报或业绩预增、预减公告。三季度报告及相关预告可能在后续法定披露窗口发布，当前不能据此推断全年业绩趋势。</w:t>
      </w:r>
    </w:p>
    <w:p>
      <w:pPr>
        <w:pStyle w:val="Heading2"/>
        <w:spacing w:after="120" w:before="240"/>
      </w:pPr>
      <w:r>
        <w:rPr>
          <w:b/>
          <w:bCs/>
          <w:color w:val="2E74B5"/>
          <w:sz w:val="24"/>
          <w:szCs w:val="24"/>
        </w:rPr>
        <w:t xml:space="preserve">4.5 计提资产减值准备1170.98万元</w:t>
      </w:r>
    </w:p>
    <w:p>
      <w:pPr>
        <w:spacing w:after="160" w:line="300"/>
      </w:pPr>
      <w:r>
        <w:rPr>
          <w:sz w:val="22"/>
          <w:szCs w:val="22"/>
        </w:rPr>
        <w:t xml:space="preserve">公司于2026年8月26日披露，2026年上半年计提各项资产减值准备合计1170.98万元，其中资产减值准备655.83万元、信用减值损失515.15万元。具体包括在产品减值427.04万元、发出商品减值202.20万元、应收账款坏账损失508.91万元等。考虑所得税及少数股东损益影响后，将减少2026年上半年归属于母公司所有者的净利润956.21万元，约占公司2025年度经审计净利润绝对值的18.75%。该计提金额不等同于当期现金流出，但应收账款、在产品及发出商品相关减值反映出回款、库存或部分产品盈利能力存在一定压力。</w:t>
      </w:r>
    </w:p>
    <w:p>
      <w:pPr>
        <w:pStyle w:val="Heading2"/>
        <w:spacing w:after="120" w:before="240"/>
      </w:pPr>
      <w:r>
        <w:rPr>
          <w:b/>
          <w:bCs/>
          <w:color w:val="2E74B5"/>
          <w:sz w:val="24"/>
          <w:szCs w:val="24"/>
        </w:rPr>
        <w:t xml:space="preserve">4.6 股票交易异常波动及估值风险提示</w:t>
      </w:r>
    </w:p>
    <w:p>
      <w:pPr>
        <w:spacing w:after="160" w:line="300"/>
      </w:pPr>
      <w:r>
        <w:rPr>
          <w:sz w:val="22"/>
          <w:szCs w:val="22"/>
        </w:rPr>
        <w:t xml:space="preserve">公司于2026年8月5日披露股票交易异常波动公告。公司股票在2026年7月31日、8月3日、8月4日连续三个交易日收盘价格涨幅偏离值累计超过20%。截至2026年8月4日，公司股价收盘价为76.11元/股，公告披露的静态市盈率为238.51倍、市净率为12.41倍；同期通用设备制造业静态市盈率为36.87倍、市净率为3.09倍。公司提示估值指标显著高于行业水平，股票可能存在非理性炒作，交易风险较大。公司表示生产经营正常，内外部经营环境未发生重大变化，不存在应披露而未披露的重大事项或处于筹划阶段的重大事项，控股股东及实际控制人在异常波动期间未买卖公司股票。</w:t>
      </w:r>
    </w:p>
    <w:p>
      <w:pPr>
        <w:pStyle w:val="Heading2"/>
        <w:spacing w:after="120" w:before="240"/>
      </w:pPr>
      <w:r>
        <w:rPr>
          <w:b/>
          <w:bCs/>
          <w:color w:val="2E74B5"/>
          <w:sz w:val="24"/>
          <w:szCs w:val="24"/>
        </w:rPr>
        <w:t xml:space="preserve">4.7 控股股东及一致行动人减持计划提前结束</w:t>
      </w:r>
    </w:p>
    <w:p>
      <w:pPr>
        <w:spacing w:after="160" w:line="300"/>
      </w:pPr>
      <w:r>
        <w:rPr>
          <w:sz w:val="22"/>
          <w:szCs w:val="22"/>
        </w:rPr>
        <w:t xml:space="preserve">公司于2026年7月16日披露控股股东及一致行动人减持计划提前结束暨减持结果公告。原计划拟于2026年6月1日至8月31日期间减持不超过589万股，即不超过公司总股本的3%。相关股东于2026年6月1日至6月18日期间累计减持580.4019万股，占公司总股本2.95%，随后提前结束减持计划，剩余未减持股份在计划期限内不再继续减持。宁波中大力德投资有限公司通过大宗交易减持188.4019万股、集中竞价减持52.70万股；中大（香港）投资有限公司通过大宗交易减持196万股、集中竞价减持50万股；慈溪德立投资管理合伙企业集中竞价减持56.20万股；慈溪德正投资管理合伙企业集中竞价减持37.10万股。</w:t>
      </w:r>
    </w:p>
    <w:p>
      <w:pPr>
        <w:pStyle w:val="Heading2"/>
        <w:spacing w:after="120" w:before="240"/>
      </w:pPr>
      <w:r>
        <w:rPr>
          <w:b/>
          <w:bCs/>
          <w:color w:val="2E74B5"/>
          <w:sz w:val="24"/>
          <w:szCs w:val="24"/>
        </w:rPr>
        <w:t xml:space="preserve">4.8 减持后持股及控制权情况</w:t>
      </w:r>
    </w:p>
    <w:p>
      <w:pPr>
        <w:spacing w:after="160" w:line="300"/>
      </w:pPr>
      <w:r>
        <w:rPr>
          <w:sz w:val="22"/>
          <w:szCs w:val="22"/>
        </w:rPr>
        <w:t xml:space="preserve">减持后，宁波中大力德投资有限公司持股比例由23.50%降至22.27%，中大（香港）投资有限公司持股比例由21.85%降至20.60%。2026年半年度报告披露时，两者仍为公司前两大股东，实际控制人未发生变更。公司公告明确表示，本次减持计划提前结束不会导致公司控制权发生变化，也不会对持续经营产生重大影响。</w:t>
      </w:r>
    </w:p>
    <w:p>
      <w:pPr>
        <w:pStyle w:val="Heading2"/>
        <w:spacing w:after="120" w:before="240"/>
      </w:pPr>
      <w:r>
        <w:rPr>
          <w:b/>
          <w:bCs/>
          <w:color w:val="2E74B5"/>
          <w:sz w:val="24"/>
          <w:szCs w:val="24"/>
        </w:rPr>
        <w:t xml:space="preserve">4.9 收购韩国PM公司39%股权</w:t>
      </w:r>
    </w:p>
    <w:p>
      <w:pPr>
        <w:spacing w:after="160" w:line="300"/>
      </w:pPr>
      <w:r>
        <w:rPr>
          <w:sz w:val="22"/>
          <w:szCs w:val="22"/>
        </w:rPr>
        <w:t xml:space="preserve">公司于2026年4月16日披露拟收购韩国株式会社PM公司39%股权，交易标的是韩国世奉系统公司持有的PM公司股权，交易对价为3.9亿韩元，对应PM公司注册资本的39%。交易完成后，世奉系统持股51%、中大力德持股39%、广州信瑞贸易有限公司持股10%。该交易不构成关联交易或重大资产重组，无需提交股东会审议，目的为开拓韩国市场、提升海外市场份额并服务韩国当地客户。截至本次检索日，第三方公告数据库仍将该交易标记为“实施中”，未检索到交割完成、工商变更完成或终止交易公告，暂不能确认项目已经完成并产生经营贡献。</w:t>
      </w:r>
    </w:p>
    <w:p>
      <w:pPr>
        <w:pStyle w:val="Heading2"/>
        <w:spacing w:after="120" w:before="240"/>
      </w:pPr>
      <w:r>
        <w:rPr>
          <w:b/>
          <w:bCs/>
          <w:color w:val="2E74B5"/>
          <w:sz w:val="24"/>
          <w:szCs w:val="24"/>
        </w:rPr>
        <w:t xml:space="preserve">4.10 德国、越南全资子公司布局</w:t>
      </w:r>
    </w:p>
    <w:p>
      <w:pPr>
        <w:spacing w:after="160" w:line="300"/>
      </w:pPr>
      <w:r>
        <w:rPr>
          <w:sz w:val="22"/>
          <w:szCs w:val="22"/>
        </w:rPr>
        <w:t xml:space="preserve">公司拟在德国设立中大欧洲有限公司，投资总额不超过800万元人民币；拟在越南设立中大力德（越南）智能传动有限公司，投资总额同样不超过800万元人民币，资金来源为自有资金，主要用于海外市场拓展、技术支持、产品设计研发及销售等业务。截至2026年9月14日，未检索到上述德国、越南子公司完成注册、投入运营或产生重大订单的进一步公告，实际落地进度存在不确定性。</w:t>
      </w:r>
    </w:p>
    <w:p>
      <w:pPr>
        <w:pStyle w:val="Heading2"/>
        <w:spacing w:after="120" w:before="240"/>
      </w:pPr>
      <w:r>
        <w:rPr>
          <w:b/>
          <w:bCs/>
          <w:color w:val="2E74B5"/>
          <w:sz w:val="24"/>
          <w:szCs w:val="24"/>
        </w:rPr>
        <w:t xml:space="preserve">4.11 近期未发现股份回购及重大监管事项</w:t>
      </w:r>
    </w:p>
    <w:p>
      <w:pPr>
        <w:spacing w:after="160" w:line="300"/>
      </w:pPr>
      <w:r>
        <w:rPr>
          <w:sz w:val="22"/>
          <w:szCs w:val="22"/>
        </w:rPr>
        <w:t xml:space="preserve">截至2026年9月14日，在本次检索范围内，未发现公司发布近期股份回购方案、回购进展公告或回购注销公告。此前年度分红公告中提及回购等因素导致总股本变化时调整分配基数，不代表公司实际实施了回购。同时，未发现公司近期收到深交所纪律处分、证监会行政处罚、监管警示函或重大问询函的公告。公司在2026年8月5日异常波动公告中表示，不存在违反公平信息披露规定的情形，也不存在应披露而未披露的重大事项。</w:t>
      </w:r>
    </w:p>
    <w:p>
      <w:pPr>
        <w:pStyle w:val="Heading2"/>
        <w:spacing w:after="120" w:before="240"/>
      </w:pPr>
      <w:r>
        <w:rPr>
          <w:b/>
          <w:bCs/>
          <w:color w:val="2E74B5"/>
          <w:sz w:val="24"/>
          <w:szCs w:val="24"/>
        </w:rPr>
        <w:t xml:space="preserve">4.12 近期消息面综合判断</w:t>
      </w:r>
    </w:p>
    <w:p>
      <w:pPr>
        <w:spacing w:after="160" w:line="300"/>
      </w:pPr>
      <w:r>
        <w:rPr>
          <w:sz w:val="22"/>
          <w:szCs w:val="22"/>
        </w:rPr>
        <w:t xml:space="preserve">截至2026年9月14日，近期消息面的核心信息包括：2026年上半年收入同比增长15.61%，但归母净利润同比下降40.09%、扣非净利润同比下降48.15%，经营现金流转负；半年度计提资产减值准备1170.98万元；股价异常波动期间公司提示估值显著高于行业水平及非理性炒作风险；控股股东及一致行动人累计减持580.4019万股，占总股本2.95%，但控制权未发生变化；韩国PM公司股权收购及德国、越南子公司布局尚缺少完成交割、正式运营或形成收入利润贡献的后续确认。总体来看，半年度业绩、资产减值、估值风险提示及股东减持属于当前更需关注的现实信息，海外投资短期尚未形成明确业绩贡献。</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62.64元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约5.14%；20日平均振幅约3.71%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约279.04倍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约10.30倍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109.17元，2025年9月18日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58.51元，2026年7月30日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近几个交易日成交额区间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约2.36亿元至4.74亿元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2026年8月17日至9月11日，收盘价由80.00元降至62.64元，区间跌幅约21.38%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经历快速回撤后处于低位震荡阶段；9月11日上涨2.15%，但仍低于20日均线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62.68元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收盘价62.64元基本贴近MA5，低于约0.06%</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63.27元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收盘价低于MA10约1.00%，63.3元附近构成短期压力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66.61元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收盘价低于MA20约5.96%，均线排列仍偏弱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 DIF</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-2.71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低于DEA，处于负值状态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DEA</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DIF低于DEA，尚未形成明确金叉</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MACD柱</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-0.52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位于零轴下方，日线空头动能尚未完全消失；绝对值不算极端，后续存在低位收敛可能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40.9/40.5/43.5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均处于30至70的传统中性区间，尚未进入超卖区，不能仅凭RSI判断见底</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上轨79.02元；中轨66.61元；下轨54.19元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收盘价位于下轨与中轨之间，距离中轨约4元、距离下轨约8.45元，形态更接近下跌后的弱势震荡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62.64元较52周高点109.17元低约42.6%，较52周低点58.51元高约7.1%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股价接近过去一年低位区，但尚未形成明确的中期反转结构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2026年9月11日净流出约815万元；近10个交易日合计净流出约1.08亿元，其中2个交易日净流入、8个交易日净流出，最近6个交易日连续净流出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9月11日股价上涨但主力资金仍净流出，价格反弹与大单资金流向不同步；该口径不等同于真实投资者身份或机构资金完整流向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获利盘比例约15.9%；平均持仓成本约67.80元；中位成本约64.00元；70%筹码区间约62.40元至78.40元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当前股价低于中位成本64.00元，页面估算约84.1%的筹码处于账面亏损状态；该数据由历史成交价和换手推算，并非交易所直接披露的精确持仓成本</w:t>
            </w:r>
          </w:p>
        </w:tc>
      </w:tr>
    </w:tbl>
    <w:p>
      <w:pPr>
        <w:spacing w:before="200"/>
      </w:pPr>
    </w:p>
    <w:p>
      <w:pPr>
        <w:spacing w:after="160" w:line="300"/>
      </w:pPr>
      <w:r>
        <w:rPr>
          <w:sz w:val="22"/>
          <w:szCs w:val="22"/>
        </w:rPr>
        <w:t xml:space="preserve">截至2026年9月11日，中大力德股价经历前期快速回撤后处于低位震荡阶段。62.64元接近MA5，但仍低于MA10和MA20，MACD位于零轴下方且DIF低于DEA，RSI处于中性区间，技术面尚未形成明确反转信号。股价接近52周低点58.51元，但下方仍有进一步测试低位支撑的可能。资金面上，近10个交易日主力资金合计净流出约1.08亿元，9月11日反弹与主力资金净流出同步，暂不足以确认持续性资金回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63.3~66.6元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63.3元附近对应MA10，66.6元附近对应MA20及布林中轨；若放量突破并稳定在66.6元上方，短线结构才可能由弱势反弹转向更强修复；若在该区域受阻，则上方套牢盘压力仍需关注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59.5~62.4元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59.5元对应9月11日盘中低位附近，62.4元接近70%筹码区间下沿；若有效跌破59.5元，可能重新测试2026年7月30日形成的58.51元低点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58.5~59.5元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58.51元为52周低点；若放量跌破58.5元，技术上将打开向更低位置寻找支撑的空间；若出现缩量止跌、长下影或放量反包，才可作为短线止跌信号之一</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震荡整理（主观权重相对较高，约六成左右；该权重是基于当前技术与资金流 setup 的主观判断，不是统计概率）：参考价格区间为59.5~66.0元。触发条件为股价未有效跌破59.5元，同时无法放量突破63.3~66.6元压力区，成交额大致维持在2.5亿~4.5亿元之间，且机器人、减速器及通用设备板块没有持续性强势或明显系统性下跌。对应当前MA5附近、低于MA10和MA20、MACD零轴下方、RSI中性及主力资金近10日净流出的弱势修复背景。</w:t>
      </w:r>
    </w:p>
    <w:p>
      <w:pPr>
        <w:pStyle w:val="ListParagraph"/>
        <w:numPr>
          <w:ilvl w:val="0"/>
          <w:numId w:val="2"/>
        </w:numPr>
        <w:spacing w:after="80" w:line="280"/>
      </w:pPr>
      <w:r>
        <w:rPr>
          <w:sz w:val="22"/>
          <w:szCs w:val="22"/>
        </w:rPr>
        <w:t xml:space="preserve">偏弱下行（主观权重中等；该权重是基于当前技术与资金流 setup 的主观判断，不是统计概率）：参考价格区间为58.5~60.0元；若进一步失守58.5元，不排除向更低区间寻找支撑。触发条件为股价跌破59.5元且单日成交额放大至4.5亿元以上，同时主力资金继续连续净流出，或市场整体及机器人板块同步走弱。若跌破时伴随放量，可能表明卖压并非单纯缩量回调；RSI6尚未超卖，仍存在技术下探空间。</w:t>
      </w:r>
    </w:p>
    <w:p>
      <w:pPr>
        <w:pStyle w:val="ListParagraph"/>
        <w:numPr>
          <w:ilvl w:val="0"/>
          <w:numId w:val="2"/>
        </w:numPr>
        <w:spacing w:after="80" w:line="280"/>
      </w:pPr>
      <w:r>
        <w:rPr>
          <w:sz w:val="22"/>
          <w:szCs w:val="22"/>
        </w:rPr>
        <w:t xml:space="preserve">反弹走强（主观权重偏低至中等；该权重是基于当前技术与资金流 setup 的主观判断，不是统计概率）：参考价格区间为63.3~68.0元。触发条件为股价先重新站上63.3元，再放量突破66.6元，单日成交额达到4.5亿~5亿元以上，且主力资金由连续净流出转为至少连续数日净流入，同时机器人及减速器板块同步走强或出现明确催化消息。若突破66.6元后成交量不能跟上，仍需防范冲高回落，不能将单日上涨直接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2.88%，成交额约3.42亿元，近几个交易日成交额大致为2.36亿~4.74亿元，正常交易下买卖冲击相对可控，但近期快速下跌后若出现放量，价格波动可能显著扩大。根据公司2026年半年度报告，截至2026年6月30日，普通股股东总数为75,885户，较2026年3月31日增加3,725户，前十大股东合计持股约48.48%；第一大股东宁波中大力德投资有限公司持股22.27%，第二大股东中大（香港）投资有限公司持股20.60%，前两大股东合计约42.87%。前十大股东中机器人主题ETF等公募基金合计持股约3.38%，并包括香港中央结算有限公司持股约0.32%；纪要未披露社保或QFII在前十大股东中的持股情况。上述股东数据截至2026年6月30日，距离最新行情约两个半月，结构可能已经发生变化，不能视为2026年9月11日的实时持仓结构。整体上，筹码呈现控股股东及关联投资平台集中、公募基金持仓占比较有限、股东户数增加的特征；实际可交易筹码仍会受到基金调仓、短线资金进出及近期高波动交易影响。</w:t>
      </w:r>
    </w:p>
    <w:p>
      <w:pPr>
        <w:spacing w:after="160" w:line="300"/>
      </w:pPr>
      <w:r>
        <w:rPr>
          <w:sz w:val="22"/>
          <w:szCs w:val="22"/>
        </w:rPr>
        <w:t xml:space="preserve">可复核的量能观察信号：若未来一周单日成交额能够连续放大至4.5亿~5亿元以上，并且股价同时站稳63.3~66.6元区域，可视为短线资金承接明显增强；若成交额持续低于约3亿元，则更接近缩量震荡或弱势修复状态。以上为观察标准，不是买卖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观察股价能否守住59.5~62.4元支撑区；若跌破59.5元并放量，关注58.5元附近的52周低点支撑。</w:t>
      </w:r>
    </w:p>
    <w:p>
      <w:pPr>
        <w:pStyle w:val="ListParagraph"/>
        <w:numPr>
          <w:ilvl w:val="0"/>
          <w:numId w:val="2"/>
        </w:numPr>
        <w:spacing w:after="80" w:line="280"/>
      </w:pPr>
      <w:r>
        <w:rPr>
          <w:sz w:val="22"/>
          <w:szCs w:val="22"/>
        </w:rPr>
        <w:t xml:space="preserve">观察63.3~66.6元压力区能否被放量突破，66.6元上方是短线转强需要重点确认的位置。</w:t>
      </w:r>
    </w:p>
    <w:p>
      <w:pPr>
        <w:pStyle w:val="ListParagraph"/>
        <w:numPr>
          <w:ilvl w:val="0"/>
          <w:numId w:val="2"/>
        </w:numPr>
        <w:spacing w:after="80" w:line="280"/>
      </w:pPr>
      <w:r>
        <w:rPr>
          <w:sz w:val="22"/>
          <w:szCs w:val="22"/>
        </w:rPr>
        <w:t xml:space="preserve">关注主力资金是否结束连续净流出；截至2026年9月11日，近10个交易日仍净流出约1.08亿元，资金面尚未完成确认。</w:t>
      </w:r>
    </w:p>
    <w:p>
      <w:pPr>
        <w:pStyle w:val="ListParagraph"/>
        <w:numPr>
          <w:ilvl w:val="0"/>
          <w:numId w:val="2"/>
        </w:numPr>
        <w:spacing w:after="80" w:line="280"/>
      </w:pPr>
      <w:r>
        <w:rPr>
          <w:sz w:val="22"/>
          <w:szCs w:val="22"/>
        </w:rPr>
        <w:t xml:space="preserve">关注成交额是否连续达到4.5亿~5亿元以上，并与股价站上63.3~66.6元同步出现。以上均为技术和资金数据的观察思路，非操作指令。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大力德处于“通用减速电机+精密减速器+智能执行单元”的交叉赛道。通用减速电机和中低端传动部件竞争较充分，精密减速器技术壁垒较高，工业机器人、数控机床、智能物流、新能源设备和人形机器人构成主要需求方向。国内市场呈现精密减速器国产替代加速、工业机器人需求增长和出口韧性较强等特征，但机械工业仍存在供需结构性矛盾、产品价格下降和行业利润率下滑压力。2025年机械工业产品出厂价格同比下降1.5%，通用设备制造业出厂价格同比下降1.7%。</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通用减速电机和中低端传动部件产品同质化程度较高，价格竞争较为明显。</w:t>
      </w:r>
    </w:p>
    <w:p>
      <w:pPr>
        <w:pStyle w:val="ListParagraph"/>
        <w:numPr>
          <w:ilvl w:val="0"/>
          <w:numId w:val="2"/>
        </w:numPr>
        <w:spacing w:after="80" w:line="280"/>
      </w:pPr>
      <w:r>
        <w:rPr>
          <w:sz w:val="22"/>
          <w:szCs w:val="22"/>
        </w:rPr>
        <w:t xml:space="preserve">RV减速器、谐波减速器等精密减速器的竞争壁垒主要体现在齿形设计、材料处理、加工精度、装配工艺、检测能力、寿命和批量一致性。</w:t>
      </w:r>
    </w:p>
    <w:p>
      <w:pPr>
        <w:pStyle w:val="ListParagraph"/>
        <w:numPr>
          <w:ilvl w:val="0"/>
          <w:numId w:val="2"/>
        </w:numPr>
        <w:spacing w:after="80" w:line="280"/>
      </w:pPr>
      <w:r>
        <w:rPr>
          <w:sz w:val="22"/>
          <w:szCs w:val="22"/>
        </w:rPr>
        <w:t xml:space="preserve">海外企业在高端精密减速器领域仍具有品牌、可靠性和客户认证优势，国内厂商主要通过价格、交付速度和本地化服务推进进口替代。</w:t>
      </w:r>
    </w:p>
    <w:p>
      <w:pPr>
        <w:pStyle w:val="ListParagraph"/>
        <w:numPr>
          <w:ilvl w:val="0"/>
          <w:numId w:val="2"/>
        </w:numPr>
        <w:spacing w:after="80" w:line="280"/>
      </w:pPr>
      <w:r>
        <w:rPr>
          <w:sz w:val="22"/>
          <w:szCs w:val="22"/>
        </w:rPr>
        <w:t xml:space="preserve">国产化趋势明确，但不同企业在RV、谐波、行星减速器、减速电机和一体化执行单元上的优势不同，不能简单以“机器人概念股”进行比较。</w:t>
      </w:r>
    </w:p>
    <w:p>
      <w:pPr>
        <w:pStyle w:val="ListParagraph"/>
        <w:numPr>
          <w:ilvl w:val="0"/>
          <w:numId w:val="2"/>
        </w:numPr>
        <w:spacing w:after="80" w:line="280"/>
      </w:pPr>
      <w:r>
        <w:rPr>
          <w:sz w:val="22"/>
          <w:szCs w:val="22"/>
        </w:rPr>
        <w:t xml:space="preserve">公司2025年年报未披露各类精密减速器的具体产能、产能利用率和市场份额；行业市场份额还可能因出货量、销售额、工业机器人用减速器或全部减速器等统计口径不同而不可直接混用。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绿的谐波（688017）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谐波减速器、机电一体化执行器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主要面向协作机器人、轻型工业机器人和精密自动化设备，在国产谐波减速器领域技术积累和市场影响力较强。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双环传动（002472）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精密齿轮、汽车齿轮，并向RV减速器和工业机器人减速器延伸</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规模化齿轮制造能力较强，是中大力德在RV减速器和精密齿轮领域的直接可比公司。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秦川机床（000837）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机床、机床零部件及机器人关节减速器、RV减速器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具备机床、齿轮加工及装备制造产业基础，与中大力德在RV减速器及高端装备客户上存在重合。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昊志机电（300503）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数控机床功能部件、主轴、伺服系统及机器人减速器</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在谐波减速器、行星减速器和运动控制领域与中大力德存在部分竞争。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纳博特斯克、哈默纳科、日本新宝</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海外精密减速器及通用减速器标杆企业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分别在RV减速器、谐波减速器和通用减速器领域具有较强品牌与技术影响力，是国内厂商进口替代的主要参照对象。</w:t>
            </w:r>
          </w:p>
        </w:tc>
      </w:tr>
    </w:tbl>
    <w:p>
      <w:pPr>
        <w:spacing w:before="200"/>
      </w:pPr>
    </w:p>
    <w:p>
      <w:pPr>
        <w:spacing w:after="160" w:line="300"/>
      </w:pPr>
      <w:r>
        <w:rPr>
          <w:sz w:val="22"/>
          <w:szCs w:val="22"/>
        </w:rPr>
        <w:t xml:space="preserve">中大力德并非单一精密减速器公司，而是减速电机、精密减速器和智能执行单元的综合型供应商。与绿的谐波相比，公司产品覆盖更广；与双环传动相比，公司更突出减速电机及电机、驱动器一体化；与秦川机床、昊志机电相比，公司不以机床或机床功能部件为主要业务。公司竞争优势主要体现为产品覆盖面广、减速器与电机驱动一体化、定制化能力和经销网络覆盖，但在单一减速器品类上的绝对领先地位，研究纪要未作出确认。</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2026年上半年收入同比增长15.61%，但归母净利润同比下降40.09%、扣非归母净利润同比下降48.15%，综合毛利率约23.28%，较上年同期下降约4.5个百分点，存在收入增长未能同步转化为利润增长的风险。</w:t>
      </w:r>
    </w:p>
    <w:p>
      <w:pPr>
        <w:pStyle w:val="ListParagraph"/>
        <w:numPr>
          <w:ilvl w:val="0"/>
          <w:numId w:val="2"/>
        </w:numPr>
        <w:spacing w:after="80" w:line="280"/>
      </w:pPr>
      <w:r>
        <w:rPr>
          <w:sz w:val="22"/>
          <w:szCs w:val="22"/>
        </w:rPr>
        <w:t xml:space="preserve">公司2026年上半年计提资产减值准备合计1170.98万元，其中应收账款坏账损失508.91万元、在产品减值427.04万元、发出商品减值202.20万元，相关减值可能反映回款、库存消化或部分产品盈利能力压力；若相关问题延续，后续利润仍可能受到影响。</w:t>
      </w:r>
    </w:p>
    <w:p>
      <w:pPr>
        <w:pStyle w:val="ListParagraph"/>
        <w:numPr>
          <w:ilvl w:val="0"/>
          <w:numId w:val="2"/>
        </w:numPr>
        <w:spacing w:after="80" w:line="280"/>
      </w:pPr>
      <w:r>
        <w:rPr>
          <w:sz w:val="22"/>
          <w:szCs w:val="22"/>
        </w:rPr>
        <w:t xml:space="preserve">截至2025年末，存货3.17亿元，约占当年营业收入30.50%，同比增速约24%，明显高于收入增速；应收账款同比增长约23.6%。若产能扩张、备货或产品消化速度未达预期，可能导致库存周转放缓、减值增加并占用经营现金流。</w:t>
      </w:r>
    </w:p>
    <w:p>
      <w:pPr>
        <w:pStyle w:val="ListParagraph"/>
        <w:numPr>
          <w:ilvl w:val="0"/>
          <w:numId w:val="2"/>
        </w:numPr>
        <w:spacing w:after="80" w:line="280"/>
      </w:pPr>
      <w:r>
        <w:rPr>
          <w:sz w:val="22"/>
          <w:szCs w:val="22"/>
        </w:rPr>
        <w:t xml:space="preserve">2026年上半年经营活动现金流净额为-5649.11万元，而上年同期为896.60万元；在应收账款增长及资产减值增加的背景下，经营现金流恶化可能限制业务扩张的资金自我供给能力。</w:t>
      </w:r>
    </w:p>
    <w:p>
      <w:pPr>
        <w:pStyle w:val="ListParagraph"/>
        <w:numPr>
          <w:ilvl w:val="0"/>
          <w:numId w:val="2"/>
        </w:numPr>
        <w:spacing w:after="80" w:line="280"/>
      </w:pPr>
      <w:r>
        <w:rPr>
          <w:sz w:val="22"/>
          <w:szCs w:val="22"/>
        </w:rPr>
        <w:t xml:space="preserve">公司直接材料占2025年营业成本63.43%，主要涉及钢材、铜、铝等金属材料，公司对大宗材料总体缺乏定价权；若原材料价格上涨，采购、供应商切换、工艺改进和产品调价无法充分对冲，毛利率可能继续承压。</w:t>
      </w:r>
    </w:p>
    <w:p>
      <w:pPr>
        <w:pStyle w:val="ListParagraph"/>
        <w:numPr>
          <w:ilvl w:val="0"/>
          <w:numId w:val="2"/>
        </w:numPr>
        <w:spacing w:after="80" w:line="280"/>
      </w:pPr>
      <w:r>
        <w:rPr>
          <w:sz w:val="22"/>
          <w:szCs w:val="22"/>
        </w:rPr>
        <w:t xml:space="preserve">通用减速电机和中低端传动部件竞争较充分，存在同质化和价格竞争；2025年经销收入占比升至48.42%，经销毛利率为22.15%，低于直销毛利率29.81%，渠道占比提升可能扩大让利压力并拖累综合盈利。</w:t>
      </w:r>
    </w:p>
    <w:p>
      <w:pPr>
        <w:pStyle w:val="ListParagraph"/>
        <w:numPr>
          <w:ilvl w:val="0"/>
          <w:numId w:val="2"/>
        </w:numPr>
        <w:spacing w:after="80" w:line="280"/>
      </w:pPr>
      <w:r>
        <w:rPr>
          <w:sz w:val="22"/>
          <w:szCs w:val="22"/>
        </w:rPr>
        <w:t xml:space="preserve">公司2025年前五大客户占销售总额19.36%，但未披露具体客户名称、产品规模及合作深度；下游设备厂商通常具有较强成本控制和供应商认证能力，客户需求变化、价格谈判或认证进度可能影响订单和利润。</w:t>
      </w:r>
    </w:p>
    <w:p>
      <w:pPr>
        <w:pStyle w:val="ListParagraph"/>
        <w:numPr>
          <w:ilvl w:val="0"/>
          <w:numId w:val="2"/>
        </w:numPr>
        <w:spacing w:after="80" w:line="280"/>
      </w:pPr>
      <w:r>
        <w:rPr>
          <w:sz w:val="22"/>
          <w:szCs w:val="22"/>
        </w:rPr>
        <w:t xml:space="preserve">截至2026年9月11日，公司TTM市盈率约279倍、市净率约10.30倍，估值显著依赖未来利润增长、机器人相关业务放量及毛利率修复；若实际业绩低于机构预测或盈利能力继续下降，估值波动风险较高。</w:t>
      </w:r>
    </w:p>
    <w:p>
      <w:pPr>
        <w:pStyle w:val="ListParagraph"/>
        <w:numPr>
          <w:ilvl w:val="0"/>
          <w:numId w:val="2"/>
        </w:numPr>
        <w:spacing w:after="80" w:line="280"/>
      </w:pPr>
      <w:r>
        <w:rPr>
          <w:sz w:val="22"/>
          <w:szCs w:val="22"/>
        </w:rPr>
        <w:t xml:space="preserve">控股股东及一致行动人于2026年6月1日至6月18日累计减持580.4019万股，占总股本2.95%，虽然控制权未发生变化，但股东减持与公司近期股价高波动叠加，可能增加市场交易层面的供给和波动压力。</w:t>
      </w:r>
    </w:p>
    <w:p>
      <w:pPr>
        <w:pStyle w:val="ListParagraph"/>
        <w:numPr>
          <w:ilvl w:val="0"/>
          <w:numId w:val="2"/>
        </w:numPr>
        <w:spacing w:after="80" w:line="280"/>
      </w:pPr>
      <w:r>
        <w:rPr>
          <w:sz w:val="22"/>
          <w:szCs w:val="22"/>
        </w:rPr>
        <w:t xml:space="preserve">韩国PM公司39%股权收购以及德国、越南子公司设立截至2026年9月14日尚未确认完成交割、注册运营或形成重大订单，海外布局短期未形成明确业绩贡献，相关投资的落地进度和经营回报存在不确定性。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精密减速器、智能执行单元及机器人相关组件的产品升级和应用拓展，同时受益于精密减速器国产替代、工业机器人、智能物流、数控机床及新能源设备等需求方向。减速器、电机和驱动器一体化以及较广的产品型号覆盖，有助于公司服务不同类型的装备制造客户；境外收入保持较快增长，韩国PM公司股权收购及德国、越南子公司布局也体现了海外拓展方向，但相关项目尚未确认完成交割、投入运营或形成明确业绩贡献。</w:t>
      </w:r>
    </w:p>
    <w:p>
      <w:pPr>
        <w:spacing w:after="160" w:line="300"/>
      </w:pPr>
      <w:r>
        <w:rPr>
          <w:sz w:val="22"/>
          <w:szCs w:val="22"/>
        </w:rPr>
        <w:t xml:space="preserve">短期内，公司需要证明收入增长能够转化为利润和现金流改善。后续关键观察变量包括精密减速器和智能执行单元毛利率能否修复、存货和应收账款增速能否回落、资产减值压力是否缓解、经营活动现金流能否转正，以及高附加值产品的收入占比和产能利用情况。机构预测预计2026年至2028年收入和归母净利润继续增长，但预测来自有限样本的卖方机构汇总，且当前实际业绩已出现利润降幅高于收入增速的情况，因此预测兑现仍取决于盈利能力修复。</w:t>
      </w:r>
    </w:p>
    <w:p>
      <w:pPr>
        <w:spacing w:after="160" w:line="300"/>
      </w:pPr>
      <w:r>
        <w:rPr>
          <w:sz w:val="22"/>
          <w:szCs w:val="22"/>
        </w:rPr>
        <w:t xml:space="preserve">公司目前同时面临行业价格竞争、原材料成本约束、下游客户议价能力较强和高估值压力。若毛利率继续下滑、库存及应收减值扩大或机器人相关业务放量不及预期，当前估值与基本面之间的矛盾可能进一步显现；若后续业绩、现金流和资金面改善，产品结构升级及海外拓展则可能为利润增长提供支撑。</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中大力德(002896)_公司公告_中大力德：2025年年度报告摘要新浪财经_新浪网 — https://money.finance.sina.com.cn/corp/view/vCB_AllBulletinDetail.php?id=12096337&amp;stockid=002896&amp;utm_source=openai</w:t>
      </w:r>
    </w:p>
    <w:p>
      <w:pPr>
        <w:spacing w:after="200"/>
      </w:pPr>
      <w:r>
        <w:rPr>
          <w:i/>
          <w:iCs/>
          <w:color w:val="595959"/>
          <w:sz w:val="18"/>
          <w:szCs w:val="18"/>
        </w:rPr>
        <w:t xml:space="preserve">https://disc.static.szse.cn/disc/disk03/finalpage/2026-04-16/134ab42c-679a-4486-8851-df587edb1754.PDF — https://disc.static.szse.cn/disc/disk03/finalpage/2026-04-16/134ab42c-679a-4486-8851-df587edb1754.PDF</w:t>
      </w:r>
    </w:p>
    <w:p>
      <w:pPr>
        <w:spacing w:after="200"/>
      </w:pPr>
      <w:r>
        <w:rPr>
          <w:i/>
          <w:iCs/>
          <w:color w:val="595959"/>
          <w:sz w:val="18"/>
          <w:szCs w:val="18"/>
        </w:rPr>
        <w:t xml:space="preserve">https://static.cninfo.com.cn/finalpage/2024-06-04/1220256626.PDF — https://static.cninfo.com.cn/finalpage/2024-06-04/1220256626.PDF</w:t>
      </w:r>
    </w:p>
    <w:p>
      <w:pPr>
        <w:spacing w:after="200"/>
      </w:pPr>
      <w:r>
        <w:rPr>
          <w:i/>
          <w:iCs/>
          <w:color w:val="595959"/>
          <w:sz w:val="18"/>
          <w:szCs w:val="18"/>
        </w:rPr>
        <w:t xml:space="preserve">https://static.cninfo.com.cn/finalpage/2025-04-18/1223126845.PDF — https://static.cninfo.com.cn/finalpage/2025-04-18/1223126845.PDF</w:t>
      </w:r>
    </w:p>
    <w:p>
      <w:pPr>
        <w:spacing w:after="200"/>
      </w:pPr>
      <w:r>
        <w:rPr>
          <w:i/>
          <w:iCs/>
          <w:color w:val="595959"/>
          <w:sz w:val="18"/>
          <w:szCs w:val="18"/>
        </w:rPr>
        <w:t xml:space="preserve">https://pdf.dfcfw.com/pdf/H2_AN202110261525170503_1.PDF — https://pdf.dfcfw.com/pdf/H2_AN202110261525170503_1.PDF</w:t>
      </w:r>
    </w:p>
    <w:p>
      <w:pPr>
        <w:spacing w:after="200"/>
      </w:pPr>
      <w:r>
        <w:rPr>
          <w:i/>
          <w:iCs/>
          <w:color w:val="595959"/>
          <w:sz w:val="18"/>
          <w:szCs w:val="18"/>
        </w:rPr>
        <w:t xml:space="preserve">中大力德2025年度ESG报告 — https://static.cninfo.com.cn/finalpage/2026-04-16/1225108128.PDF?utm_source=openai</w:t>
      </w:r>
    </w:p>
    <w:p>
      <w:pPr>
        <w:spacing w:after="200"/>
      </w:pPr>
      <w:r>
        <w:rPr>
          <w:i/>
          <w:iCs/>
          <w:color w:val="595959"/>
          <w:sz w:val="18"/>
          <w:szCs w:val="18"/>
        </w:rPr>
        <w:t xml:space="preserve">中大力德 (002896.SZ) - 盈利摘要 Earnings Summary — https://wdatacn.aastocks.com/sc/cnhk/analysis/company-fundamental/earnings-summary?shsymbol=002896&amp;utm_source=openai</w:t>
      </w:r>
    </w:p>
    <w:p>
      <w:pPr>
        <w:spacing w:after="200"/>
      </w:pPr>
      <w:r>
        <w:rPr>
          <w:i/>
          <w:iCs/>
          <w:color w:val="595959"/>
          <w:sz w:val="18"/>
          <w:szCs w:val="18"/>
        </w:rPr>
        <w:t xml:space="preserve">〖行业深度〗洞察2023：中国减速机行业竞争格局及市场份额(附市场集中度、企业竞争力评价等)_行业研究报告 - 前瞻网 — https://www.qianzhan.com/analyst/detail/220/231218-fdad1542.html?utm_source=openai</w:t>
      </w:r>
    </w:p>
    <w:p>
      <w:pPr>
        <w:spacing w:after="200"/>
      </w:pPr>
      <w:r>
        <w:rPr>
          <w:i/>
          <w:iCs/>
          <w:color w:val="595959"/>
          <w:sz w:val="18"/>
          <w:szCs w:val="18"/>
        </w:rPr>
        <w:t xml:space="preserve">中大力德(002896)_公司公告_中大力德：2026年半年度报告摘要新浪财经_新浪网 — https://vip.stock.finance.sina.com.cn/corp/view/vCB_AllBulletinDetail.php?id=12536112&amp;stockid=002896</w:t>
      </w:r>
    </w:p>
    <w:p>
      <w:pPr>
        <w:spacing w:after="200"/>
      </w:pPr>
      <w:r>
        <w:rPr>
          <w:i/>
          <w:iCs/>
          <w:color w:val="595959"/>
          <w:sz w:val="18"/>
          <w:szCs w:val="18"/>
        </w:rPr>
        <w:t xml:space="preserve">中大力德(002896) 盈利预测_F10_同花顺金融服务网 — https://basic.10jqka.com.cn/002896/worth.html</w:t>
      </w:r>
    </w:p>
    <w:p>
      <w:pPr>
        <w:spacing w:after="200"/>
      </w:pPr>
      <w:r>
        <w:rPr>
          <w:i/>
          <w:iCs/>
          <w:color w:val="595959"/>
          <w:sz w:val="18"/>
          <w:szCs w:val="18"/>
        </w:rPr>
        <w:t xml:space="preserve">机构首次关注-研报-股票频道-证券之星 — https://stock.stockstar.com/report/data_fn_isspuwwxyxrxqtpypvrpr.html?utm_source=openai</w:t>
      </w:r>
    </w:p>
    <w:p>
      <w:pPr>
        <w:spacing w:after="200"/>
      </w:pPr>
      <w:r>
        <w:rPr>
          <w:i/>
          <w:iCs/>
          <w:color w:val="595959"/>
          <w:sz w:val="18"/>
          <w:szCs w:val="18"/>
        </w:rPr>
        <w:t xml:space="preserve">晨会速递__新浪财经_新浪网 — https://stock.finance.sina.com.cn/stock/go.php/vReport_Show/kind/lastest/rptid/841648645634/index.phtml?utm_source=openai</w:t>
      </w:r>
    </w:p>
    <w:p>
      <w:pPr>
        <w:spacing w:after="200"/>
      </w:pPr>
      <w:r>
        <w:rPr>
          <w:i/>
          <w:iCs/>
          <w:color w:val="595959"/>
          <w:sz w:val="18"/>
          <w:szCs w:val="18"/>
        </w:rPr>
        <w:t xml:space="preserve">中大力德(002896)跟踪报告：盈利能力明显改善 迈向机电一体化__新浪财经_新浪网 — https://vip.stock.finance.sina.com.cn/q/go.php/vReport_Show/kind/lastest/rptid/825186120275/index.phtml?utm_source=openai</w:t>
      </w:r>
    </w:p>
    <w:p>
      <w:pPr>
        <w:spacing w:after="200"/>
      </w:pPr>
      <w:r>
        <w:rPr>
          <w:i/>
          <w:iCs/>
          <w:color w:val="595959"/>
          <w:sz w:val="18"/>
          <w:szCs w:val="18"/>
        </w:rPr>
        <w:t xml:space="preserve">中大力德(002896)股票历史数据:历史行情,价格,走势图表_英为财情Investing.com — https://cn.investing.com/equities/ningbo-zhongda-leader-historical-data?utm_source=openai</w:t>
      </w:r>
    </w:p>
    <w:p>
      <w:pPr>
        <w:spacing w:after="200"/>
      </w:pPr>
      <w:r>
        <w:rPr>
          <w:i/>
          <w:iCs/>
          <w:color w:val="595959"/>
          <w:sz w:val="18"/>
          <w:szCs w:val="18"/>
        </w:rPr>
        <w:t xml:space="preserve">中大力德(002896)市盈率|估值|基本面 - 理杏仁 — https://www.lixinger.com/equity/company/detail/sz/002896/2896/fundamental/valuation/pe-ttm</w:t>
      </w:r>
    </w:p>
    <w:p>
      <w:pPr>
        <w:spacing w:after="200"/>
      </w:pPr>
      <w:r>
        <w:rPr>
          <w:i/>
          <w:iCs/>
          <w:color w:val="595959"/>
          <w:sz w:val="18"/>
          <w:szCs w:val="18"/>
        </w:rPr>
        <w:t xml:space="preserve">https://file.finance.sina.com.cn/211.154.219.97%3A9494/MRGG/CNSESZ_STOCK/2026/2026-8/2026-08-26/12536112.PDF — https://file.finance.sina.com.cn/211.154.219.97%3A9494/MRGG/CNSESZ_STOCK/2026/2026-8/2026-08-26/12536112.PDF</w:t>
      </w:r>
    </w:p>
    <w:p>
      <w:pPr>
        <w:spacing w:after="200"/>
      </w:pPr>
      <w:r>
        <w:rPr>
          <w:i/>
          <w:iCs/>
          <w:color w:val="595959"/>
          <w:sz w:val="18"/>
          <w:szCs w:val="18"/>
        </w:rPr>
        <w:t xml:space="preserve">中大力德(002896)公司公告_新浪财经_新浪网 — https://vip.stock.finance.sina.com.cn/corp/go.php/vCB_AllBulletin/stockid/002896.phtml?utm_source=openai</w:t>
      </w:r>
    </w:p>
    <w:p>
      <w:pPr>
        <w:spacing w:after="200"/>
      </w:pPr>
      <w:r>
        <w:rPr>
          <w:i/>
          <w:iCs/>
          <w:color w:val="595959"/>
          <w:sz w:val="18"/>
          <w:szCs w:val="18"/>
        </w:rPr>
        <w:t xml:space="preserve">中大力德(002896)_公司公告_中大力德：关于计提资产减值准备的公告新浪财经_新浪网 — https://vip.stock.finance.sina.com.cn/corp/view/vCB_AllBulletinDetail.php?id=12536109&amp;stockid=002896</w:t>
      </w:r>
    </w:p>
    <w:p>
      <w:pPr>
        <w:spacing w:after="200"/>
      </w:pPr>
      <w:r>
        <w:rPr>
          <w:i/>
          <w:iCs/>
          <w:color w:val="595959"/>
          <w:sz w:val="18"/>
          <w:szCs w:val="18"/>
        </w:rPr>
        <w:t xml:space="preserve">https://static.cninfo.com.cn/finalpage/2026-08-05/1225457298.PDF — https://static.cninfo.com.cn/finalpage/2026-08-05/1225457298.PDF</w:t>
      </w:r>
    </w:p>
    <w:p>
      <w:pPr>
        <w:spacing w:after="200"/>
      </w:pPr>
      <w:r>
        <w:rPr>
          <w:i/>
          <w:iCs/>
          <w:color w:val="595959"/>
          <w:sz w:val="18"/>
          <w:szCs w:val="18"/>
        </w:rPr>
        <w:t xml:space="preserve">https://static.cninfo.com.cn/finalpage/2026-07-16/1225426941.PDF — https://static.cninfo.com.cn/finalpage/2026-07-16/1225426941.PDF</w:t>
      </w:r>
    </w:p>
    <w:p>
      <w:pPr>
        <w:spacing w:after="200"/>
      </w:pPr>
      <w:r>
        <w:rPr>
          <w:i/>
          <w:iCs/>
          <w:color w:val="595959"/>
          <w:sz w:val="18"/>
          <w:szCs w:val="18"/>
        </w:rPr>
        <w:t xml:space="preserve">B111
信息披露
Disclosure
2026年4月16日星期四
zqsb@stcn.com ( — https://epaper.stcn.com/att/202604/16/ZQ16B111-QX_eBook.pdf?utm_source=openai</w:t>
      </w:r>
    </w:p>
    <w:p>
      <w:pPr>
        <w:spacing w:after="200"/>
      </w:pPr>
      <w:r>
        <w:rPr>
          <w:i/>
          <w:iCs/>
          <w:color w:val="595959"/>
          <w:sz w:val="18"/>
          <w:szCs w:val="18"/>
        </w:rPr>
        <w:t xml:space="preserve">中大力德(002896)公告(全部) - 理杏仁 — https://www.lixinger.com/equity/company/detail/sz/002896/2896/announcement?utm_source=openai</w:t>
      </w:r>
    </w:p>
    <w:p>
      <w:pPr>
        <w:spacing w:after="200"/>
      </w:pPr>
      <w:r>
        <w:rPr>
          <w:i/>
          <w:iCs/>
          <w:color w:val="595959"/>
          <w:sz w:val="18"/>
          <w:szCs w:val="18"/>
        </w:rPr>
        <w:t xml:space="preserve">中大力德(002896)_公司公告_中大力德：2026年半年度报告新浪财经_新浪网 — https://money.finance.sina.com.cn/corp/view/vCB_AllBulletinDetail.php?id=12536111&amp;stockid=002896</w:t>
      </w:r>
    </w:p>
    <w:p>
      <w:pPr>
        <w:spacing w:after="200"/>
      </w:pPr>
      <w:r>
        <w:rPr>
          <w:i/>
          <w:iCs/>
          <w:color w:val="595959"/>
          <w:sz w:val="18"/>
          <w:szCs w:val="18"/>
        </w:rPr>
        <w:t xml:space="preserve">中大力德(002896.SZ) 股票行情_历史数据_主力资金 - 大波浪数据 — https://www.yyqyx.com/s/002896.SZ</w:t>
      </w:r>
    </w:p>
    <w:p>
      <w:pPr>
        <w:spacing w:after="200"/>
      </w:pPr>
      <w:r>
        <w:rPr>
          <w:i/>
          <w:iCs/>
          <w:color w:val="595959"/>
          <w:sz w:val="18"/>
          <w:szCs w:val="18"/>
        </w:rPr>
        <w:t xml:space="preserve">Ningbo ZhongDa Leader Intelligent Transmission Co Ltd (002896)歷史價格 - Investing.com — https://hk.investing.com/equities/ningbo-zhongda-leader-historical-data?utm_source=openai</w:t>
      </w:r>
    </w:p>
    <w:p>
      <w:pPr>
        <w:spacing w:after="200"/>
      </w:pPr>
      <w:r>
        <w:rPr>
          <w:i/>
          <w:iCs/>
          <w:color w:val="595959"/>
          <w:sz w:val="18"/>
          <w:szCs w:val="18"/>
        </w:rPr>
        <w:t xml:space="preserve">本报告由AI基于公开渠道信息自动检索、整理并生成，信息截至 截至2026年9月11日收盘；技术指标采用大波浪数据日线不复权口径，52周高低点采用前复权口径。大波浪数据、证券时报中财网显示收盘价为62.64元，但Investing页面显示为60.82元或60.18元，存在数据差异；以下优先采用62.64元口径，实际交易前需再次核对。，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2026-09-14T03:50:09.024Z</dcterms:created>
  <dcterms:modified xsi:type="dcterms:W3CDTF">2026-09-14T03:50:09.024Z</dcterms:modified>
</cp:coreProperties>
</file>

<file path=docProps/custom.xml><?xml version="1.0" encoding="utf-8"?>
<Properties xmlns="http://schemas.openxmlformats.org/officeDocument/2006/custom-properties" xmlns:vt="http://schemas.openxmlformats.org/officeDocument/2006/docPropsVTypes"/>
</file>