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蒙娜丽莎集团股份有限公司 (002918)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行业：建筑陶瓷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截至2026年9月30日收盘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核心结论：上半年扭亏尚未证明经营反转，估值已要求较快盈利增长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10.64元（+1.14%）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约43.50亿元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40.49倍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1.34倍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8.04～18.79元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1.14亿元/5.06%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行情数据截至：截至2026年9月30日收盘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扭亏显著但盈利质量待验证</w:t>
      </w:r>
      <w:r>
        <w:rPr>
          <w:sz w:val="22"/>
          <w:szCs w:val="22"/>
        </w:rPr>
        <w:t xml:space="preserve">：2026年上半年归母净利润0.493亿元、同比增长970.18%，扣非增长409.55%；营收仍下降8.66%，改善包含降费及存货跌价准备转回。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需求与工程收缩仍压制增长</w:t>
      </w:r>
      <w:r>
        <w:rPr>
          <w:sz w:val="22"/>
          <w:szCs w:val="22"/>
        </w:rPr>
        <w:t xml:space="preserve">：2025年营收下降15.28%，经销、战略工程收入分别下降7.65%、40.08%；2026年上半年营收仍降8.66%，毛利率为25.05%。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估值高于历史中枢</w:t>
      </w:r>
      <w:r>
        <w:rPr>
          <w:sz w:val="22"/>
          <w:szCs w:val="22"/>
        </w:rPr>
        <w:t xml:space="preserve">：9月30日收盘10.64元，PE-TTM 40.49倍、PB 1.34倍；PE处近5.2年58%分位，高于28.82倍中位数。华泰证券目标价12.80元仅代表单家机构观点。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：40.49倍PE隐含未来10年EPS年增19.3%；机构预测EPS由2026年0.35元至2028年0.48元，年化约17.1%，市场要求略高。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：2026年上半年虽扭亏，但营收仍降8.66%、毛利率25.05%；改善包含降费和存货跌价准备转回，19.3%的增长要求尚缺收入与常态盈利验证。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</w:t>
      </w:r>
    </w:p>
    <w:p>
      <w:pPr>
        <w:spacing w:after="160" w:line="300"/>
      </w:pPr>
      <w:r>
        <w:rPr>
          <w:sz w:val="22"/>
          <w:szCs w:val="22"/>
        </w:rPr>
        <w:t xml:space="preserve">扭亏、现金流改善有数据支撑，但低基数及减值转回影响较大，后续收入和常态盈利尚待验证。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研发、生产并销售瓷砖及陶瓷板材，主要面向经销商、房地产客户及整装企业，靠产品、品牌与渠道销售。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瓷质有釉砖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81.14%（2025年）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27.38%（2025年）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-13.45%（2025年同比）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核心产品，毛利率同比提高0.10个百分点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陶瓷板、薄型陶瓷砖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12.38%（2025年）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27.77%（2025年）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-13.16%（2025年同比）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毛利率同比下降7.14个百分点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非瓷质有釉砖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3.71%（2025年）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-41.79%（2025年同比）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年报未单列该产品毛利率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瓷质无釉砖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0.40%（2025年）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-58.20%（2025年同比）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年报未单列该产品毛利率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其他产品及其他业务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2.37%（2025年）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含其他产品及其他业务收入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四个生产基地；2025年产量1.152亿平方米、销量1.155亿平方米，具备规模和多基地供货基础。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2025年末专利1,121件、其中发明专利376件；研发投入1.31亿元，占收入3.35%。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四个基地均获评绿色工厂；公司披露千家以上终端门店，经销收入占比83.36%。</w:t>
      </w:r>
    </w:p>
    <w:p>
      <w:pPr>
        <w:spacing w:after="160" w:line="300"/>
      </w:pPr>
      <w:r>
        <w:rPr>
          <w:sz w:val="22"/>
          <w:szCs w:val="22"/>
        </w:rPr>
        <w:t xml:space="preserve">主要威胁：销量及收入下滑，产品售价承压；品牌溢价未有量化验证，能源材料成本和工程客户信用风险可能侵蚀优势。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主要投入包括泥砂料、釉料、煤炭、天然气和电力；2025年燃料动力、直接材料分别占建筑陶瓷成本32.46%、30.48%。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2025年前五大供应商采购额占比27.96%，三家天然气供应商合计占采购额22.19%；公司集中采购，但能源及基础材料价格主要随市场，公司定价权有限。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2025年经销、战略工程渠道收入占比分别为83.36%、16.64%；经销收入同比下降7.65%，战略工程收入下降40.08%。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工程客户面临订单收缩、售价竞争及房地产客户回款与信用风险；公司主动收缩部分工程业务。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2025年报披露前五大客户占销售额15.81%，最大客户占10.49%；仅有单年数据，未见可比连续多年口径。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2025年末应收账款账面价值3.12亿元，为全年收入的7.94%、归母净利润的5.94倍；3年以上余额5.77亿元。应付账款7.14亿元，货款5.16亿元。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29.20%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约4.50%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基期；次年燃料动力成本同比上升24.83%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23.40%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约-6.11%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能源成本上行、售价下滑及信用减值拖累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29.47%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约4.50%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毛利率修复，产品组合及成本影响未能拆分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27.75%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约2.70%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收入收缩，瓷质有釉砖毛利率下降3.47个百分点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27.26%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约1.34%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售价下滑、工程收入减少，减值及费用进一步压低净利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公司处于建陶中游制造，品牌、设计、渠道和规模提供一定溢价，但对能源材料缺乏强定价权。利润改善更依赖产品结构升级、回款质量、产能利用率和降本。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建陶需求随房地产施工走弱，2025年全国陶瓷砖产量同比下降17.8%、房屋新开工面积下降20.4%；公司收入、销量承压，工程渠道收缩。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马可波罗（001386）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建筑陶瓷产品制造与销售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2025年收入64.58亿元；建筑陶瓷毛利率39.35%；归母净利润12.10亿元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毛利率显著高于蒙娜丽莎，产品结构、渠道及成本口径存在差异。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东鹏控股（003012）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瓷砖及洁具等家居建材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2025年收入60.62亿元；瓷砖毛利率31.23%；洁具毛利率21.32%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业务覆盖洁具，瓷砖毛利率高于蒙娜丽莎，品类结构不完全相同。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帝欧水华（002798）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陶瓷墙地砖与卫浴制造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2025年收入22.95亿元；陶瓷墙地砖毛利率25.48%；归母净利润-5.30亿元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同时经营卫浴；陶瓷墙地砖毛利率略低于蒙娜丽莎，年度亏损。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箭牌家居（001322）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卫浴及家居建材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2025年收入64.74亿元；相关业务毛利率26.03%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以卫浴及家居建材为主，非纯瓷砖同业，适合作扩展比较。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蒙娜丽莎以瓷砖及陶瓷板为主，经销渠道占比高，并具备多基地和研发基础；但2025年收入、销量下滑，工程业务收缩且应收款仍有较长账龄。与马可波罗、东鹏相比，其披露的核心产品毛利率较低；品牌与研发优势尚未转化为可验证的持续溢价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17.49亿元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-8.66%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0.493亿元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+970.18%（扭亏）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+409.55%（扭亏）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25.05%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39.23亿元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-15.28%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0.524亿元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-58.05%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-59.20%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27.3%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2024年度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46.31亿元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1.250亿元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约27.3%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截至2026年中报；中报整体毛利率25.05%，主营建筑陶瓷口径为24.99%。</w:t>
      </w:r>
    </w:p>
    <w:p>
      <w:pPr>
        <w:spacing w:after="160" w:line="300"/>
      </w:pPr>
      <w:r>
        <w:rPr>
          <w:sz w:val="22"/>
          <w:szCs w:val="22"/>
        </w:rPr>
        <w:t xml:space="preserve">上半年归母与扣非均扭亏，但同比增幅受上年同期亏损基数影响；2025年收入和利润继续下滑。现金流显著高于利润，存货跌价准备转回对当期业绩有正贡献。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46.0%，2026年中报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较2025年末46.55%略降。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流动比率/速动比率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1.29/0.88，2025年末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速动比率低于1，短期流动性不宽裕。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加权平均ROE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1.48%，2026年上半年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扭亏尚未转化为较高资本回报。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3.7倍，2026年上半年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现金流高于利润，但需关注营运资本变动。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应收账款风险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余额10.56亿元，2026年6月末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3年以上账龄约6.06亿元，房地产客户风险较高。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40.49倍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近5.2年58%分位（中位数28.82倍）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东鹏控股32.43倍（2026-09-18）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1.34倍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近5.2年26%分位（中位数1.8倍）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东鹏控股0.71倍（2026-09-18）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近5.2年59%分位（中位数1.05倍）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约0.76%（2026-09-29，聚合页面）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东鹏控股约5.35%（2026-09-18）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估值倍数由程序按2026-09-30收盘数据计算（滚动十二个月口径）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市场隐含预期：以当前40.49倍市盈率计，若投资者要求年化8%的回报、10年后按15倍市盈率估值，每股收益需年均增长约19.3%（不计分红，偏保守），可与下方一致预期增速对照。</w:t>
      </w:r>
    </w:p>
    <w:p>
      <w:pPr>
        <w:spacing w:after="160" w:line="300"/>
      </w:pPr>
      <w:r>
        <w:rPr>
          <w:sz w:val="22"/>
          <w:szCs w:val="22"/>
        </w:rPr>
        <w:t xml:space="preserve">收盘价10.64元对应PE-TTM 40.49倍、近5.2年58%分位，高于28.82倍中位数；PB 1.34倍处26%分位，PS 1.16倍处59%分位。市场隐含EPS年增19.3%，高于机构预测2026—2028年EPS年化约17.1%；估值对盈利兑现较敏感。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40.40亿元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1.45亿元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0.35元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42.69亿元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1.62亿元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0.40元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45.61亿元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1.94亿元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0.48元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同花顺F10近6个月汇总；净利润预测覆盖2026/2027/2028年分别6/5/4家。2027—2028年收入汇总覆盖及区间未完整披露；预测分歧明显。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仅确认华泰证券目标价12.80元（2026-08-26）；无法可靠计算多机构均值与区间。评级汇总近6个月买入4家、增持1家。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2026-08-26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目标价12.80元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国盛证券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2026-04-28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公开摘录未列目标价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近期券商点评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2026年8月底至9月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预测下调，目标价金额未披露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2026-10-08至10-21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蒙娜转债回售申报及结算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关注实际申报规模、回售款及回售后债券余额，判断对现金流的影响。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2026-10-29（预约披露）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2026年三季报披露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关注收入是否改善、利润变化及应收款减值情况。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2026-08-26 半年报扭亏但收入仍降（利好）</w:t>
      </w:r>
      <w:r>
        <w:rPr>
          <w:sz w:val="22"/>
          <w:szCs w:val="22"/>
        </w:rPr>
        <w:t xml:space="preserve">：上半年营收17.49亿元、同比下降8.66%；归母净利润4,932万元，实现扭亏。公司称改善来自降费及存货跌价准备转回；应收款信用减值约2,692万元。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2026-09-29 蒙娜转债触发有条件回售（利空）</w:t>
      </w:r>
      <w:r>
        <w:rPr>
          <w:sz w:val="22"/>
          <w:szCs w:val="22"/>
        </w:rPr>
        <w:t xml:space="preserve">：回售价100.290元/张，持有人可于10月8日至14日申报；实际回售规模和现金支出尚未确定，公告时转债收盘价高于回售价。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2026-09-02 回购金额近方案下限后未增加（中性）</w:t>
      </w:r>
      <w:r>
        <w:rPr>
          <w:sz w:val="22"/>
          <w:szCs w:val="22"/>
        </w:rPr>
        <w:t xml:space="preserve">：截至8月31日累计回购543.02万股、金额4,999.55万元，较7月31日未增加，已接近5,000万元方案下限；回购仍在实施期内。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2026-09-15 公司回应陶瓷基板相关提问（中性）</w:t>
      </w:r>
      <w:r>
        <w:rPr>
          <w:sz w:val="22"/>
          <w:szCs w:val="22"/>
        </w:rPr>
        <w:t xml:space="preserve">：公司称珠海晶瓷未纳入合并报表，主营仍为建筑陶瓷；公开答复未证实进入英伟达供应链或形成AI基板业绩。9月披露的4项专利亦未披露量产及业绩贡献。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2026年上半年归母、扣非净利润分别同比增长970.18%、409.55%，经营现金流为归母净利润3.7倍。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机构预测EPS由2026年0.35元升至2028年0.48元，年化约17.1%；若降费延续且需求企稳，盈利可继续修复。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2025年全国陶瓷砖产量下降17.8%、房屋新开工面积下降20.4%；公司2025年收入下降15.28%。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PE-TTM 40.49倍高于历史中位数28.82倍，市场隐含EPS年增19.3%高于机构预测年化约17.1%。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2026年6月末应收账款10.56亿元，3年以上约6.06亿元；上半年信用减值约2,692万元，回款与减值仍有压力。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燃料动力、直接材料分别占建筑陶瓷成本32.46%、30.48%，若成本上涨且售价难以传导，将压缩毛利率。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蒙娜转债回售规模及现金支出尚未确定，若回售金额较大，将增加现金流压力。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前五大客户占销售额15.81%、最大客户占10.49%，若大客户需求或回款恶化，收入与现金回收可能承压。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三季报收入与利润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预约2026年10月29日披露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收入同比降幅收窄，扣非利润持续为正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收入降幅扩大或扣非再度亏损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毛利率与盈利来源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2026年上半年毛利率25.05%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毛利率回升且利润改善不依赖减值转回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毛利率继续下滑或利润再受减值转回支撑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应收账款及账龄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6月末10.56亿元，3年以上约6.06亿元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应收余额及长账龄余额下降、减值减少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长账龄余额增加或信用减值继续走高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转债回售与现金支出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申报期为2026年10月8日至14日，规模未定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实际回售规模有限，现金支出可控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回售规模较大并明显消耗现金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⚠️风险提示：情景权重为主观启发式判断、非统计概率，不构成投资建议。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股价仍受MA10/20压制，MACD柱在零轴下方；最新成交量仅为近20日均量0.55倍，反弹尚待量能确认。蒙娜转债回售申报期为10月8日至14日，结果未定，或影响短线情绪。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10.63 / MA10 10.91 / MA20 10.99 / MA60 10.09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收盘略高于MA5，仍低于MA10与MA20。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0.058 / DEA 0.174 / 柱 -0.233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柱体仍为负，较前一日略收窄。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40 / RSI14 47.9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短周期偏弱，尚未进入明显超卖区。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11.62 / 中轨 10.99 / 下轨 10.36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股价靠近下轨，上方中轨附近有压力。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-6.09%/-9.14%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近期走势偏弱。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10.90~11.05元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对应MA10、MA20及布林中轨；有效站稳后关注11.62~11.75元。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10.24~10.36元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对应近20日低点及布林下轨；跌破后或回看MA60附近。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10.00~10.24元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参考近20日低点与MA60；放量跌破10元，下方可参考52周低点8.04元。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以2026-09-30价格10.64元为基准，用近300个交易日的收益分布（按当前指数加权日波动率约3.2%缩放，保留这只股票自身的大涨大跌频率）推算未来5个交易日的收盘价范围：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9.98～11.51元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-6.2%～+8.2%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9.11～14.87元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-14.4%～+39.8%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：10.24~11.00元；10.24元附近获支撑且未有效跌破，量能未明显萎缩。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：10.00~10.24元；收盘有效跌破10.24元且反弹未能收复，若放量跌破10元则关注8.04元历史参考位。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：10.99~11.75元；放量收复并站稳10.99~11.00元，且大盘或建材板块未显著走弱，再观察能否突破11.62~11.75元。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截至2026-09-30，近期可核实换手率5.06%~11.11%、成交额1.14亿~2.65亿元；9/28主力估算净流入1335.19万元，9/18净流出503.27万元，口径不一。前十股东截至2026-06-30（半年报8/26披露）：一致行动人持股63.38%，有公募、私募及境外持有人，未见社保；名单有披露时滞。成交波动意味着需留意滑点。</w:t>
      </w:r>
    </w:p>
    <w:p>
      <w:pPr>
        <w:spacing w:after="160" w:line="300"/>
      </w:pPr>
      <w:r>
        <w:rPr>
          <w:sz w:val="22"/>
          <w:szCs w:val="22"/>
        </w:rPr>
        <w:t xml:space="preserve">若连续两个交易日成交额均达2.5亿元以上且收盘站上11.00元，可作为资金参与增强的量能确认信号。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30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https://static.cninfo.com.cn/finalpage/2026-04-25/1225181742.PDF — https://static.cninfo.com.cn/finalpage/2026-04-25/1225181742.PDF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https://static.cninfo.com.cn/finalpage/2023-03-30/1216260259.PDF — https://static.cninfo.com.cn/finalpage/2023-03-30/1216260259.PDF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蒙娜丽莎(002918)_公司公告_蒙娜丽莎：2024年年度报告新浪财经_新浪网 — https://money.finance.sina.com.cn/corp/view/vCB_AllBulletinDetail.php?id=10892541&amp;stockid=002918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蒙娜丽莎(002918)_公司公告_蒙娜丽莎：2024年年度报告新浪财经_新浪网 — https://vip.stock.finance.sina.com.cn/corp/view/vCB_AllBulletinDetail.php?id=10892541&amp;stockid=002918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https://static.cninfo.com.cn/finalpage/2026-04-29/1225240470.PDF — https://static.cninfo.com.cn/finalpage/2026-04-29/1225240470.PDF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https://static.cninfo.com.cn/finalpage/2026-04-29/1225226366.PDF — https://static.cninfo.com.cn/finalpage/2026-04-29/1225226366.PDF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https://static.cninfo.com.cn/finalpage/2026-04-29/1225240168.PDF — https://static.cninfo.com.cn/finalpage/2026-04-29/1225240168.PDF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笛牌家居集团股份有限公司 2025 年年度报告全文 — https://static.cninfo.com.cn/finalpage/2026-04-29/1225227844.PDF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蒙娜丽莎(002918)_公司公告_蒙娜丽莎：2026年半年度报告新浪财经_新浪网 — https://money.finance.sina.com.cn/corp/view/vCB_AllBulletinDetail.php?id=12537499&amp;stockid=002918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 盈利预测_F10_同花顺金融服务网 — https://basic.10jqka.com.cn/002918/worth.html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蒙娜丽莎(002918)_公司公告_蒙娜丽莎：2025年年度报告新浪财经_新浪网 — https://money.finance.sina.com.cn/corp/view/vCB_AllBulletinDetail.php?id=12188014&amp;stockid=002918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蒙娜丽莎(002918)业绩预告_新浪财经_新浪网 — https://money.finance.sina.com.cn/corp/go.php/vFD_AchievementNotice/stockid/002918.phtml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https://static.cninfo.com.cn/finalpage/2026-01-20/1224940443.PDF — https://static.cninfo.com.cn/finalpage/2026-01-20/1224940443.PDF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蒙娜丽莎财报分析_2025年财务数据与基本面解读 | 财报帮股票投资指南 — https://caibaobang.cn/sanpk/mh-company?code=002918&amp;tag=TOTALNONCASSETS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东鹏控股(003012)市盈率|估值|基本面 - 理杏仁 — https://www.lixinger.com/equity/company/detail/sz/003012/3012/fundamental/valuation/pe-ttm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蒙娜丽莎(002918)：费用管控驱动盈利修复 关注后续经营质量改善__新浪财经_新浪网 — https://stock.finance.sina.com.cn/stock/go.php/vReport_Show/kind/search/rptid/841077902675/index.phtml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证券代码：002918 — https://disc.static.szse.cn/download/disc/disk03/finalpage/2026-07-15/b14f5be7-9c22-46d2-9e18-6afa971cc5a5.PDF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蒙娜丽莎(002918)_公司公告_蒙娜丽莎：关于2026年半年度计提资产减值准备的公告新浪财经_新浪网 — https://money.finance.sina.com.cn/corp/view/vCB_AllBulletinDetail.php?id=12537486&amp;stockid=002918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https://disc.static.szse.cn/download/disc/disk03/finalpage/2026-07-11/5b151911-b11e-4d7e-8cf3-b2ce7e26206f.PDF — https://disc.static.szse.cn/download/disc/disk03/finalpage/2026-07-11/5b151911-b11e-4d7e-8cf3-b2ce7e26206f.PDF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https://static.cninfo.com.cn/finalpage/2026-09-29/1225586126.PDF — https://static.cninfo.com.cn/finalpage/2026-09-29/1225586126.PDF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蒙娜丽莎(002918)_公司公告_蒙娜丽莎：关于取得发明专利证书的公告新浪财经_新浪网 — https://vip.stock.finance.sina.com.cn/corp/view/vCB_AllBulletinDetail.php?id=12579064&amp;stockid=002918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 股本结构_F10_同花顺金融服务网 — https://basic.10jqka.com.cn/002918/equity.html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蒙娜丽莎集团股份有限公司2025年年度权益分派实施公告|上海证券报 — https://paper.cnstock.com/html/2026-06/11/content_2229812.htm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股票行情快报：蒙娜丽莎（002918）9月28日主力资金净买入1335.19万元_主力研究_股票_证券之星 — https://wap.stockstar.com/detail/RB2026092800033926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https://m.igu888.com/hangqing/002918.html — https://m.igu888.com/hangqing/002918.html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蒙娜丽莎(002918)_公司公告_蒙娜丽莎：2026年半年度报告摘要新浪财经_新浪网 — https://vip.stock.finance.sina.com.cn/corp/view/vCB_AllBulletinDetail.php?id=12537506&amp;stockid=002918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蒙娜丽莎(002918)_公司公告_蒙娜丽莎：关于蒙娜转债回售的公告新浪财经_新浪网 — https://vip.stock.finance.sina.com.cn/corp/view/vCB_AllBulletinDetail.php?id=12625123&amp;stockid=002918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截至2026年9月30日收盘，可能存在时效性差异，具体数据请以公司正式公告及权威数据终端为准。本报告仅为信息整理与研究参考，不构成任何投资建议，投资者应独立判断并自行承担投资风险。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2026-10-01T12:29:01.922Z</dcterms:created>
  <dcterms:modified xsi:type="dcterms:W3CDTF">2026-10-01T12:29:01.922Z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