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香港交易所（Hong Kong Exchanges and Clearing Limited，HKEX） (00388)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行业：金融市场基础设施与交易所运营</w:t>
      </w:r>
    </w:p>
    <w:p>
      <w:pPr>
        <w:jc w:val="center"/>
      </w:pPr>
      <w:r>
        <w:rPr>
          <w:color w:val="595959"/>
          <w:sz w:val="22"/>
          <w:szCs w:val="22"/>
        </w:rPr>
        <w:t xml:space="preserve">报告日期：2026年9月13日</w:t>
      </w:r>
    </w:p>
    <w:p>
      <w:pPr>
        <w:jc w:val="center"/>
      </w:pPr>
      <w:r>
        <w:rPr>
          <w:color w:val="595959"/>
          <w:sz w:val="20"/>
          <w:szCs w:val="20"/>
        </w:rPr>
        <w:t xml:space="preserve">行情数据主要截至2026年9月11日港股收市；研究时点为2026年9月13日。金额单位均为港元（HKD）。</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港交所（00388）最新披露的2026年上半年收入及其他收益为HKD16,702百万，核心业务收入为HKD15,474百万，分别同比上升19%；股东应占溢利为HKD10,568百万，同比上升24%，EBITDA利润率为81%。业绩增长主要由现货、衍生产品、互联互通及商品市场成交活跃带动，显示其金融市场基础设施和中国资产国际化入口的业务弹性仍然较强。</w:t>
      </w:r>
    </w:p>
    <w:p>
      <w:pPr>
        <w:spacing w:after="160" w:line="300"/>
      </w:pPr>
      <w:r>
        <w:rPr>
          <w:sz w:val="22"/>
          <w:szCs w:val="22"/>
        </w:rPr>
        <w:t xml:space="preserve">公司2025年全年收入及其他收益为HKD29,161百万，股东应占溢利为HKD17,754百万，同比分别上升30.3%和36.0%；现金市场分部收入HKD14,396百万，同比增长约58%，股权及金融衍生产品、商品、数据及连接分部收入及其他收益分别同比增长约18%、14%及7%。2025年现货市场日均成交额约HKD249,800百万，南向交易全年交易额约HKD28.695万亿，Stock Connect及市场成交恢复是盈利增长的重要驱动。</w:t>
      </w:r>
    </w:p>
    <w:p>
      <w:pPr>
        <w:spacing w:after="160" w:line="300"/>
      </w:pPr>
      <w:r>
        <w:rPr>
          <w:sz w:val="22"/>
          <w:szCs w:val="22"/>
        </w:rPr>
        <w:t xml:space="preserve">盈利质量方面，2026年第二季度公司资金投资净收益为HKD642百万，同比增长22%，其中约HKD290百万来自非经常性未上市股权投资估值收益；2025年净投资收益为HKD5,111百万。因此，投资收益及利率环境会放大业绩表现，但并不完全代表核心交易、上市及清算业务的竞争力。市场对2026年股东应占溢利的综合预测平均值为HKD18,769百万，2027年及2028年分别为HKD19,987百万和HKD20,961百万，隐含盈利增速较2025年的高增长明显放缓。</w:t>
      </w:r>
    </w:p>
    <w:p>
      <w:pPr>
        <w:spacing w:after="160" w:line="300"/>
      </w:pPr>
      <w:r>
        <w:rPr>
          <w:sz w:val="22"/>
          <w:szCs w:val="22"/>
        </w:rPr>
        <w:t xml:space="preserve">截至2026年9月11日收市，股价为HKD392.60，较8月28日收盘价HKD424.00回落约7.4%，低于MA5、MA10、MA20、MA50、MA100及MA200；MACD约为-2.94，RSI约21.79，股价接近估算布林带下轨HKD391.5。技术面呈短中期偏弱但接近超卖的状态，HKD389~393为第一支撑区，HKD398~405为均线密集压力区。</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00388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计价货币</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HKD</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公司性质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金融市场基础设施运营商，并非传统制造业或资源企业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核心资产</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交易所、中央结算及清算系统、上市规则与监管能力、交易及清算技术系统、市场数据以及与中国内地市场的互联互通网络</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主要市场地位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通过全资或控股子公司运营香港唯一认可的证券市场及期货市场，并运营香港主要证券及衍生产品清算机构</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海外资产</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拥有英国伦敦金属交易所（LME）及LME Clear等海外资产</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截至日期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上述市场地位及资产信息截至2025年12月31日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2025年集团收入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集团总收入HKD23,745百万；如计入分部投资收益、公司层面投资收益及其他收入，收入及其他收益为HKD29,161百万</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2025年净投资收益</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HKD5,111百万；该收益与保证金、结算基金及公司资金规模和利率环境有关，不完全代表核心交易业务竞争力</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上市规模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截至2025年12月31日共有2,686家上市公司，其中主板2,374家、GEM 312家</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现金市场业务（Cash）：香港股票、ETF、REITs等证券的上市、交易、清算、结算、托管、存管、代理人服务，以及沪港通、深港通相关服务</w:t>
      </w:r>
    </w:p>
    <w:p>
      <w:pPr>
        <w:pStyle w:val="ListParagraph"/>
        <w:numPr>
          <w:ilvl w:val="0"/>
          <w:numId w:val="2"/>
        </w:numPr>
        <w:spacing w:after="80" w:line="280"/>
      </w:pPr>
      <w:r>
        <w:rPr>
          <w:sz w:val="22"/>
          <w:szCs w:val="22"/>
        </w:rPr>
        <w:t xml:space="preserve">股权及金融衍生产品业务：恒生指数、国企指数、恒生科技指数等股指期货及期权、个股期权、窝轮、牛熊证、场外衍生品清算及相关服务</w:t>
      </w:r>
    </w:p>
    <w:p>
      <w:pPr>
        <w:pStyle w:val="ListParagraph"/>
        <w:numPr>
          <w:ilvl w:val="0"/>
          <w:numId w:val="2"/>
        </w:numPr>
        <w:spacing w:after="80" w:line="280"/>
      </w:pPr>
      <w:r>
        <w:rPr>
          <w:sz w:val="22"/>
          <w:szCs w:val="22"/>
        </w:rPr>
        <w:t xml:space="preserve">商品业务：伦敦金属交易所（LME）、LME Clear、前海联合交易中心（QME）及香港期货交易所部分商品合约，覆盖基本金属、黑色金属、商品数据、仓储及清算服务</w:t>
      </w:r>
    </w:p>
    <w:p>
      <w:pPr>
        <w:pStyle w:val="ListParagraph"/>
        <w:numPr>
          <w:ilvl w:val="0"/>
          <w:numId w:val="2"/>
        </w:numPr>
        <w:spacing w:after="80" w:line="280"/>
      </w:pPr>
      <w:r>
        <w:rPr>
          <w:sz w:val="22"/>
          <w:szCs w:val="22"/>
        </w:rPr>
        <w:t xml:space="preserve">数据及连接业务：行情数据、市场数据授权、数据终端、交易网络、数据专线、软件分许可、交易所托管及接入服务</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港交所位于金融市场产业链的核心基础设施及规则平台位置。其价值链不是传统制造业的原材料—加工—销售链条，而是由技术、人才、数据中心、监管及清算资源投入，通过交易撮合、上市及监管、中央清算、结算托管、市场数据和互联互通网络，为上市公司、交易参与者、投资者及数据客户提供市场服务。</w:t>
      </w:r>
    </w:p>
    <w:p>
      <w:pPr>
        <w:pStyle w:val="ListParagraph"/>
        <w:numPr>
          <w:ilvl w:val="0"/>
          <w:numId w:val="2"/>
        </w:numPr>
        <w:spacing w:after="80" w:line="280"/>
      </w:pPr>
      <w:r>
        <w:rPr>
          <w:sz w:val="22"/>
          <w:szCs w:val="22"/>
        </w:rPr>
        <w:t xml:space="preserve">主要投入包括交易、清算、结算和风控系统；服务器、网络、数据中心及网络安全基础设施；交易所场地及办公物业；法律、审计、咨询和技术等外部专业服务。</w:t>
      </w:r>
    </w:p>
    <w:p>
      <w:pPr>
        <w:pStyle w:val="ListParagraph"/>
        <w:numPr>
          <w:ilvl w:val="0"/>
          <w:numId w:val="2"/>
        </w:numPr>
        <w:spacing w:after="80" w:line="280"/>
      </w:pPr>
      <w:r>
        <w:rPr>
          <w:sz w:val="22"/>
          <w:szCs w:val="22"/>
        </w:rPr>
        <w:t xml:space="preserve">核心投入还包括金融市场专业人才，涵盖技术、监管、风险、法律和产品人员。2025年集团员工薪金及相关短期福利约HKD3,309百万，员工股份薪酬约HKD361百万。</w:t>
      </w:r>
    </w:p>
    <w:p>
      <w:pPr>
        <w:pStyle w:val="ListParagraph"/>
        <w:numPr>
          <w:ilvl w:val="0"/>
          <w:numId w:val="2"/>
        </w:numPr>
        <w:spacing w:after="80" w:line="280"/>
      </w:pPr>
      <w:r>
        <w:rPr>
          <w:sz w:val="22"/>
          <w:szCs w:val="22"/>
        </w:rPr>
        <w:t xml:space="preserve">清算和风险管理需要资本、保证金及结算基金体系。该类资源是金融市场基础设施运营的关键投入，但不等同于传统制造企业的存货或生产资料。</w:t>
      </w:r>
    </w:p>
    <w:p>
      <w:pPr>
        <w:pStyle w:val="ListParagraph"/>
        <w:numPr>
          <w:ilvl w:val="0"/>
          <w:numId w:val="2"/>
        </w:numPr>
        <w:spacing w:after="80" w:line="280"/>
      </w:pPr>
      <w:r>
        <w:rPr>
          <w:sz w:val="22"/>
          <w:szCs w:val="22"/>
        </w:rPr>
        <w:t xml:space="preserve">技术及系统供应具有高可靠性和高监管要求，供应商替换成本较高；港交所通过内部技术团队和自研系统降低对单一外部供应商的依赖。</w:t>
      </w:r>
    </w:p>
    <w:p>
      <w:pPr>
        <w:pStyle w:val="ListParagraph"/>
        <w:numPr>
          <w:ilvl w:val="0"/>
          <w:numId w:val="2"/>
        </w:numPr>
        <w:spacing w:after="80" w:line="280"/>
      </w:pPr>
      <w:r>
        <w:rPr>
          <w:sz w:val="22"/>
          <w:szCs w:val="22"/>
        </w:rPr>
        <w:t xml:space="preserve">专业人才具有稀缺性，港交所在人才采购方面处于人才价格接受者与品牌雇主之间的混合状态。</w:t>
      </w:r>
    </w:p>
    <w:p>
      <w:pPr>
        <w:pStyle w:val="ListParagraph"/>
        <w:numPr>
          <w:ilvl w:val="0"/>
          <w:numId w:val="2"/>
        </w:numPr>
        <w:spacing w:after="80" w:line="280"/>
      </w:pPr>
      <w:r>
        <w:rPr>
          <w:sz w:val="22"/>
          <w:szCs w:val="22"/>
        </w:rPr>
        <w:t xml:space="preserve">电力、数据中心、通信网络和办公设施方面，港交所通常不是完全意义上的价格制定者，但规模、长期合同和关键基础设施属性可以提高采购议价能力。</w:t>
      </w:r>
    </w:p>
    <w:p>
      <w:pPr>
        <w:pStyle w:val="ListParagraph"/>
        <w:numPr>
          <w:ilvl w:val="0"/>
          <w:numId w:val="2"/>
        </w:numPr>
        <w:spacing w:after="80" w:line="280"/>
      </w:pPr>
      <w:r>
        <w:rPr>
          <w:sz w:val="22"/>
          <w:szCs w:val="22"/>
        </w:rPr>
        <w:t xml:space="preserve">港交所的核心资源还包括香港唯一认可证券及期货市场的制度与牌照壁垒、Stock Connect互联互通网络、上市及融资平台、LME全球金属定价与清算网络，以及HKEX Orion等交易及清算技术。</w:t>
      </w:r>
    </w:p>
    <w:p>
      <w:pPr>
        <w:pStyle w:val="ListParagraph"/>
        <w:numPr>
          <w:ilvl w:val="0"/>
          <w:numId w:val="2"/>
        </w:numPr>
        <w:spacing w:after="80" w:line="280"/>
      </w:pPr>
      <w:r>
        <w:rPr>
          <w:sz w:val="22"/>
          <w:szCs w:val="22"/>
        </w:rPr>
        <w:t xml:space="preserve">主要客户包括上市申请人及已上市公司、证券及期货交易参与者、清算参与者、境内外投资者，以及信息供应商、数据终端客户和技术服务客户。</w:t>
      </w:r>
    </w:p>
    <w:p>
      <w:pPr>
        <w:pStyle w:val="ListParagraph"/>
        <w:numPr>
          <w:ilvl w:val="0"/>
          <w:numId w:val="2"/>
        </w:numPr>
        <w:spacing w:after="80" w:line="280"/>
      </w:pPr>
      <w:r>
        <w:rPr>
          <w:sz w:val="22"/>
          <w:szCs w:val="22"/>
        </w:rPr>
        <w:t xml:space="preserve">香港本地证券交易和清算服务具有较强制度性及网络性议价能力，交易参与者需要接入香港主要交易及清算基础设施。</w:t>
      </w:r>
    </w:p>
    <w:p>
      <w:pPr>
        <w:pStyle w:val="ListParagraph"/>
        <w:numPr>
          <w:ilvl w:val="0"/>
          <w:numId w:val="2"/>
        </w:numPr>
        <w:spacing w:after="80" w:line="280"/>
      </w:pPr>
      <w:r>
        <w:rPr>
          <w:sz w:val="22"/>
          <w:szCs w:val="22"/>
        </w:rPr>
        <w:t xml:space="preserve">上市业务面临新加坡、美国、英国及内地交易所等市场的上市资源竞争，需要在上市效率、监管制度、估值水平、国际投资者覆盖及中国企业融资需求之间保持平衡。</w:t>
      </w:r>
    </w:p>
    <w:p>
      <w:pPr>
        <w:pStyle w:val="ListParagraph"/>
        <w:numPr>
          <w:ilvl w:val="0"/>
          <w:numId w:val="2"/>
        </w:numPr>
        <w:spacing w:after="80" w:line="280"/>
      </w:pPr>
      <w:r>
        <w:rPr>
          <w:sz w:val="22"/>
          <w:szCs w:val="22"/>
        </w:rPr>
        <w:t xml:space="preserve">市场数据业务拥有专有行情和订单数据，但客户可以比较不同交易所和数据供应商，因此数据定价并非完全没有竞争。</w:t>
      </w:r>
    </w:p>
    <w:p>
      <w:pPr>
        <w:pStyle w:val="ListParagraph"/>
        <w:numPr>
          <w:ilvl w:val="0"/>
          <w:numId w:val="2"/>
        </w:numPr>
        <w:spacing w:after="80" w:line="280"/>
      </w:pPr>
      <w:r>
        <w:rPr>
          <w:sz w:val="22"/>
          <w:szCs w:val="22"/>
        </w:rPr>
        <w:t xml:space="preserve">衍生产品业务需要通过产品设计、交易费率、回扣和流动性激励吸引做市商、机构投资者及对冲基金，议价能力取决于具体产品流动性和替代品数量。</w:t>
      </w:r>
    </w:p>
    <w:p>
      <w:pPr>
        <w:pStyle w:val="ListParagraph"/>
        <w:numPr>
          <w:ilvl w:val="0"/>
          <w:numId w:val="2"/>
        </w:numPr>
        <w:spacing w:after="80" w:line="280"/>
      </w:pPr>
      <w:r>
        <w:rPr>
          <w:sz w:val="22"/>
          <w:szCs w:val="22"/>
        </w:rPr>
        <w:t xml:space="preserve">交易所行业的核心竞争来自流动性网络效应、监管及清算壁垒、上市地竞争、衍生品流动性竞争，以及市场数据和技术服务的全球化竞争。</w:t>
      </w:r>
    </w:p>
    <w:p>
      <w:pPr>
        <w:pStyle w:val="ListParagraph"/>
        <w:numPr>
          <w:ilvl w:val="0"/>
          <w:numId w:val="2"/>
        </w:numPr>
        <w:spacing w:after="80" w:line="280"/>
      </w:pPr>
      <w:r>
        <w:rPr>
          <w:sz w:val="22"/>
          <w:szCs w:val="22"/>
        </w:rPr>
        <w:t xml:space="preserve">2025年南向交易全年交易额约HKD28.695万亿元，平均每日成交额约HKD121.1十亿，占香港现金市场总成交量约23%；北向交易全年交易额约人民币50.333万亿元，体现Stock Connect对下游资金流的重要性。</w:t>
      </w:r>
    </w:p>
    <w:p>
      <w:pPr>
        <w:pStyle w:val="ListParagraph"/>
        <w:numPr>
          <w:ilvl w:val="0"/>
          <w:numId w:val="2"/>
        </w:numPr>
        <w:spacing w:after="80" w:line="280"/>
      </w:pPr>
      <w:r>
        <w:rPr>
          <w:sz w:val="22"/>
          <w:szCs w:val="22"/>
        </w:rPr>
        <w:t xml:space="preserve">2025年共有99家交易所参与者使用港交所托管服务，这些参与者合计占现金市场成交额约73%、衍生产品市场交易量约70%。</w:t>
      </w:r>
    </w:p>
    <w:p>
      <w:pPr>
        <w:pStyle w:val="ListParagraph"/>
        <w:numPr>
          <w:ilvl w:val="0"/>
          <w:numId w:val="2"/>
        </w:numPr>
        <w:spacing w:after="80" w:line="280"/>
      </w:pPr>
      <w:r>
        <w:rPr>
          <w:sz w:val="22"/>
          <w:szCs w:val="22"/>
        </w:rPr>
        <w:t xml:space="preserve">截至2025年12月31日，集团“应收账款、预付款及按金”合计HKD68,691百万，其中CNS货币责任应收款约HKD43,088百万、由中国结算持有的结算储备基金及结算保证基金约HKD20,867百万、交易征费、印花税及费用应收款约HKD1,479百万，其他应收、预付款及按金约HKD2,085百万，应收账款减值拨备约HKD54百万。CNS货币责任通常在交易日后两日内到期，费用应收款通常即时到期或在60日内到期，大部分其他应收、预付款及按金在三个月内到期；受预期信用损失拨备影响的应收账款总额为HKD466百万，相关拨备为HKD54百万，其余约HKD67,266百万应收款及其他按金的预期信用损失被评估为最低。上述数据表明港交所主要承担结算及清算体系带来的大额资金流转和风险管理压力，而非传统企业的存货积压或长期商业赊销风险；研究纪要未提供应收账款周转天数、应收账款占营收或净利润比例。</w:t>
      </w:r>
    </w:p>
    <w:p>
      <w:pPr>
        <w:pStyle w:val="ListParagraph"/>
        <w:numPr>
          <w:ilvl w:val="0"/>
          <w:numId w:val="2"/>
        </w:numPr>
        <w:spacing w:after="80" w:line="280"/>
      </w:pPr>
      <w:r>
        <w:rPr>
          <w:sz w:val="22"/>
          <w:szCs w:val="22"/>
        </w:rPr>
        <w:t xml:space="preserve">截至2025年年报期末，集团最大单一客户贡献收入低于集团总收入的10%。年报未披露交易参与者、发行人、数据客户等各类客户的前五大客户收入占比，因此不能据此推断各分部不存在客户集中风险；前五大客户集中度数据缺失，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研究纪要未提供集团2024年毛利率或净利率；仅披露部分分部收入基数，无法据此计算集团口径利润率。</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研究纪要未提供集团2025年毛利率或净利率。核心分部收入受现金市场成交额、Stock Connect交易、上市活动、衍生品及LME交易量回升推动；同时HKD5,111百万净投资收益放大利润，但该收益不完全代表核心交易业务竞争力。</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多年趋势说明</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数据不足</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数据不足</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研究纪要仅提供2024年和2025年部分分部收入及2025年分部EBITDA利润率，未提供满足3至5个年度要求的集团毛利率、净利率序列，因此无法形成完整多年趋势表。</w:t>
            </w:r>
          </w:p>
        </w:tc>
      </w:tr>
    </w:tbl>
    <w:p>
      <w:pPr>
        <w:spacing w:before="200"/>
      </w:pPr>
    </w:p>
    <w:p>
      <w:pPr>
        <w:spacing w:after="160" w:line="300"/>
      </w:pPr>
      <w:r>
        <w:rPr>
          <w:sz w:val="22"/>
          <w:szCs w:val="22"/>
        </w:rPr>
        <w:t xml:space="preserve">港交所处于金融市场产业链的核心基础设施及规则平台位置，属于高壁垒、轻资产、强网络效应的中上游平台型企业，利润率主要受规模效应影响。进一步改善利润的关键在于交易量和Stock Connect资金流增长、香港IPO及再融资市场恢复、衍生品流动性提升、LME金属交易量和市场数据收入增长，以及数据、连接、固定收益和场外衍生品等相邻业务扩张；短期提价空间则受到费率、回扣、系统投资、监管要求和全球交易所竞争的约束。</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截至2026年6月30日止六个月（2026年上半年）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收入及其他收益167.02亿港元；核心业务收入154.74亿港元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收入及其他收益同比上升19%；核心业务收入同比上升19%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股东应占溢利105.68亿港元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同比上升24%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截至2025年12月31日止年度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收入及其他收益291.61亿港元；核心业务收入271.03亿港元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收入及其他收益同比上升30.3%；核心业务收入同比上升约31.8%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股东应占溢利177.54亿港元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同比上升36.0%</w:t>
            </w:r>
          </w:p>
        </w:tc>
      </w:tr>
    </w:tbl>
    <w:p>
      <w:pPr>
        <w:spacing w:after="200"/>
      </w:pPr>
      <w:r>
        <w:rPr>
          <w:i/>
          <w:iCs/>
          <w:color w:val="595959"/>
          <w:sz w:val="18"/>
          <w:szCs w:val="18"/>
        </w:rPr>
        <w:t xml:space="preserve">金额单位均为港元。最新一期已披露财报为截至2026年6月30日止六个月的中期业绩，公告发布日期为2026年8月19日。2026年第二季度收入及其他收益84.99亿港元，同比上升18%，较第一季度上升4%；股东应占溢利53.80亿港元，同比上升21%，较第一季度上升4%。</w:t>
      </w:r>
    </w:p>
    <w:p>
      <w:pPr>
        <w:spacing w:after="160" w:line="300"/>
      </w:pPr>
      <w:r>
        <w:rPr>
          <w:sz w:val="22"/>
          <w:szCs w:val="22"/>
        </w:rPr>
        <w:t xml:space="preserve">港交所2026年上半年收入及其他收益、股东应占溢利均创半年度新高，主要受现货、衍生产品、互联互通及商品市场成交活跃带动。上半年EBITDA为134.11亿港元，同比增长23%，EBITDA利润率为81%；基本每股盈利8.36港元，同比增长24%，中期股息为每股7.43港元，同比增长24%。2025年全年高增长主要受市场成交额恢复及现货、衍生产品和商品市场成交改善推动。2026年第二季度公司资金投资净收益为6.42亿港元，同比增长22%，其中包含约2.90亿港元的非经常性未上市股权投资估值收益，持续性需谨慎看待。</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经济通综合预测来自截至近期收集的13份券商报告，并非港交所官方指引；部分券商仅披露2026年预测，2027年至2028年数据覆盖机构数量相对较少。StockAnalysis的2026年收入预测引用S&amp;P Global Market Intelligence数据，截至2026年8月24日，但其页面未完整显示2027年及2028年收入数值。国信证券为单一券商预测，不能等同于多机构共识。不同来源对收入、净利润及EPS的定义和调整口径可能不同，尤其StockAnalysis采用非GAAP调整后EPS。</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经济通综合收入预测未完整披露；StockAnalysis引用S&amp;P Global Market Intelligence数据的平均预测为323.7亿港元，区间为313.7亿至337.0亿港元；国信证券预测318.86亿港元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经济通13份券商报告综合平均值187.69亿港元，区间179.10亿至200.88亿港元；国信证券预测199.84亿港元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经济通综合预测未单独列示该年度同比增速；按2025年至2028年综合预测计算的净利润隐含年复合增长率约5.7%</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经济通综合平均值14.81港元，区间14.10至15.85港元；国信证券预测15.76港元；StockAnalysis调整后EPS预测16.06港元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多机构收入预测数据缺失；国信证券预测343.02亿港元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经济通综合平均值199.87亿港元，区间170.50亿至210.31亿港元；国信证券预测214.28亿港元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经济通综合预测未单独列示该年度同比增速；市场预期未来盈利增长主要回归中个位数</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经济通综合平均值15.77港元，区间13.41至16.52港元；国信证券预测16.90港元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多机构收入预测数据缺失；国信证券预测376.04亿港元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经济通综合平均值209.61亿港元，区间183.99亿至225.70亿港元；国信证券预测234.40亿港元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按2025年至2028年综合预测计算的净利润隐含年复合增长率约5.7%；相较2025年利润增长36.0%，市场预期增长明显放缓</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经济通综合平均值16.51港元，区间14.11至17.90港元；国信证券预测18.49港元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经济通综合评级（13份券商报告）</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偏向买入；买入12份，持有1份，强烈买入、沽出及强烈沽出均为0份</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截至近期</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综合评级数值为2.08</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StockAnalysis引用S&amp;P Global Market Intelligence（19位分析师）</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Strong Buy</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截至2026年8月24日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平均目标价513.12港元；中位数515港元；区间420至620港元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大华继显</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日期未披露</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目标价556港元；2026年净利润预测193.64亿港元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高盛</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日期未披露</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目标价540港元；2026年净利润预测197.63亿港元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汇丰</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日期未披露</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目标价528港元；2026年净利润预测185.01亿港元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日期未披露</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目标价520港元；2026年净利润预测195.96亿港元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日期未披露</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目标价515港元；2026年净利润预测186.02亿港元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富瑞</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日期未披露</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目标价513港元；2026年净利润预测185.79亿港元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摩根士丹利</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日期未披露</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目标价510港元；2026年净利润预测179.48亿港元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摩根大通</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日期未披露</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目标价510港元；2026年净利润预测187.69亿港元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中信里昂</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优于大市</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日期未披露</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目标价500港元；2026年净利润预测191.20亿港元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第一上海</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日期未披露</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目标价500港元；2026年净利润预测179.10亿港元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美银</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日期未披露</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目标价500港元；2026年净利润预测186.89亿港元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花旗</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日期未披露</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目标价495港元；2026年净利润预测200.88亿港元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瑞银</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中性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日期未披露</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目标价436港元；2026年净利润预测194.05亿港元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评级未披露</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截至2026年8月24日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目标价527.39港元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评级未披露</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截至2026年8月24日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目标价542港元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评级未披露</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截至2026年8月24日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目标价525港元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CGS International</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评级未披露</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截至2026年8月24日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目标价由610港元上调至620港元</w:t>
            </w:r>
          </w:p>
        </w:tc>
      </w:tr>
    </w:tbl>
    <w:p>
      <w:pPr>
        <w:spacing w:before="200"/>
      </w:pPr>
    </w:p>
    <w:p>
      <w:pPr>
        <w:spacing w:after="160" w:line="300"/>
      </w:pPr>
      <w:r>
        <w:rPr>
          <w:sz w:val="22"/>
          <w:szCs w:val="22"/>
        </w:rPr>
        <w:t xml:space="preserve">截至2026年8月31日，参考股价约423.80港元，前一交易日收市价424.00港元，总市值约5,349.20亿港元，52周价格区间约360.00至460.20港元，TTM EPS约15.63港元。以423.80港元股价计算，TTM市盈率约27.1倍，市净率约9.2倍；按经济通综合EPS预测，2026年、2027年及2028年预测市盈率分别约28.6倍、26.9倍及25.7倍。StockAnalysis调整后EPS为16.06港元，对应2026年预测市盈率约26.4倍，但该口径为非GAAP调整后数据，不应与港交所法定基本EPS或经济通综合预测直接混用。以423.80港元为参考价，综合平均目标价513.12港元对应隐含上涨空间约21.1%；目标价低端420港元较参考价低约0.9%，高端620港元对应隐含上涨空间约46.3%。当前估值已反映较强的盈利质量、市场基础设施地位及未来成交增长预期，并非传统金融股低估值水平。主要风险包括港股成交额能否维持高位、IPO市场活跃度、南北向资金流量、利率及公司资金投资收益波动、LME业务表现，以及高估值对盈利下修的敏感度。</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2025年全年业绩：股东应占溢利177.54亿港元，同比增36%</w:t>
      </w:r>
    </w:p>
    <w:p>
      <w:pPr>
        <w:spacing w:after="160" w:line="300"/>
      </w:pPr>
      <w:r>
        <w:rPr>
          <w:sz w:val="22"/>
          <w:szCs w:val="22"/>
        </w:rPr>
        <w:t xml:space="preserve">港交所（00388.HK）于2026-02-26公布2025年全年业绩。收入及其他收益291.61亿港元（约HK$29.161bn），同比+30%，其中主要业务收入+32%至271.03亿港元；股东应占溢利177.54亿港元，同比+36%，公司称连续第二年创历史新高；基本每股盈利14.05港元。EBITDA 227.96亿港元，同比+40%，EBITDA利润率79%（+5pct）。第四季收入及其他收益73.1亿港元（+15%），股东应占溢利43.35亿港元（+15%）。公司资金投资收益净额18.70亿港元（+7%），含非上市股本投资估值非经常性收益1.67亿港元（2024年为亏损6,200万）。业务亮点：现货日均成交额同比+93%（2025年全年ADT约2,498亿港元，+90%）；沪深港通北向ADT +42%、南向+151%；全年119只新股、募资2,869亿港元、同比+226%、全球第一；再融资总额5,146亿港元（2024年两倍多）。数据质量提示：格隆汇/jrj某篇标题写“股东应占溢利增长40%至177.54亿港元”，正文却为+36%——40%实为EBITDA增幅，标题有误，已以正文36%为准；某东吴证券转述稿把营收写成“29.16亿港元”“归母净利润17.75亿港元”（漏了数量级，应为291.61亿/177.54亿），该条不可采信。来源为AASTOCKS、财华社、智通财经、证券之星等二手汇总来源，具体数字请以港交所披露易原文为准。</w:t>
      </w:r>
    </w:p>
    <w:p>
      <w:pPr>
        <w:pStyle w:val="Heading2"/>
        <w:spacing w:after="120" w:before="240"/>
      </w:pPr>
      <w:r>
        <w:rPr>
          <w:b/>
          <w:bCs/>
          <w:color w:val="2E74B5"/>
          <w:sz w:val="24"/>
          <w:szCs w:val="24"/>
        </w:rPr>
        <w:t xml:space="preserve">4.2 2026年中期业绩：归属股东应占溢利105.7亿港元，同比增24.05%（单源，待核实）</w:t>
      </w:r>
    </w:p>
    <w:p>
      <w:pPr>
        <w:spacing w:after="160" w:line="300"/>
      </w:pPr>
      <w:r>
        <w:rPr>
          <w:sz w:val="22"/>
          <w:szCs w:val="22"/>
        </w:rPr>
        <w:t xml:space="preserve">据东方财富标注，港交所（00388.HK）2026年中期业绩公布日为2026-08-19。归属股东应占溢利105.7亿港元，同比+24.05%；基本每股收益8.36港元。同时宣布中期股息每股7.43港元，除权除息日2026-09-01，派息日2026-09-15。该条信息仅见东方财富一处（单源），未能用第二来源交叉核实日期与金额，谨慎采信。来源：https://emweb.securities.eastmoney.com/PC_HKF10/pages/home/index.html?code=00388。</w:t>
      </w:r>
    </w:p>
    <w:p>
      <w:pPr>
        <w:pStyle w:val="Heading2"/>
        <w:spacing w:after="120" w:before="240"/>
      </w:pPr>
      <w:r>
        <w:rPr>
          <w:b/>
          <w:bCs/>
          <w:color w:val="2E74B5"/>
          <w:sz w:val="24"/>
          <w:szCs w:val="24"/>
        </w:rPr>
        <w:t xml:space="preserve">4.3 股息分派：FY2025全年股息每股12.52港元（+35%），派息比率维持90%</w:t>
      </w:r>
    </w:p>
    <w:p>
      <w:pPr>
        <w:spacing w:after="160" w:line="300"/>
      </w:pPr>
      <w:r>
        <w:rPr>
          <w:sz w:val="22"/>
          <w:szCs w:val="22"/>
        </w:rPr>
        <w:t xml:space="preserve">港交所（00388.HK）FY2025全年股息每股12.52港元，同比+35%，派息比率维持90%。构成：第一次中期股息每股6.00港元（2025年9月派付）+ 第二次中期股息每股6.52港元（2026-02-26宣派，除净日2026-03-11，派发日2026-03-25）。总派息金额约158.25亿港元。FY2024对照：第二次中期股息每股4.90港元（2025-02-27宣派，除净日2025-03-12，派发日2025-03-26）；全年9.26港元。命名口径提示：港交所正式公告将2月末宣派的那笔称为“第二次中期股息/Second Interim Dividend”；而部分数据商（etnet）把2025年8月宣派的那笔标为“第二次中期息”、把2026年2月那笔标为“末期息”。命名口径不一致，但对股东而言金额与派付日期清楚（6.00+6.52=12.52）。来源为港交所集团官网股息公告PDF、etnet派息表、新浪财经等多源。</w:t>
      </w:r>
    </w:p>
    <w:p>
      <w:pPr>
        <w:pStyle w:val="Heading2"/>
        <w:spacing w:after="120" w:before="240"/>
      </w:pPr>
      <w:r>
        <w:rPr>
          <w:b/>
          <w:bCs/>
          <w:color w:val="2E74B5"/>
          <w:sz w:val="24"/>
          <w:szCs w:val="24"/>
        </w:rPr>
        <w:t xml:space="preserve">4.4 2026年中期股息：每股7.43港元，除权除息日2026-09-01，派息日2026-09-15（单源）</w:t>
      </w:r>
    </w:p>
    <w:p>
      <w:pPr>
        <w:spacing w:after="160" w:line="300"/>
      </w:pPr>
      <w:r>
        <w:rPr>
          <w:sz w:val="22"/>
          <w:szCs w:val="22"/>
        </w:rPr>
        <w:t xml:space="preserve">港交所（00388.HK）随2026年中期业绩宣布中期股息每股7.43港元，除权除息日2026-09-01，派息日2026-09-15。该条信息仅见东方财富一处（单源），未能用第二来源交叉核实，谨慎采信。来源：https://emweb.securities.eastmoney.com/PC_HKF10/pages/home/index.html?code=00388。</w:t>
      </w:r>
    </w:p>
    <w:p>
      <w:pPr>
        <w:pStyle w:val="Heading2"/>
        <w:spacing w:after="120" w:before="240"/>
      </w:pPr>
      <w:r>
        <w:rPr>
          <w:b/>
          <w:bCs/>
          <w:color w:val="2E74B5"/>
          <w:sz w:val="24"/>
          <w:szCs w:val="24"/>
        </w:rPr>
        <w:t xml:space="preserve">4.5 股份回购：检索窗口内未发现实际执行回购公告</w:t>
      </w:r>
    </w:p>
    <w:p>
      <w:pPr>
        <w:spacing w:after="160" w:line="300"/>
      </w:pPr>
      <w:r>
        <w:rPr>
          <w:sz w:val="22"/>
          <w:szCs w:val="22"/>
        </w:rPr>
        <w:t xml:space="preserve">在本次检索窗口（2025年11月—2026年9月）内，未发现港交所（00388）实际执行股份回购的公告。仅有：2025-03-19《股东周年大会通告》载有“购回股份及发行股份的一般性授权”（例行的回购授权议案，非实际回购）。来源：同花顺公告索引。检索中出现的“单日回购超4亿元”“累计回购A股1.6亿股、H股716万股”等，均属其他公司（江波龙A股等），与00388无关，勿混淆。</w:t>
      </w:r>
    </w:p>
    <w:p>
      <w:pPr>
        <w:pStyle w:val="Heading2"/>
        <w:spacing w:after="120" w:before="240"/>
      </w:pPr>
      <w:r>
        <w:rPr>
          <w:b/>
          <w:bCs/>
          <w:color w:val="2E74B5"/>
          <w:sz w:val="24"/>
          <w:szCs w:val="24"/>
        </w:rPr>
        <w:t xml:space="preserve">4.6 股东动态：摩根大通（JPMorgan）增减持（单源）</w:t>
      </w:r>
    </w:p>
    <w:p>
      <w:pPr>
        <w:spacing w:after="160" w:line="300"/>
      </w:pPr>
      <w:r>
        <w:rPr>
          <w:sz w:val="22"/>
          <w:szCs w:val="22"/>
        </w:rPr>
        <w:t xml:space="preserve">摩根大通（JPMorgan）对港交所（00388.HK）的持仓变动：2026-08-19，增持77.58万股，场内均价413.2018港元／场外均价412.7496港元，最新持股1.016亿股，持股比例8.01%。2026-06-12，减持163.9万股，场内均价379.6658港元／场外均价379.9011港元。来源仅东方财富“大事提醒”一处（单源）；JPMorgan持仓变动为披露权益（HKEX Disclosure of Interests）口径，建议以披露易DI原文核对。来源：https://emweb.securities.eastmoney.com/PC_HKF10/pages/home/index.html?code=00388。</w:t>
      </w:r>
    </w:p>
    <w:p>
      <w:pPr>
        <w:pStyle w:val="Heading2"/>
        <w:spacing w:after="120" w:before="240"/>
      </w:pPr>
      <w:r>
        <w:rPr>
          <w:b/>
          <w:bCs/>
          <w:color w:val="2E74B5"/>
          <w:sz w:val="24"/>
          <w:szCs w:val="24"/>
        </w:rPr>
        <w:t xml:space="preserve">4.7 监管／政策：推出“科企专线”，允许特专科技及生物科技公司保密提交上市申请</w:t>
      </w:r>
    </w:p>
    <w:p>
      <w:pPr>
        <w:spacing w:after="160" w:line="300"/>
      </w:pPr>
      <w:r>
        <w:rPr>
          <w:sz w:val="22"/>
          <w:szCs w:val="22"/>
        </w:rPr>
        <w:t xml:space="preserve">2025-05-06，港交所与证监会发出联合公告，正式推出“科企专线”，允许特专科技及生物科技公司以保密形式提交上市申请。截至2026年2月业绩会，陈翊庭称已有超过100家排队企业来自18A/18C章节。2026年2月港交所“据报研扩大以保密形式申请IPO的适用范围”。来源：新浪财经、etnet 13/02/2026消息。</w:t>
      </w:r>
    </w:p>
    <w:p>
      <w:pPr>
        <w:pStyle w:val="Heading2"/>
        <w:spacing w:after="120" w:before="240"/>
      </w:pPr>
      <w:r>
        <w:rPr>
          <w:b/>
          <w:bCs/>
          <w:color w:val="2E74B5"/>
          <w:sz w:val="24"/>
          <w:szCs w:val="24"/>
        </w:rPr>
        <w:t xml:space="preserve">4.8 市场数据：2026年初香港ADT约2,600亿港元，活跃上市申请超400宗</w:t>
      </w:r>
    </w:p>
    <w:p>
      <w:pPr>
        <w:spacing w:after="160" w:line="300"/>
      </w:pPr>
      <w:r>
        <w:rPr>
          <w:sz w:val="22"/>
          <w:szCs w:val="22"/>
        </w:rPr>
        <w:t xml:space="preserve">2026年初市场数据：2026年1月内地+香港市场合计交易量约占亚太区75%（业绩会）；2月底证券市场市价总值同比+28%（etnet 05/03/2026）；JPMorgan报告称2026年初至今香港ADT约2,600亿港元；2026年进入后活跃上市申请超过400宗（vs 2025Q3的297宗）。来源：https://www.aastocks.com/sc/mobile/news.aspx?newsid=now.1505127。</w:t>
      </w:r>
    </w:p>
    <w:p>
      <w:pPr>
        <w:pStyle w:val="Heading2"/>
        <w:spacing w:after="120" w:before="240"/>
      </w:pPr>
      <w:r>
        <w:rPr>
          <w:b/>
          <w:bCs/>
          <w:color w:val="2E74B5"/>
          <w:sz w:val="24"/>
          <w:szCs w:val="24"/>
        </w:rPr>
        <w:t xml:space="preserve">4.9 监管人事／合规事件：证监会冻结港交所前职员相关资产等</w:t>
      </w:r>
    </w:p>
    <w:p>
      <w:pPr>
        <w:spacing w:after="160" w:line="300"/>
      </w:pPr>
      <w:r>
        <w:rPr>
          <w:sz w:val="22"/>
          <w:szCs w:val="22"/>
        </w:rPr>
        <w:t xml:space="preserve">监管人事／合规事件：2026-02-24/25，证监会称获颁强制令，冻结港交所前上市科助理副总裁相关资产；前职员及其姻亲被指涉内幕交易，港交所回应“持续检视”。来源：etnet（10/03/2026更新页）。2026-02-12，委任马鸿嘉为董事总经理及中东地区首席代表（中东布局）。2026-02-27，港交所欢迎港府再度委任陈健波及车品觉为董事，并委任新董事。2026-03-09，启动旗舰“照顾者关怀计划”（ESG/社区类，非重大财务事项）。</w:t>
      </w:r>
    </w:p>
    <w:p>
      <w:pPr>
        <w:pStyle w:val="Heading2"/>
        <w:spacing w:after="120" w:before="240"/>
      </w:pPr>
      <w:r>
        <w:rPr>
          <w:b/>
          <w:bCs/>
          <w:color w:val="2E74B5"/>
          <w:sz w:val="24"/>
          <w:szCs w:val="24"/>
        </w:rPr>
        <w:t xml:space="preserve">4.10 战略举措：“科企专线”、LME认可交割仓库在港启用、推出香港交易所科技100指数</w:t>
      </w:r>
    </w:p>
    <w:p>
      <w:pPr>
        <w:spacing w:after="160" w:line="300"/>
      </w:pPr>
      <w:r>
        <w:rPr>
          <w:sz w:val="22"/>
          <w:szCs w:val="22"/>
        </w:rPr>
        <w:t xml:space="preserve">政策面战略举措：2025年“科企专线”、LME认可交割仓库在港启用、推出“香港交易所科技100指数”等（见证券之星公告摘要）。</w:t>
      </w:r>
    </w:p>
    <w:p>
      <w:pPr>
        <w:pStyle w:val="Heading2"/>
        <w:spacing w:after="120" w:before="240"/>
      </w:pPr>
      <w:r>
        <w:rPr>
          <w:b/>
          <w:bCs/>
          <w:color w:val="2E74B5"/>
          <w:sz w:val="24"/>
          <w:szCs w:val="24"/>
        </w:rPr>
        <w:t xml:space="preserve">4.11 并购／战略投资：战略入股迅清结算控股，最多4.55亿港元取得20%股权</w:t>
      </w:r>
    </w:p>
    <w:p>
      <w:pPr>
        <w:spacing w:after="160" w:line="300"/>
      </w:pPr>
      <w:r>
        <w:rPr>
          <w:sz w:val="22"/>
          <w:szCs w:val="22"/>
        </w:rPr>
        <w:t xml:space="preserve">2025-11-12，港交所战略入股“迅清结算控股”（FIC/债务工具中央结算系统CMU相关）。港交所将以认购新股方式，最多4.55亿港元取得迅清结算控股20%股权；外汇基金（HKMA管理）持80%，港交所持20%。迅清结算控股由外汇基金于2025年10月设立，全资拥有迅清结算有限公司（营运CMU）。签约仪式2025-11-12举行。港交所首席营运总监刘碧茵称以自有资金入股，不影响派息政策；金管局副总裁李达志称对是否引入其他策略投资者持开放态度。来源多源一致：AASTOCKS、证券之星、智通财经/investing。</w:t>
      </w:r>
    </w:p>
    <w:p>
      <w:pPr>
        <w:pStyle w:val="Heading2"/>
        <w:spacing w:after="120" w:before="240"/>
      </w:pPr>
      <w:r>
        <w:rPr>
          <w:b/>
          <w:bCs/>
          <w:color w:val="2E74B5"/>
          <w:sz w:val="24"/>
          <w:szCs w:val="24"/>
        </w:rPr>
        <w:t xml:space="preserve">4.12 诉讼／法律事项：Elliott就LME镍事件提交新竞争法申索，尚未完成送达</w:t>
      </w:r>
    </w:p>
    <w:p>
      <w:pPr>
        <w:spacing w:after="160" w:line="300"/>
      </w:pPr>
      <w:r>
        <w:rPr>
          <w:sz w:val="22"/>
          <w:szCs w:val="22"/>
        </w:rPr>
        <w:t xml:space="preserve">港交所（00388.HK）涉及诉讼／法律事项：Elliott就LME镍事件提交新竞争法申索，尚未完成送达（研究纪要原文在此处中断）。来源：https://finance.jrj.com.cn/2026/09/09141658397085.shtml。</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股票识别</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香港交易及结算所有限公司（HKEX），港股代码00388；另有人民币柜台代码80388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HKD 392.60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下跌HKD 4.40，跌幅1.11%（港股惯例为红涨绿跌）</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日内区间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开盘HKD 391.00；最高HKD 394.20；最低HKD 389.00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3,725,507股，约372.6万股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约HKD 14.62亿</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单周表现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9月4日收于HKD 408.80，至9月11日约下跌3.96%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两周表现</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以8月28日收盘价HKD 424.00计算，至9月11日约回落7.4%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约HKD 5018亿；经济通盘中数据约HKD 4959.8亿，存在更新时间和股价时点差异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约25.4倍；经济通同一交易日盘中曾显示约27.8倍，存在口径和更新时间差异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约12.6亿股；换手率估算采用约12.68亿股已发行股份</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不同来源存在差异：经济通为HKD 352.57~446.25；StockAnalysis为HKD 360.00~460.20；Webull约为HKD 353.709~445.082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收盘价HKD 392.60处于52周区间中部偏下，较不同来源52周高点低约11.8%至14.7%，较52周低点高约9%至11%；差异可能来自复权、更新时间及盘中/收市口径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 / 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约HKD 393.80 / HKD 395.94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收盘价低于短期均线；若重新站回约HKD 394~399区域，可能出现技术性修复；不同来源因更新时间不同，均线数值存在差异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 / MA50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约HKD 398.72 / HKD 402.79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收盘价低于中短期均线，HKD 398~405附近构成重要均线密集压力区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MA100 / MA200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约HKD 411.33 / HKD 409.55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收盘价低于中长期均线，整体趋势仍偏弱；HKD 410~412附近为进一步修复观察区域</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约-2.94；技术信号为卖出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MACD位于零轴下方，短线动能偏弱；但负值本身不能单独判断未来必然继续下跌</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约21.79；其他数据源约29.7或30.5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已进入或接近超卖区域，短线存在反弹或震荡修复可能，但不代表下跌趋势已经结束</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根据近20个交易日收盘价估算：中轨约HKD 410.5，上轨约HKD 429.5，下轨约HKD 391.5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收盘价接近测算下轨，处于相对弱势区间，同时技术性反弹概率有所上升；该数据可能受复权价格、盘中数据及标准差口径影响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成交量与成交额</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9月11日成交量约372.6万股，成交额约HKD 14.62亿；近几个交易日成交量约174万~530万股，日成交额约HKD 7亿~22亿</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9月11日成交额处于近期正常区间偏上，但未达到9月1日、9月4日等明显放量水平；价格下跌同时成交放大，短线仍有抛压</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卖空交易</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9月11日卖空股数712,900股，卖空金额约HKD 2.79亿，占股票成交金额19.117%；9月7日至11日分别约为6.22%、17.23%、14.23%、24.03%、19.12%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9月10日至11日卖空成交占比明显高于9月7日，反映对冲或看淡交易较活跃；但不能将卖空金额直接等同于主力资金净流出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按约12.68亿股已发行股份估算，9月11日单日换手率约0.29%</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整体换手率不高，需结合成交额、卖空占比及价格方向判断资金参与程度</w:t>
            </w:r>
          </w:p>
        </w:tc>
      </w:tr>
    </w:tbl>
    <w:p>
      <w:pPr>
        <w:spacing w:before="200"/>
      </w:pPr>
    </w:p>
    <w:p>
      <w:pPr>
        <w:spacing w:after="160" w:line="300"/>
      </w:pPr>
      <w:r>
        <w:rPr>
          <w:sz w:val="22"/>
          <w:szCs w:val="22"/>
        </w:rPr>
        <w:t xml:space="preserve">截至2026年9月11日收市，00388收报HKD 392.60，已连续多个交易日回落，股价低于MA5、MA10、MA20、MA50、MA100及MA200，短中期均线系统偏空。MACD约为-2.94并位于零轴下方，技术动能偏弱；RSI约21.79，已进入超卖区域，意味着短线存在技术性反弹或震荡修复可能，但并不等同于趋势反转。股价接近估算布林带下轨HKD 391.5，第一支撑关注HKD 389~393；若支撑失守，需观察HKD 380~386区域。上方HKD 398~405为均线密集压力区，若无成交量配合，反弹空间可能受到限制。9月11日成交额约HKD 14.62亿，较此前数个交易日有所放大，且卖空成交占比约19.12%，短线资金面整体偏谨慎。</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风险提示：以下内容仅为基于截至2026年9月11日收盘数据、历史价格和技术指标的主观情景推演，不构成投资建议，也不是单点价格预测。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HKD 398~405</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HKD 398~399接近MA20及短线均线密集区，HKD 402~405接近MA50及近期反弹阻力；若在成交额明显放大的情况下重新站稳HKD 405，短线弱势结构才有望缓解，并可能向HKD 410~412修复</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HKD 389~393</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HKD 393附近对应MA5及技术枢轴，HKD 389为9月11日日内低点；若该区域获得支撑并出现缩量止跌，可能形成短线震荡或技术反弹</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HKD 380~386</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该区域低于9月11日日内低点，并接近近期下跌波段的延伸支撑；若有效跌破HKD 380，下一观察区域可能下移至HKD 360~365附近，即部分数据源显示的52周低位区域</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震荡整理（相对权重较高，约五成至六成；属于基于当前技术与资金流背景的主观启发式权重，并非统计学概率）：参考区间为HKD 389~405。触发条件包括守住HKD 389~393支撑区，RSI维持低位但不继续明显恶化，成交量回落至约200万~350万股、成交额约HKD 8亿~14亿，以及卖空占成交比例由近期约19%~24%水平回落。超卖指标可能支持技术性反弹，但HKD 398~405均线区域仍可能限制反弹幅度。</w:t>
      </w:r>
    </w:p>
    <w:p>
      <w:pPr>
        <w:pStyle w:val="ListParagraph"/>
        <w:numPr>
          <w:ilvl w:val="0"/>
          <w:numId w:val="2"/>
        </w:numPr>
        <w:spacing w:after="80" w:line="280"/>
      </w:pPr>
      <w:r>
        <w:rPr>
          <w:sz w:val="22"/>
          <w:szCs w:val="22"/>
        </w:rPr>
        <w:t xml:space="preserve">偏弱下行（权重中等，约三成；属于基于当前技术与资金流背景的主观启发式权重，并非统计学概率）：参考区间为HKD 375~390。触发条件包括收盘价有效跌破HKD 389，成交量连续放大至400万股以上，成交额持续超过HKD 15亿~18亿，同时卖空占比维持在约20%或更高，且恒生指数或券商、交易所相关板块同步走弱。若HKD 380也失守，可能进一步测试HKD 360~365附近的中期支撑区域。</w:t>
      </w:r>
    </w:p>
    <w:p>
      <w:pPr>
        <w:pStyle w:val="ListParagraph"/>
        <w:numPr>
          <w:ilvl w:val="0"/>
          <w:numId w:val="2"/>
        </w:numPr>
        <w:spacing w:after="80" w:line="280"/>
      </w:pPr>
      <w:r>
        <w:rPr>
          <w:sz w:val="22"/>
          <w:szCs w:val="22"/>
        </w:rPr>
        <w:t xml:space="preserve">反弹走强（权重偏低，约一成至两成；属于基于当前技术与资金流背景的主观启发式权重，并非统计学概率）：参考区间为HKD 400~415。触发条件包括重新站回HKD 398~405，单日成交额升至HKD 18亿以上且上涨日成交量明显高于近10日均量，MACD负值收窄并出现向上交叉迹象，同时港股大盘成交活跃、恒生指数及券商/交易所板块同步反弹。若站稳HKD 405，下一观察区域为HKD 410~415；若缺乏成交量确认，单日反弹更可能属于超卖反抽。</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截至2026年9月11日，单日成交量约372.6万股，成交额约HKD 14.62亿，按约12.68亿股已发行股份估算，换手率约0.29%。近几个交易日成交量约174万~530万股，按HKD 392~425股价估算，日成交额约HKD 7亿~22亿。股东结构方面，截至2026年5月8日的公开资料显示，香港特别行政区政府持有约7484.10万股，占总股本约5.90%，为重要股东但非绝对控股。2025年年报披露及相关资料显示，港交所不存在明显家族控股或单一民营控制股东，HKSCC Nominees Limited通常代表通过CCASS持股的众多投资者，不能直接视为单一实际受益人；本次检索未能可靠取得截至2026年9月完整前十大最终受益人合计持股比例，也未能据此确认公募基金、社保或QFII是否位列前十大最终受益人。上述股东数据截至2026年5月8日或更早的年报披露，存在滞后性，持股结构可能已发生变化。实际交易中，CCASS及券商托管名义持股会限制公开资料对最终持有人集中度的反映。港股没有统一、权威的A股式主力资金净流入指标，因此本报告仅以成交量、成交额和卖空成交占比观察资金面。</w:t>
      </w:r>
    </w:p>
    <w:p>
      <w:pPr>
        <w:spacing w:after="160" w:line="300"/>
      </w:pPr>
      <w:r>
        <w:rPr>
          <w:sz w:val="22"/>
          <w:szCs w:val="22"/>
        </w:rPr>
        <w:t xml:space="preserve">若单日成交额持续放大至HKD 18亿以上，同时股价收复并站稳HKD 405，可作为资金重新增强的可核查信号；该标准基于近期成交额区间，仅为观察信号而非操作指令。</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观察思路，非操作指令：关注HKD 389~393区域能否形成有效支撑；若失守，则继续观察HKD 380~386强支撑区及其有效性。</w:t>
      </w:r>
    </w:p>
    <w:p>
      <w:pPr>
        <w:pStyle w:val="ListParagraph"/>
        <w:numPr>
          <w:ilvl w:val="0"/>
          <w:numId w:val="2"/>
        </w:numPr>
        <w:spacing w:after="80" w:line="280"/>
      </w:pPr>
      <w:r>
        <w:rPr>
          <w:sz w:val="22"/>
          <w:szCs w:val="22"/>
        </w:rPr>
        <w:t xml:space="preserve">观察思路，非操作指令：关注HKD 398~405压力区能否被收复并站稳，尤其留意是否伴随成交额放大。</w:t>
      </w:r>
    </w:p>
    <w:p>
      <w:pPr>
        <w:pStyle w:val="ListParagraph"/>
        <w:numPr>
          <w:ilvl w:val="0"/>
          <w:numId w:val="2"/>
        </w:numPr>
        <w:spacing w:after="80" w:line="280"/>
      </w:pPr>
      <w:r>
        <w:rPr>
          <w:sz w:val="22"/>
          <w:szCs w:val="22"/>
        </w:rPr>
        <w:t xml:space="preserve">观察思路，非操作指令：跟踪卖空成交占比是否由9月10日至11日的约19%~24%水平回落，以及价格下跌是否继续伴随成交放大。</w:t>
      </w:r>
    </w:p>
    <w:p>
      <w:pPr>
        <w:pStyle w:val="ListParagraph"/>
        <w:numPr>
          <w:ilvl w:val="0"/>
          <w:numId w:val="2"/>
        </w:numPr>
        <w:spacing w:after="80" w:line="280"/>
      </w:pPr>
      <w:r>
        <w:rPr>
          <w:sz w:val="22"/>
          <w:szCs w:val="22"/>
        </w:rPr>
        <w:t xml:space="preserve">观察思路，非操作指令：关注单日成交额持续达到HKD 18亿以上且股价站稳HKD 405的量价配合信号。</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交易所行业是金融市场基础设施行业，核心业务涵盖上市、交易、中央清算、结算托管、市场数据及技术连接。行业竞争并非单纯价格竞争，而是围绕流动性网络效应、监管与清算壁垒、上市资源、衍生品流动性、市场数据及技术服务展开。港交所的差异化定位是中国资产国际化入口，依托香港本地交易及清算体系、Stock Connect、LME及国际投资者网络形成综合市场生态。</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流动性网络效应是成熟交易所的重要护城河：买方、卖方、做市商、券商、清算机构和数据供应商越集中，交易深度越高，越能吸引更多市场参与者。</w:t>
      </w:r>
    </w:p>
    <w:p>
      <w:pPr>
        <w:pStyle w:val="ListParagraph"/>
        <w:numPr>
          <w:ilvl w:val="0"/>
          <w:numId w:val="2"/>
        </w:numPr>
        <w:spacing w:after="80" w:line="280"/>
      </w:pPr>
      <w:r>
        <w:rPr>
          <w:sz w:val="22"/>
          <w:szCs w:val="22"/>
        </w:rPr>
        <w:t xml:space="preserve">交易所和中央对手方清算机构需要获得监管认可，并持续满足风险管理、资本、技术及业务连续性要求，新进入者难以仅通过低费率复制完整体系。</w:t>
      </w:r>
    </w:p>
    <w:p>
      <w:pPr>
        <w:pStyle w:val="ListParagraph"/>
        <w:numPr>
          <w:ilvl w:val="0"/>
          <w:numId w:val="2"/>
        </w:numPr>
        <w:spacing w:after="80" w:line="280"/>
      </w:pPr>
      <w:r>
        <w:rPr>
          <w:sz w:val="22"/>
          <w:szCs w:val="22"/>
        </w:rPr>
        <w:t xml:space="preserve">港交所需要与美国、英国、新加坡、日本及内地交易所竞争上市公司资源，尤其是大型科技企业、生物医药企业、国际企业和中国企业海外融资需求。</w:t>
      </w:r>
    </w:p>
    <w:p>
      <w:pPr>
        <w:pStyle w:val="ListParagraph"/>
        <w:numPr>
          <w:ilvl w:val="0"/>
          <w:numId w:val="2"/>
        </w:numPr>
        <w:spacing w:after="80" w:line="280"/>
      </w:pPr>
      <w:r>
        <w:rPr>
          <w:sz w:val="22"/>
          <w:szCs w:val="22"/>
        </w:rPr>
        <w:t xml:space="preserve">衍生品业务面临亚洲其他交易所、场外衍生品以及美国和欧洲交易所产品的竞争，流动性、合约设计、保证金效率、交易时段和清算便利性是关键变量。</w:t>
      </w:r>
    </w:p>
    <w:p>
      <w:pPr>
        <w:pStyle w:val="ListParagraph"/>
        <w:numPr>
          <w:ilvl w:val="0"/>
          <w:numId w:val="2"/>
        </w:numPr>
        <w:spacing w:after="80" w:line="280"/>
      </w:pPr>
      <w:r>
        <w:rPr>
          <w:sz w:val="22"/>
          <w:szCs w:val="22"/>
        </w:rPr>
        <w:t xml:space="preserve">市场数据、指数、交易连接、托管和市场技术服务的竞争更加全球化，客户可以同时接入多个交易所和数据供应商，因此可替代性高于香港本地交易及清算业务。</w:t>
      </w:r>
    </w:p>
    <w:p>
      <w:pPr>
        <w:pStyle w:val="ListParagraph"/>
        <w:numPr>
          <w:ilvl w:val="0"/>
          <w:numId w:val="2"/>
        </w:numPr>
        <w:spacing w:after="80" w:line="280"/>
      </w:pPr>
      <w:r>
        <w:rPr>
          <w:sz w:val="22"/>
          <w:szCs w:val="22"/>
        </w:rPr>
        <w:t xml:space="preserve">港交所2025年Cash分部收入为HKD14,396百万，较2024年的HKD9,120百万增长约58%；股权及金融衍生产品分部收入为HKD4,160百万，较2024年的HKD3,523百万增长约18%；商品分部收入及其他收益为HKD3,171百万，较2024年的HKD2,788百万增长约14%；数据及连接分部收入为HKD2,266百万，较2024年的HKD2,122百万增长约7%。</w:t>
      </w:r>
    </w:p>
    <w:p>
      <w:pPr>
        <w:pStyle w:val="ListParagraph"/>
        <w:numPr>
          <w:ilvl w:val="0"/>
          <w:numId w:val="2"/>
        </w:numPr>
        <w:spacing w:after="80" w:line="280"/>
      </w:pPr>
      <w:r>
        <w:rPr>
          <w:sz w:val="22"/>
          <w:szCs w:val="22"/>
        </w:rPr>
        <w:t xml:space="preserve">按2025年各经营分部Revenue口径，Cash占集团分部收入约60.6%，股权及金融衍生产品占约17.5%，商品占约12.2%，数据及连接占约9.5%；纪要同时指出商品分部Revenue口径为HKD2,906百万，与“收入及其他收益”口径HKD3,171百万不同，二者不宜混用。</w:t>
      </w:r>
    </w:p>
    <w:p>
      <w:pPr>
        <w:pStyle w:val="ListParagraph"/>
        <w:numPr>
          <w:ilvl w:val="0"/>
          <w:numId w:val="2"/>
        </w:numPr>
        <w:spacing w:after="80" w:line="280"/>
      </w:pPr>
      <w:r>
        <w:rPr>
          <w:sz w:val="22"/>
          <w:szCs w:val="22"/>
        </w:rPr>
        <w:t xml:space="preserve">港交所不是完全不受竞争影响的垄断企业：香港本地交易和清算基础设施具有强制度壁垒，但上市、衍生品、数据、国际客户和部分商品业务仍面临全球交易所竞争。</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CME Group</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全球领先的期货及期权交易所集团</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核心优势在利率、股指、外汇、能源、农产品和金属衍生品，并拥有中央清算和市场数据业务。2025年平均每日成交量约2,810万张合约，同比增长6%，但与港交所约170万张期货及期权日均量的产品结构和合约口径并不完全可比。</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Intercontinental Exchange（ICE）</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全球多资产交易所及清算集团</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旗下包括NYSE、ICE Futures系列交易所、ICE清算机构、能源及金融市场、数据和分析业务；在能源、利率、信用、美国股票上市和全球清算方面较强。</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Singapore Exchange（SGX）</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亚洲重要的多资产交易所</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涵盖现金股票、股票衍生品、货币、商品、固定收益、数据与连接服务。SGX 2025财年现金股票业务净收入约SGD392.7百万，货币及商品业务净收入约SGD312.5百万；其财年、货币单位和会计口径与港交所不同，不宜直接比较利润率。</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Japan Exchange Group（JPX）</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日本股票、衍生品、债券及清算基础设施运营商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旗下包括东京证券交易所、大阪交易所、日本商品及相关清算机构。2025年东京证券交易所Prime Market国内普通股全年交易额约JPY1,419.6万亿，日本交易所集团2025年衍生品交易量约418.8百万张。</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Nasdaq</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美国大型股票交易所和金融市场技术及数据服务商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业务包括股票和衍生品交易、清算、上市、市场数据、指数、企业服务和交易所技术；更突出美国科技股上市品牌、电子交易、市场技术和数据产品。</w:t>
            </w:r>
          </w:p>
        </w:tc>
      </w:tr>
    </w:tbl>
    <w:p>
      <w:pPr>
        <w:spacing w:before="200"/>
      </w:pPr>
    </w:p>
    <w:p>
      <w:pPr>
        <w:spacing w:after="160" w:line="300"/>
      </w:pPr>
      <w:r>
        <w:rPr>
          <w:sz w:val="22"/>
          <w:szCs w:val="22"/>
        </w:rPr>
        <w:t xml:space="preserve">港交所与CME、ICE、SGX、JPX及Nasdaq均覆盖交易、清算、上市或市场数据业务，但业务侧重点不同。CME更强于全球基准衍生品及美国利率、能源和农产品市场；ICE覆盖多资产交易、清算及数据业务；SGX突出亚洲时区、印度及东南亚相关产品、外汇和铁矿石衍生品；JPX以日本本土股票、衍生品及清算基础设施为核心；Nasdaq突出美国科技股上市、电子交易、市场技术和数据。港交所的核心差异化优势在于香港本地证券及清算体系、中国资产国际化入口、Stock Connect互联互通、LME全球基本金属定价与清算能力，以及由股票、衍生品、商品、数据和连接服务构成的综合市场生态。各可比公司使用的会计年度、货币及统计口径不同，研究纪要未提供可用于直接比较市占率、盈利能力或估值的统一口径数据。</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市场成交额回落风险：2025年现金市场分部收入同比增长约58%，现货市场日均成交额约HKD249,800百万，业绩对交易活跃度具有较高敏感性。若香港现货、衍生品或互联互通成交不能维持高位，收入和盈利增长可能低于当前预期。</w:t>
      </w:r>
    </w:p>
    <w:p>
      <w:pPr>
        <w:pStyle w:val="ListParagraph"/>
        <w:numPr>
          <w:ilvl w:val="0"/>
          <w:numId w:val="2"/>
        </w:numPr>
        <w:spacing w:after="80" w:line="280"/>
      </w:pPr>
      <w:r>
        <w:rPr>
          <w:sz w:val="22"/>
          <w:szCs w:val="22"/>
        </w:rPr>
        <w:t xml:space="preserve">IPO及再融资波动风险：2025年港交所共有119只新股、募资约HKD286,900百万，再融资总额约HKD514,600百万，相关活动同比明显改善。该等上市及融资数据存在市场周期性，若大型科技企业、生物科技企业或中国企业上市需求减弱，上市费及相关业务收入可能受到影响。</w:t>
      </w:r>
    </w:p>
    <w:p>
      <w:pPr>
        <w:pStyle w:val="ListParagraph"/>
        <w:numPr>
          <w:ilvl w:val="0"/>
          <w:numId w:val="2"/>
        </w:numPr>
        <w:spacing w:after="80" w:line="280"/>
      </w:pPr>
      <w:r>
        <w:rPr>
          <w:sz w:val="22"/>
          <w:szCs w:val="22"/>
        </w:rPr>
        <w:t xml:space="preserve">互联互通资金流风险：2025年南向交易全年交易额约HKD28.695万亿，南向日均交易额约占香港现金市场总成交量23%；北向交易全年交易额约人民币50.333万亿。若南北向资金流量、投资者风险偏好或相关市场联动性下降，Cash及互联互通相关收入可能承压。</w:t>
      </w:r>
    </w:p>
    <w:p>
      <w:pPr>
        <w:pStyle w:val="ListParagraph"/>
        <w:numPr>
          <w:ilvl w:val="0"/>
          <w:numId w:val="2"/>
        </w:numPr>
        <w:spacing w:after="80" w:line="280"/>
      </w:pPr>
      <w:r>
        <w:rPr>
          <w:sz w:val="22"/>
          <w:szCs w:val="22"/>
        </w:rPr>
        <w:t xml:space="preserve">投资收益波动风险：2025年净投资收益为HKD5,111百万；2026年第二季度公司资金投资净收益HKD642百万，其中约HKD290百万来自非经常性未上市股权投资估值收益。投资收益受公司资金规模、利率环境及估值变动影响，不能视为稳定的核心交易业务利润来源。</w:t>
      </w:r>
    </w:p>
    <w:p>
      <w:pPr>
        <w:pStyle w:val="ListParagraph"/>
        <w:numPr>
          <w:ilvl w:val="0"/>
          <w:numId w:val="2"/>
        </w:numPr>
        <w:spacing w:after="80" w:line="280"/>
      </w:pPr>
      <w:r>
        <w:rPr>
          <w:sz w:val="22"/>
          <w:szCs w:val="22"/>
        </w:rPr>
        <w:t xml:space="preserve">LME及相关法律事项风险：港交所拥有LME及LME Clear等海外资产，同时涉及Elliott就LME镍事件提交的新竞争法申索，且相关申索尚未完成送达。LME业务表现及该事项后续进展可能影响商品分部表现、法律及合规成本以及市场声誉。</w:t>
      </w:r>
    </w:p>
    <w:p>
      <w:pPr>
        <w:pStyle w:val="ListParagraph"/>
        <w:numPr>
          <w:ilvl w:val="0"/>
          <w:numId w:val="2"/>
        </w:numPr>
        <w:spacing w:after="80" w:line="280"/>
      </w:pPr>
      <w:r>
        <w:rPr>
          <w:sz w:val="22"/>
          <w:szCs w:val="22"/>
        </w:rPr>
        <w:t xml:space="preserve">监管及合规风险：港交所承担香港主要证券及衍生产品市场、清算及上市规则平台职能；近期证监会曾就港交所前上市科职员及其姻亲涉嫌内幕交易相关事项冻结资产，港交所表示持续检视。若类似合规事件扩大，可能增加监管要求、内部控制成本及声誉压力。</w:t>
      </w:r>
    </w:p>
    <w:p>
      <w:pPr>
        <w:pStyle w:val="ListParagraph"/>
        <w:numPr>
          <w:ilvl w:val="0"/>
          <w:numId w:val="2"/>
        </w:numPr>
        <w:spacing w:after="80" w:line="280"/>
      </w:pPr>
      <w:r>
        <w:rPr>
          <w:sz w:val="22"/>
          <w:szCs w:val="22"/>
        </w:rPr>
        <w:t xml:space="preserve">估值与盈利预期下修风险：截至2026年9月11日股价为HKD392.60，动态市盈率约25.4倍；2026年至2028年市场综合盈利预测隐含年复合增长率约5.7%，明显低于2025年净利润同比增长36.0%。若成交额、IPO或投资收益低于预期，较高估值可能放大股价对盈利预测下调的反应。</w:t>
      </w:r>
    </w:p>
    <w:p>
      <w:pPr>
        <w:pStyle w:val="ListParagraph"/>
        <w:numPr>
          <w:ilvl w:val="0"/>
          <w:numId w:val="2"/>
        </w:numPr>
        <w:spacing w:after="80" w:line="280"/>
      </w:pPr>
      <w:r>
        <w:rPr>
          <w:sz w:val="22"/>
          <w:szCs w:val="22"/>
        </w:rPr>
        <w:t xml:space="preserve">短期技术及资金面风险：股价已低于MA5、MA10、MA20、MA50、MA100及MA200，MACD位于零轴下方；9月11日卖空成交金额约HKD279百万，占股票成交金额19.117%，且价格下跌同时成交额约HKD1,462百万。若HKD389~393支撑区失守并继续放量，股价可能进一步测试HKD380~386，甚至部分数据源显示的HKD360~365附近区域。</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港交所的中长期增长逻辑主要来自其香港核心交易及清算基础设施壁垒、Stock Connect互联互通网络、上市及融资平台、LME全球金属定价与清算能力，以及现金、衍生品、商品、数据和连接服务构成的综合生态。2025年至2026年上半年，成交额、IPO及再融资活动、南北向交易和商品市场改善已转化为较强的收入及利润增长；“科企专线”、LME认可交割仓库在港启用、科技100指数及对迅清结算控股的战略投资，则为上市服务、商品业务及固定收益基础设施提供了潜在扩展方向。</w:t>
      </w:r>
    </w:p>
    <w:p>
      <w:pPr>
        <w:spacing w:after="160" w:line="300"/>
      </w:pPr>
      <w:r>
        <w:rPr>
          <w:sz w:val="22"/>
          <w:szCs w:val="22"/>
        </w:rPr>
        <w:t xml:space="preserve">但市场预期已由高增长逐步回归中个位数，且截至2026年8月31日参考股价HKD423.80对应TTM市盈率约27.1倍；截至9月11日股价虽回落至HKD392.60，动态市盈率仍约25.4倍，估值对成交额、IPO市场及盈利预期变化较为敏感。后续需要观察香港现货市场成交能否维持高位、南向资金流入及北向交易表现、IPO及再融资活动、LME业务、市场数据收入，以及公司资金投资收益的持续性。</w:t>
      </w:r>
    </w:p>
    <w:p>
      <w:pPr>
        <w:spacing w:after="160" w:line="300"/>
      </w:pPr>
      <w:r>
        <w:rPr>
          <w:sz w:val="22"/>
          <w:szCs w:val="22"/>
        </w:rPr>
        <w:t xml:space="preserve">短期技术面上，RSI处于超卖或接近超卖区域，存在反弹或震荡修复可能，但股价仍低于多条中长期均线，且9月11日下跌伴随约HKD1,462百万成交额和19.117%的卖空成交占比，资金面尚未明显转强。若能够收复并站稳HKD398~405且伴随成交额放大，弱势结构可能缓解；若跌破HKD389并持续放量，则需关注HKD380~386及更低的中期支撑区域。上述情景仅反映数据所示的增长逻辑、估值状态与技术信号，不构成买卖建议。</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Principal Subsidiaries — https://www.hkexgroup.com/About-HKEX/Organisation/Principal-Subsidiaries?sc_lang=en&amp;utm_source=openai</w:t>
      </w:r>
    </w:p>
    <w:p>
      <w:pPr>
        <w:spacing w:after="200"/>
      </w:pPr>
      <w:r>
        <w:rPr>
          <w:i/>
          <w:iCs/>
          <w:color w:val="595959"/>
          <w:sz w:val="18"/>
          <w:szCs w:val="18"/>
        </w:rPr>
        <w:t xml:space="preserve">2025 Annual Report  — https://www.hkexgroup.com/-/media/HKEX-Group-Site/ssd/Investor-Relations/Regulatory-Reports/documents/2026/260316ar_e_WCAG.pdf</w:t>
      </w:r>
    </w:p>
    <w:p>
      <w:pPr>
        <w:spacing w:after="200"/>
      </w:pPr>
      <w:r>
        <w:rPr>
          <w:i/>
          <w:iCs/>
          <w:color w:val="595959"/>
          <w:sz w:val="18"/>
          <w:szCs w:val="18"/>
        </w:rPr>
        <w:t xml:space="preserve">Who We Are — https://www.hkexgroup.com/about-hkex/about-hkex?sc_lang=en&amp;utm_source=openai</w:t>
      </w:r>
    </w:p>
    <w:p>
      <w:pPr>
        <w:spacing w:after="200"/>
      </w:pPr>
      <w:r>
        <w:rPr>
          <w:i/>
          <w:iCs/>
          <w:color w:val="595959"/>
          <w:sz w:val="18"/>
          <w:szCs w:val="18"/>
        </w:rPr>
        <w:t xml:space="preserve">CME Group Inc. Reports Fourth Consecutive Year of Record Annual Revenue, Adjusted Operating Income, Adjusted Net Income and Adjusted Earnings Per Share for 2025 | CME Group Inc. — https://investor.cmegroup.com/news-releases/news-release-details/cme-group-inc-reports-fourth-consecutive-year-record-annual?utm_source=openai</w:t>
      </w:r>
    </w:p>
    <w:p>
      <w:pPr>
        <w:spacing w:after="200"/>
      </w:pPr>
      <w:r>
        <w:rPr>
          <w:i/>
          <w:iCs/>
          <w:color w:val="595959"/>
          <w:sz w:val="18"/>
          <w:szCs w:val="18"/>
        </w:rPr>
        <w:t xml:space="preserve">Exchanges &amp; Clearing — https://www.ice.com/about/exchanges-clearing?utm_source=openai</w:t>
      </w:r>
    </w:p>
    <w:p>
      <w:pPr>
        <w:spacing w:after="200"/>
      </w:pPr>
      <w:r>
        <w:rPr>
          <w:i/>
          <w:iCs/>
          <w:color w:val="595959"/>
          <w:sz w:val="18"/>
          <w:szCs w:val="18"/>
        </w:rPr>
        <w:t xml:space="preserve">Singapore Exchange Annual Report 2025 — https://links.sgx.com/FileOpen/2025_SGX_Annual_Report.ashx?App=Announcement&amp;FileID=859054&amp;utm_source=openai</w:t>
      </w:r>
    </w:p>
    <w:p>
      <w:pPr>
        <w:spacing w:after="200"/>
      </w:pPr>
      <w:r>
        <w:rPr>
          <w:i/>
          <w:iCs/>
          <w:color w:val="595959"/>
          <w:sz w:val="18"/>
          <w:szCs w:val="18"/>
        </w:rPr>
        <w:t xml:space="preserve">Trading Overview in Year 2025 &amp; December 2025 | Japan Exchange Group — https://www.jpx.co.jp/english/corporate/news/news-releases/0063/20251230-01.html?utm_source=openai</w:t>
      </w:r>
    </w:p>
    <w:p>
      <w:pPr>
        <w:spacing w:after="200"/>
      </w:pPr>
      <w:r>
        <w:rPr>
          <w:i/>
          <w:iCs/>
          <w:color w:val="595959"/>
          <w:sz w:val="18"/>
          <w:szCs w:val="18"/>
        </w:rPr>
        <w:t xml:space="preserve">Table of Contents — https://ir.nasdaq.com/static-files/bb54d6f0-a51e-40e5-8174-b030cc7a509d?utm_source=openai</w:t>
      </w:r>
    </w:p>
    <w:p>
      <w:pPr>
        <w:spacing w:after="200"/>
      </w:pPr>
      <w:r>
        <w:rPr>
          <w:i/>
          <w:iCs/>
          <w:color w:val="595959"/>
          <w:sz w:val="18"/>
          <w:szCs w:val="18"/>
        </w:rPr>
        <w:t xml:space="preserve">2026 INTERIM RESULTS, INTERIM DIVIDEND AND CLOSURE OF REGISTER OF MEMBERS — https://www1.hkexnews.hk/listedco/listconews/sehk/2026/0819/2026081900213.pdf</w:t>
      </w:r>
    </w:p>
    <w:p>
      <w:pPr>
        <w:spacing w:after="200"/>
      </w:pPr>
      <w:r>
        <w:rPr>
          <w:i/>
          <w:iCs/>
          <w:color w:val="595959"/>
          <w:sz w:val="18"/>
          <w:szCs w:val="18"/>
        </w:rPr>
        <w:t xml:space="preserve">2025 FINAL RESULTS, DIVIDEND AND CLOSURE OF REGISTER OF MEMBERS — https://www.hkexgroup.com/-/media/HKEX-Group-Site/ccd/Media-Centre/hkexnews/2026/260226news/260226news_eng.pdf?utm_source=openai</w:t>
      </w:r>
    </w:p>
    <w:p>
      <w:pPr>
        <w:spacing w:after="200"/>
      </w:pPr>
      <w:r>
        <w:rPr>
          <w:i/>
          <w:iCs/>
          <w:color w:val="595959"/>
          <w:sz w:val="18"/>
          <w:szCs w:val="18"/>
        </w:rPr>
        <w:t xml:space="preserve">00388 香港交易所 HKEX - 免费即时股票报价 - 盈利预测 - etnet 经济通|香港新闻财经资讯和生活平台 — https://www.etnet.com.hk/www/sc/stocks/realtime/quote_profit.php?code=388</w:t>
      </w:r>
    </w:p>
    <w:p>
      <w:pPr>
        <w:spacing w:after="200"/>
      </w:pPr>
      <w:r>
        <w:rPr>
          <w:i/>
          <w:iCs/>
          <w:color w:val="595959"/>
          <w:sz w:val="18"/>
          <w:szCs w:val="18"/>
        </w:rPr>
        <w:t xml:space="preserve">Hong Kong Exchanges and Clearing (HKG:0388) Stock Forecast &amp; Price Targets — https://stockanalysis.com/quote/hkg/0388/forecast/</w:t>
      </w:r>
    </w:p>
    <w:p>
      <w:pPr>
        <w:spacing w:after="200"/>
      </w:pPr>
      <w:r>
        <w:rPr>
          <w:i/>
          <w:iCs/>
          <w:color w:val="595959"/>
          <w:sz w:val="18"/>
          <w:szCs w:val="18"/>
        </w:rPr>
        <w:t xml:space="preserve">FIRST SHANGHAI GROUP - E-commerce — https://content.etnet.com.hk/content/firstshanghai/eng/quote.php?code=00388&amp;utm_source=openai</w:t>
      </w:r>
    </w:p>
    <w:p>
      <w:pPr>
        <w:spacing w:after="200"/>
      </w:pPr>
      <w:r>
        <w:rPr>
          <w:i/>
          <w:iCs/>
          <w:color w:val="595959"/>
          <w:sz w:val="18"/>
          <w:szCs w:val="18"/>
        </w:rPr>
        <w:t xml:space="preserve">香港交易所 — http://hk.stockstar.com/hshare/00388/</w:t>
      </w:r>
    </w:p>
    <w:p>
      <w:pPr>
        <w:spacing w:after="200"/>
      </w:pPr>
      <w:r>
        <w:rPr>
          <w:i/>
          <w:iCs/>
          <w:color w:val="595959"/>
          <w:sz w:val="18"/>
          <w:szCs w:val="18"/>
        </w:rPr>
        <w:t xml:space="preserve">Hong Kong Exchanges and Clearing Ltd (00388) — https://www.morningstar.com/stocks/xhkg/00388/quote</w:t>
      </w:r>
    </w:p>
    <w:p>
      <w:pPr>
        <w:spacing w:after="200"/>
      </w:pPr>
      <w:r>
        <w:rPr>
          <w:i/>
          <w:iCs/>
          <w:color w:val="595959"/>
          <w:sz w:val="18"/>
          <w:szCs w:val="18"/>
        </w:rPr>
        <w:t xml:space="preserve">00388.HK — https://emweb.securities.eastmoney.com/PC_HKF10/pages/home/index.html?code=00388&amp;type=web&amp;color=w#/CoreReading</w:t>
      </w:r>
    </w:p>
    <w:p>
      <w:pPr>
        <w:spacing w:after="200"/>
      </w:pPr>
      <w:r>
        <w:rPr>
          <w:i/>
          <w:iCs/>
          <w:color w:val="595959"/>
          <w:sz w:val="18"/>
          <w:szCs w:val="18"/>
        </w:rPr>
        <w:t xml:space="preserve">HKEX-R (80388) (80388.HK) Company Factsheet - ShareInvestor.com — https://dev.shareinvestor.com/quote/HKEX:80388</w:t>
      </w:r>
    </w:p>
    <w:p>
      <w:pPr>
        <w:spacing w:after="200"/>
      </w:pPr>
      <w:r>
        <w:rPr>
          <w:i/>
          <w:iCs/>
          <w:color w:val="595959"/>
          <w:sz w:val="18"/>
          <w:szCs w:val="18"/>
        </w:rPr>
        <w:t xml:space="preserve">香港証券取引所,00388:企業情報 — https://www.nikihou.jp/company/company.html?code=00388&amp;market=HKM&amp;type=finance</w:t>
      </w:r>
    </w:p>
    <w:p>
      <w:pPr>
        <w:spacing w:after="200"/>
      </w:pPr>
      <w:r>
        <w:rPr>
          <w:i/>
          <w:iCs/>
          <w:color w:val="595959"/>
          <w:sz w:val="18"/>
          <w:szCs w:val="18"/>
        </w:rPr>
        <w:t xml:space="preserve">VICON — https://www1.hkexnews.hk/listedco/listconews/sehk/2025/0730/2025073001067_c.pdf#21#1</w:t>
      </w:r>
    </w:p>
    <w:p>
      <w:pPr>
        <w:spacing w:after="200"/>
      </w:pPr>
      <w:r>
        <w:rPr>
          <w:i/>
          <w:iCs/>
          <w:color w:val="595959"/>
          <w:sz w:val="18"/>
          <w:szCs w:val="18"/>
        </w:rPr>
        <w:t xml:space="preserve">香港交易所（00388.HK）是香港唯一合法运营股票、期货市场以及配套清算交收体_财富号_东方财富网 — https://caifuhao.eastmoney.com/news/20260910134310135791430</w:t>
      </w:r>
    </w:p>
    <w:p>
      <w:pPr>
        <w:spacing w:after="200"/>
      </w:pPr>
      <w:r>
        <w:rPr>
          <w:i/>
          <w:iCs/>
          <w:color w:val="595959"/>
          <w:sz w:val="18"/>
          <w:szCs w:val="18"/>
        </w:rPr>
        <w:t xml:space="preserve">Beijing North Star Company Limited (0588.HK) Aktienkurs, Nachrichten, Kurs und Verlauf – Yahoo Finanzen — https://de.finance.yahoo.com/quote/0588.HK/</w:t>
      </w:r>
    </w:p>
    <w:p>
      <w:pPr>
        <w:spacing w:after="200"/>
      </w:pPr>
      <w:r>
        <w:rPr>
          <w:i/>
          <w:iCs/>
          <w:color w:val="595959"/>
          <w:sz w:val="18"/>
          <w:szCs w:val="18"/>
        </w:rPr>
        <w:t xml:space="preserve">港交所(00388.HK)：以自有資金入股迅清 不影響派息政策 - 美股 — http://aastocks.com/tc/stocks/news/aafn-con/NOW.1483139/industry-news/hk6#1</w:t>
      </w:r>
    </w:p>
    <w:p>
      <w:pPr>
        <w:spacing w:after="200"/>
      </w:pPr>
      <w:r>
        <w:rPr>
          <w:i/>
          <w:iCs/>
          <w:color w:val="595959"/>
          <w:sz w:val="18"/>
          <w:szCs w:val="18"/>
        </w:rPr>
        <w:t xml:space="preserve">&lt;table&gt;&lt;tr&gt;&lt;td colspan="2"&gt;免貴聲明&lt;/td&gt;&lt;/tr&gt;&lt;tr&gt;&lt;td colspan="2"&gt;根據《香港聯合交易所有限公司證券上市規則》第三十八章，證券及期貨事務監察委員會監管香港交易及結算所有限公司有關其股份在香港聯合交易所有... — https://www.hkexgroup.com/-/media/HKEX-Group-Site/ssd/Investor-Relations/annouce/documents/2025/2024-final-dividend-form_c.pdf#1#1</w:t>
      </w:r>
    </w:p>
    <w:p>
      <w:pPr>
        <w:spacing w:after="200"/>
      </w:pPr>
      <w:r>
        <w:rPr>
          <w:i/>
          <w:iCs/>
          <w:color w:val="595959"/>
          <w:sz w:val="18"/>
          <w:szCs w:val="18"/>
        </w:rPr>
        <w:t xml:space="preserve">&lt;table&gt;&lt;tr&gt;&lt;td colspan="2"&gt;Disclaimer&lt;/td&gt;&lt;/tr&gt;&lt;tr&gt;&lt;td colspan="2"&gt;Pursuant to Chapter 38 of the Rules Governing the Listing of ... — https://www.hkexgroup.com/-/media/HKEX-Group-Site/ssd/Investor-Relations/annouce/documents/2025/2024-final-dividend-form_e.pdf#1#1</w:t>
      </w:r>
    </w:p>
    <w:p>
      <w:pPr>
        <w:spacing w:after="200"/>
      </w:pPr>
      <w:r>
        <w:rPr>
          <w:i/>
          <w:iCs/>
          <w:color w:val="595959"/>
          <w:sz w:val="18"/>
          <w:szCs w:val="18"/>
        </w:rPr>
        <w:t xml:space="preserve">00388.HK 香港交易所 | HKEX | 公司派息 — http://202.62.215.19/www/tc/stocks/realtime/quote_dividend.php?code=388</w:t>
      </w:r>
    </w:p>
    <w:p>
      <w:pPr>
        <w:spacing w:after="200"/>
      </w:pPr>
      <w:r>
        <w:rPr>
          <w:i/>
          <w:iCs/>
          <w:color w:val="595959"/>
          <w:sz w:val="18"/>
          <w:szCs w:val="18"/>
        </w:rPr>
        <w:t xml:space="preserve">() 股價、新聞、圖表、公司資料詳情 — https://stock360.hkej.com/quotePlus/stockEvents/388?p=2</w:t>
      </w:r>
    </w:p>
    <w:p>
      <w:pPr>
        <w:spacing w:after="200"/>
      </w:pPr>
      <w:r>
        <w:rPr>
          <w:i/>
          <w:iCs/>
          <w:color w:val="595959"/>
          <w:sz w:val="18"/>
          <w:szCs w:val="18"/>
        </w:rPr>
        <w:t xml:space="preserve">香港交易所(00388.HK)：对迅清结算控股有限公司进行战略投资内容摘要 — http://stock.stockstar.com/AN2025111200017897.shtml</w:t>
      </w:r>
    </w:p>
    <w:p>
      <w:pPr>
        <w:spacing w:after="200"/>
      </w:pPr>
      <w:r>
        <w:rPr>
          <w:i/>
          <w:iCs/>
          <w:color w:val="595959"/>
          <w:sz w:val="18"/>
          <w:szCs w:val="18"/>
        </w:rPr>
        <w:t xml:space="preserve">截至2025年12月31日止年度的第二次中期股息及暂停办理股份过户登记手续 _ 香港交易所(02968) _ 公告正文 — https://data.eastmoney.com/notices/detail/02968/AN202602261820055122.html</w:t>
      </w:r>
    </w:p>
    <w:p>
      <w:pPr>
        <w:spacing w:after="200"/>
      </w:pPr>
      <w:r>
        <w:rPr>
          <w:i/>
          <w:iCs/>
          <w:color w:val="595959"/>
          <w:sz w:val="18"/>
          <w:szCs w:val="18"/>
        </w:rPr>
        <w:t xml:space="preserve">《蓝筹》港交所(00388.HK)去年纯利按年升36%至177.5亿胜预期 第二次中期息增至6.52元 — http://wdatacn.aastocks.com/sc/mobile/news.aspx?newsid=NOW.1505104&amp;newssource=AAFN</w:t>
      </w:r>
    </w:p>
    <w:p>
      <w:pPr>
        <w:spacing w:after="200"/>
      </w:pPr>
      <w:r>
        <w:rPr>
          <w:i/>
          <w:iCs/>
          <w:color w:val="595959"/>
          <w:sz w:val="18"/>
          <w:szCs w:val="18"/>
        </w:rPr>
        <w:t xml:space="preserve">港交所2025年净赚177.5亿港元 - 新浪财经 — https://finance.sina.cn/2026-02-27/detail-inhphkfh0679175.d.html?vt=4#1</w:t>
      </w:r>
    </w:p>
    <w:p>
      <w:pPr>
        <w:spacing w:after="200"/>
      </w:pPr>
      <w:r>
        <w:rPr>
          <w:i/>
          <w:iCs/>
          <w:color w:val="595959"/>
          <w:sz w:val="18"/>
          <w:szCs w:val="18"/>
        </w:rPr>
        <w:t xml:space="preserve">港交所(00388)：认购迅清结算来自集团的现有资金 不影响派息政策 提供者 智通财经 — https://cn.investing.com/news/stock-market-news/article-3077269</w:t>
      </w:r>
    </w:p>
    <w:p>
      <w:pPr>
        <w:spacing w:after="200"/>
      </w:pPr>
      <w:r>
        <w:rPr>
          <w:i/>
          <w:iCs/>
          <w:color w:val="595959"/>
          <w:sz w:val="18"/>
          <w:szCs w:val="18"/>
        </w:rPr>
        <w:t xml:space="preserve">港股直擊 — https://stock360.hkej.com/stockLive/companycalendar?d=2025-11-05&amp;p=1</w:t>
      </w:r>
    </w:p>
    <w:p>
      <w:pPr>
        <w:spacing w:after="200"/>
      </w:pPr>
      <w:r>
        <w:rPr>
          <w:i/>
          <w:iCs/>
          <w:color w:val="595959"/>
          <w:sz w:val="18"/>
          <w:szCs w:val="18"/>
        </w:rPr>
        <w:t xml:space="preserve">香港股票英文公告索引表 - 00388,80388--HKEX,HKEX-R:Notice of Annual General Meeting and Proposals for Election of a Director, General Mandates to Buy Back Shares and to Issue Shares, and Adoption of New Articles of Association - 2025-03-19 - 同花顺 — https://www.10jqka.com.cn#15077778920636292129</w:t>
      </w:r>
    </w:p>
    <w:p>
      <w:pPr>
        <w:spacing w:after="200"/>
      </w:pPr>
      <w:r>
        <w:rPr>
          <w:i/>
          <w:iCs/>
          <w:color w:val="595959"/>
          <w:sz w:val="18"/>
          <w:szCs w:val="18"/>
        </w:rPr>
        <w:t xml:space="preserve">港股公告精选｜龙源电力前8月光伏发电量同比增约两成 江波龙单日回购超4亿元A股 — https://www.moomooapp.com/hans/news/post/75951641/hk-stock-exchange-announcements-highlights-longyuan-power-s-photovoltaic-generation?level=1&amp;data_ticket=1788916530167976</w:t>
      </w:r>
    </w:p>
    <w:p>
      <w:pPr>
        <w:spacing w:after="200"/>
      </w:pPr>
      <w:r>
        <w:rPr>
          <w:i/>
          <w:iCs/>
          <w:color w:val="595959"/>
          <w:sz w:val="18"/>
          <w:szCs w:val="18"/>
        </w:rPr>
        <w:t xml:space="preserve">石药集团(01093.HK)SYH2083滴眼液在中国获临床试验批准 — https://www.hktop100rc.org/zh-cn/research/professor/1000234/6aa0fc932308295c0a016b9a</w:t>
      </w:r>
    </w:p>
    <w:p>
      <w:pPr>
        <w:spacing w:after="200"/>
      </w:pPr>
      <w:r>
        <w:rPr>
          <w:i/>
          <w:iCs/>
          <w:color w:val="595959"/>
          <w:sz w:val="18"/>
          <w:szCs w:val="18"/>
        </w:rPr>
        <w:t xml:space="preserve">问答 — https://irm.cninfo.com.cn/ircs/question/questionDetail?questionId=2293644297336471552</w:t>
      </w:r>
    </w:p>
    <w:p>
      <w:pPr>
        <w:spacing w:after="200"/>
      </w:pPr>
      <w:r>
        <w:rPr>
          <w:i/>
          <w:iCs/>
          <w:color w:val="595959"/>
          <w:sz w:val="18"/>
          <w:szCs w:val="18"/>
        </w:rPr>
        <w:t xml:space="preserve">香港交易所(00388.HK)2025年股東應佔溢利177.54億港元 按年升36% 第二次中期息6.52港元 — https://www.finet.hk/newscenter/news_content/699fe0015a7712f8f349a3e3</w:t>
      </w:r>
    </w:p>
    <w:p>
      <w:pPr>
        <w:spacing w:after="200"/>
      </w:pPr>
      <w:r>
        <w:rPr>
          <w:i/>
          <w:iCs/>
          <w:color w:val="595959"/>
          <w:sz w:val="18"/>
          <w:szCs w:val="18"/>
        </w:rPr>
        <w:t xml:space="preserve">【新股IPO】香港交易所（00388.HK）2025年报：营收29.16亿港元，IPO募资全球第一 — https://hk.stockstar.com/IG2026022700011296.shtml</w:t>
      </w:r>
    </w:p>
    <w:p>
      <w:pPr>
        <w:spacing w:after="200"/>
      </w:pPr>
      <w:r>
        <w:rPr>
          <w:i/>
          <w:iCs/>
          <w:color w:val="595959"/>
          <w:sz w:val="18"/>
          <w:szCs w:val="18"/>
        </w:rPr>
        <w:t xml:space="preserve">香港交易所(00388.HK)：2025年全年业绩、股息及暂停办理股份过户登记手续内容摘要-证券之星 — https://wap.stockstar.com/detail/AN2026022600016311</w:t>
      </w:r>
    </w:p>
    <w:p>
      <w:pPr>
        <w:spacing w:after="200"/>
      </w:pPr>
      <w:r>
        <w:rPr>
          <w:i/>
          <w:iCs/>
          <w:color w:val="595959"/>
          <w:sz w:val="18"/>
          <w:szCs w:val="18"/>
        </w:rPr>
        <w:t xml:space="preserve">香港交易所(00388)發佈2025年全年業績，股東應占溢利177.54億港元 同比增加36% 作者 智通財經 — https://hk.investing.com/news/stock-market-news/article-1331995</w:t>
      </w:r>
    </w:p>
    <w:p>
      <w:pPr>
        <w:spacing w:after="200"/>
      </w:pPr>
      <w:r>
        <w:rPr>
          <w:i/>
          <w:iCs/>
          <w:color w:val="595959"/>
          <w:sz w:val="18"/>
          <w:szCs w:val="18"/>
        </w:rPr>
        <w:t xml:space="preserve">香港交易所(00388)2025年股东溢利同比增长36.05% 拟派第二次中期股息6.52港元-证券之星 — https://wap.stockstar.com/detail/IG2026022600015678</w:t>
      </w:r>
    </w:p>
    <w:p>
      <w:pPr>
        <w:spacing w:after="200"/>
      </w:pPr>
      <w:r>
        <w:rPr>
          <w:i/>
          <w:iCs/>
          <w:color w:val="595959"/>
          <w:sz w:val="18"/>
          <w:szCs w:val="18"/>
        </w:rPr>
        <w:t xml:space="preserve">香港交易所(00388)发布2025年全年业绩，股东应占溢利177.54亿港元 同比增加36% — https://www.zhitongcaijing.com/content/detail/1407482.html</w:t>
      </w:r>
    </w:p>
    <w:p>
      <w:pPr>
        <w:spacing w:after="200"/>
      </w:pPr>
      <w:r>
        <w:rPr>
          <w:i/>
          <w:iCs/>
          <w:color w:val="595959"/>
          <w:sz w:val="18"/>
          <w:szCs w:val="18"/>
        </w:rPr>
        <w:t xml:space="preserve">() 股價、新聞、圖表、公司資料詳情 — https://stock360.hkej.com/quotePlus/stockBusiness/388</w:t>
      </w:r>
    </w:p>
    <w:p>
      <w:pPr>
        <w:spacing w:after="200"/>
      </w:pPr>
      <w:r>
        <w:rPr>
          <w:i/>
          <w:iCs/>
          <w:color w:val="595959"/>
          <w:sz w:val="18"/>
          <w:szCs w:val="18"/>
        </w:rPr>
        <w:t xml:space="preserve">港交所业绩再创历史新高，行政总裁陈翊庭：市场有扩大保密申请范围的诉求，会全方位慎重考虑 — https://m.nbd.com.cn/articles/2026-02-27/4270984.html</w:t>
      </w:r>
    </w:p>
    <w:p>
      <w:pPr>
        <w:spacing w:after="200"/>
      </w:pPr>
      <w:r>
        <w:rPr>
          <w:i/>
          <w:iCs/>
          <w:color w:val="595959"/>
          <w:sz w:val="18"/>
          <w:szCs w:val="18"/>
        </w:rPr>
        <w:t xml:space="preserve">香港交易所(00388.HK)2025年度股东应占溢利增长40%至177.54亿港元 第二次中期股息每股6.52港元 — https://finance.jrj.com.cn/2026/02/26121456089473.shtml</w:t>
      </w:r>
    </w:p>
    <w:p>
      <w:pPr>
        <w:spacing w:after="200"/>
      </w:pPr>
      <w:r>
        <w:rPr>
          <w:i/>
          <w:iCs/>
          <w:color w:val="595959"/>
          <w:sz w:val="18"/>
          <w:szCs w:val="18"/>
        </w:rPr>
        <w:t xml:space="preserve">《大行》摩通：港交所(00388.HK)上季盈利强劲 维持「增持」评级 — https://www.aastocks.com/sc/mobile/news.aspx?newsid=now.1505127&amp;newstype=61&amp;newssource=hk6</w:t>
      </w:r>
    </w:p>
    <w:p>
      <w:pPr>
        <w:spacing w:after="200"/>
      </w:pPr>
      <w:r>
        <w:rPr>
          <w:i/>
          <w:iCs/>
          <w:color w:val="595959"/>
          <w:sz w:val="18"/>
          <w:szCs w:val="18"/>
        </w:rPr>
        <w:t xml:space="preserve">中策富滙证券有限公司 — http://content.etnet.com.hk/content/cswealth/sc/quote.php?code=80388</w:t>
      </w:r>
    </w:p>
    <w:p>
      <w:pPr>
        <w:spacing w:after="200"/>
      </w:pPr>
      <w:r>
        <w:rPr>
          <w:i/>
          <w:iCs/>
          <w:color w:val="595959"/>
          <w:sz w:val="18"/>
          <w:szCs w:val="18"/>
        </w:rPr>
        <w:t xml:space="preserve">花旗：下调港交所(00388)目标价至495港元 下调2026至2028年每股盈利预测1% — https://hk.stockstar.com/IG2026090900016297.shtml</w:t>
      </w:r>
    </w:p>
    <w:p>
      <w:pPr>
        <w:spacing w:after="200"/>
      </w:pPr>
      <w:r>
        <w:rPr>
          <w:i/>
          <w:iCs/>
          <w:color w:val="595959"/>
          <w:sz w:val="18"/>
          <w:szCs w:val="18"/>
        </w:rPr>
        <w:t xml:space="preserve">《大行》高盛降港交所(00388.HK)目標價至532元 維持「買入」評級 — https://hk.finance.yahoo.com/news/%E5%A4%A7%E8%A1%8C-%E9%AB%98%E7%9B%9B%E9%99%8D%E6%B8%AF%E4%BA%A4%E6%89%80-00388-hk-%E7%9B%AE%E6%A8%99%E5%83%B9%E8%87%B3532%E5%85%83-073643642.html</w:t>
      </w:r>
    </w:p>
    <w:p>
      <w:pPr>
        <w:spacing w:after="200"/>
      </w:pPr>
      <w:r>
        <w:rPr>
          <w:i/>
          <w:iCs/>
          <w:color w:val="595959"/>
          <w:sz w:val="18"/>
          <w:szCs w:val="18"/>
        </w:rPr>
        <w:t xml:space="preserve">高盛：维持港交所(00388)“买入”评级 目标价下调至532港元 — https://hk.stockstar.com/IG2026090900028008.shtml</w:t>
      </w:r>
    </w:p>
    <w:p>
      <w:pPr>
        <w:spacing w:after="200"/>
      </w:pPr>
      <w:r>
        <w:rPr>
          <w:i/>
          <w:iCs/>
          <w:color w:val="595959"/>
          <w:sz w:val="18"/>
          <w:szCs w:val="18"/>
        </w:rPr>
        <w:t xml:space="preserve">花旗下調港交所(00388)目標價至495元 維持「買入」評級 — https://hk.finance.yahoo.com/news/%E8%8A%B1%E6%97%97%E4%B8%8B%E8%AA%BF%E6%B8%AF%E4%BA%A4%E6%89%80-00388-%E7%9B%AE%E6%A8%99%E5%83%B9%E8%87%B3495%E5%85%83-%E7%B6%AD%E6%8C%81-%E8%B2%B7%E5%85%A5-025551876.html</w:t>
      </w:r>
    </w:p>
    <w:p>
      <w:pPr>
        <w:spacing w:after="200"/>
      </w:pPr>
      <w:r>
        <w:rPr>
          <w:i/>
          <w:iCs/>
          <w:color w:val="595959"/>
          <w:sz w:val="18"/>
          <w:szCs w:val="18"/>
        </w:rPr>
        <w:t xml:space="preserve">高盛：維持港交所(00388)“買入”評級 目標價下調至532港元 作者 智通財經 — https://hk.investing.com/news/stock-market-news/article-1648198</w:t>
      </w:r>
    </w:p>
    <w:p>
      <w:pPr>
        <w:spacing w:after="200"/>
      </w:pPr>
      <w:r>
        <w:rPr>
          <w:i/>
          <w:iCs/>
          <w:color w:val="595959"/>
          <w:sz w:val="18"/>
          <w:szCs w:val="18"/>
        </w:rPr>
        <w:t xml:space="preserve">香港交易所(00388.HK)：Elliott就LME镍事件提交新竞争法申索 尚未完成送达 — https://finance.jrj.com.cn/2026/09/09141658397085.shtml</w:t>
      </w:r>
    </w:p>
    <w:p>
      <w:pPr>
        <w:spacing w:after="200"/>
      </w:pPr>
      <w:r>
        <w:rPr>
          <w:i/>
          <w:iCs/>
          <w:color w:val="595959"/>
          <w:sz w:val="18"/>
          <w:szCs w:val="18"/>
        </w:rPr>
        <w:t xml:space="preserve">花旗：下调港交所(00388)目标价至495港元 下调2026至2028年每股盈利预测1% — https://www.zhitongcaijing.com/content/detail/1493738.html</w:t>
      </w:r>
    </w:p>
    <w:p>
      <w:pPr>
        <w:spacing w:after="200"/>
      </w:pPr>
      <w:r>
        <w:rPr>
          <w:i/>
          <w:iCs/>
          <w:color w:val="595959"/>
          <w:sz w:val="18"/>
          <w:szCs w:val="18"/>
        </w:rPr>
        <w:t xml:space="preserve">高盛：维持港交所(00388)“买入”评级 目标价下调至532港元 — https://www.zhitongcaijing.com/content/detail/1493867.html</w:t>
      </w:r>
    </w:p>
    <w:p>
      <w:pPr>
        <w:spacing w:after="200"/>
      </w:pPr>
      <w:r>
        <w:rPr>
          <w:i/>
          <w:iCs/>
          <w:color w:val="595959"/>
          <w:sz w:val="18"/>
          <w:szCs w:val="18"/>
        </w:rPr>
        <w:t xml:space="preserve">花旗：下調港交所(00388)目標價至495港元 下調2026至2028年每股盈利預測1% 作者 智通財經 — https://hk.investing.com/news/stock-market-news/article-1647864</w:t>
      </w:r>
    </w:p>
    <w:p>
      <w:pPr>
        <w:spacing w:after="200"/>
      </w:pPr>
      <w:r>
        <w:rPr>
          <w:i/>
          <w:iCs/>
          <w:color w:val="595959"/>
          <w:sz w:val="18"/>
          <w:szCs w:val="18"/>
        </w:rPr>
        <w:t xml:space="preserve">Pursuant to Chapter 38 of the Rules Governing the Listing of Securities on The Stock Exchange of Hong Kong Limited, the Securities — https://www.hkex.com.hk/News/News-Release/2025/250227news?sc_lang=en&amp;utm_source=openai</w:t>
      </w:r>
    </w:p>
    <w:p>
      <w:pPr>
        <w:spacing w:after="200"/>
      </w:pPr>
      <w:r>
        <w:rPr>
          <w:i/>
          <w:iCs/>
          <w:color w:val="595959"/>
          <w:sz w:val="18"/>
          <w:szCs w:val="18"/>
        </w:rPr>
        <w:t xml:space="preserve">Hong Kong Exchanges and Clearing Limited (HKG:0388) Historical Stock Price Data — https://stockanalysis.com/quote/hkg/0388/history/</w:t>
      </w:r>
    </w:p>
    <w:p>
      <w:pPr>
        <w:spacing w:after="200"/>
      </w:pPr>
      <w:r>
        <w:rPr>
          <w:i/>
          <w:iCs/>
          <w:color w:val="595959"/>
          <w:sz w:val="18"/>
          <w:szCs w:val="18"/>
        </w:rPr>
        <w:t xml:space="preserve">https://content.etnet.com.hk/content/cpyrevamp/tc/stock_quote.php?code=00388&amp;utm_source=openai — https://content.etnet.com.hk/content/cpyrevamp/tc/stock_quote.php?code=00388&amp;utm_source=openai</w:t>
      </w:r>
    </w:p>
    <w:p>
      <w:pPr>
        <w:spacing w:after="200"/>
      </w:pPr>
      <w:r>
        <w:rPr>
          <w:i/>
          <w:iCs/>
          <w:color w:val="595959"/>
          <w:sz w:val="18"/>
          <w:szCs w:val="18"/>
        </w:rPr>
        <w:t xml:space="preserve">Hong Kong Exchanges and Clearing (HKG:0388) Stock Price &amp; Overview — https://stockanalysis.com/quote/hkg/0388/?utm_source=openai</w:t>
      </w:r>
    </w:p>
    <w:p>
      <w:pPr>
        <w:spacing w:after="200"/>
      </w:pPr>
      <w:r>
        <w:rPr>
          <w:i/>
          <w:iCs/>
          <w:color w:val="595959"/>
          <w:sz w:val="18"/>
          <w:szCs w:val="18"/>
        </w:rPr>
        <w:t xml:space="preserve">香港交易所00388股票行情，報價、圖表、新聞 - 微牛Webull — https://www.webull.hk/quote/hkg-00388/releases?utm_source=openai</w:t>
      </w:r>
    </w:p>
    <w:p>
      <w:pPr>
        <w:spacing w:after="200"/>
      </w:pPr>
      <w:r>
        <w:rPr>
          <w:i/>
          <w:iCs/>
          <w:color w:val="595959"/>
          <w:sz w:val="18"/>
          <w:szCs w:val="18"/>
        </w:rPr>
        <w:t xml:space="preserve">香港交易所(0388)股票行情走势技术分析_未来预测_买卖操作建议_英为财情Investing.com — https://cn.investing.com/equities/hkex-technical?utm_source=openai</w:t>
      </w:r>
    </w:p>
    <w:p>
      <w:pPr>
        <w:spacing w:after="200"/>
      </w:pPr>
      <w:r>
        <w:rPr>
          <w:i/>
          <w:iCs/>
          <w:color w:val="595959"/>
          <w:sz w:val="18"/>
          <w:szCs w:val="18"/>
        </w:rPr>
        <w:t xml:space="preserve">0388 Technical Analysis, RSI and Moving Averages - Investing.com — https://www.investing.com/equities/hkex-technical?utm_source=openai</w:t>
      </w:r>
    </w:p>
    <w:p>
      <w:pPr>
        <w:spacing w:after="200"/>
      </w:pPr>
      <w:r>
        <w:rPr>
          <w:i/>
          <w:iCs/>
          <w:color w:val="595959"/>
          <w:sz w:val="18"/>
          <w:szCs w:val="18"/>
        </w:rPr>
        <w:t xml:space="preserve">00388 香港交易所 HKEX - 股票卖空 - etnet 经济通|香港新闻财经资讯和生活平台 — https://ashares.etnet.com.hk/www/sc/stocks/realtime/quote_shortsell.php?code=00388&amp;utm_source=openai</w:t>
      </w:r>
    </w:p>
    <w:p>
      <w:pPr>
        <w:spacing w:after="200"/>
      </w:pPr>
      <w:r>
        <w:rPr>
          <w:i/>
          <w:iCs/>
          <w:color w:val="595959"/>
          <w:sz w:val="18"/>
          <w:szCs w:val="18"/>
        </w:rPr>
        <w:t xml:space="preserve">香港交易所(HK0388) 股东持股_F10_同花顺金融服务网 — https://basic.10jqka.com.cn/176/HK0388/holder.html?utm_source=openai</w:t>
      </w:r>
    </w:p>
    <w:p>
      <w:pPr>
        <w:spacing w:after="200"/>
      </w:pPr>
      <w:r>
        <w:rPr>
          <w:i/>
          <w:iCs/>
          <w:color w:val="595959"/>
          <w:sz w:val="18"/>
          <w:szCs w:val="18"/>
        </w:rPr>
        <w:t xml:space="preserve">Hong Kong Exchanges and Clearing Limited - Annual Report 2025 | FinancialFilings — https://financialfilings.com/filings/hong-kong-exchanges-and-clearing-limited/annual-report/2026/32953044/?utm_source=openai</w:t>
      </w:r>
    </w:p>
    <w:p>
      <w:pPr>
        <w:spacing w:after="200"/>
      </w:pPr>
      <w:r>
        <w:rPr>
          <w:i/>
          <w:iCs/>
          <w:color w:val="595959"/>
          <w:sz w:val="18"/>
          <w:szCs w:val="18"/>
        </w:rPr>
        <w:t xml:space="preserve">本报告由AI基于公开渠道信息自动检索、整理并生成，信息截至 行情数据主要截至2026年9月11日港股收市；研究时点为2026年9月13日。金额单位均为港元（HKD）。，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2026-09-13T15:00:18.268Z</dcterms:created>
  <dcterms:modified xsi:type="dcterms:W3CDTF">2026-09-13T15:00:18.268Z</dcterms:modified>
</cp:coreProperties>
</file>

<file path=docProps/custom.xml><?xml version="1.0" encoding="utf-8"?>
<Properties xmlns="http://schemas.openxmlformats.org/officeDocument/2006/custom-properties" xmlns:vt="http://schemas.openxmlformats.org/officeDocument/2006/docPropsVTypes"/>
</file>