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腾讯控股有限公司 (00700)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行业：社交平台与综合互联网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报告日期：2026年10月2日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行情截至2026-09-30收盘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核心结论：平台变现仍稳，但二季度归母利润乏力，AI投入回报待验证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收盘价（当日涨跌）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431.00港元（-0.23%）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约39189.13亿港元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14.9倍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PB(最近一期)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2.95倍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411.00～683.00港元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成交额/换手率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97.05亿港元／0.25%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行情数据截至：2026-09-30收盘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收入稳增，二季度利润显著掉队</w:t>
      </w:r>
      <w:r>
        <w:rPr>
          <w:sz w:val="22"/>
          <w:szCs w:val="22"/>
        </w:rPr>
        <w:t xml:space="preserve">：2026年上半年收入同比增10.1%、归母净利增10.3%；二季度收入增11.0%，归母净利仅增0.7%，非IFRS盈利增9%。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广告与游戏是主要增长引擎</w:t>
      </w:r>
      <w:r>
        <w:rPr>
          <w:sz w:val="22"/>
          <w:szCs w:val="22"/>
        </w:rPr>
        <w:t xml:space="preserve">：2025年营销服务收入增19.4%、增值服务增15.7%；金融科技及企业服务增8.2%，增长相对较慢。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估值不高，但隐含增长并非零要求</w:t>
      </w:r>
      <w:r>
        <w:rPr>
          <w:sz w:val="22"/>
          <w:szCs w:val="22"/>
        </w:rPr>
        <w:t xml:space="preserve">：9月30日收盘HKD431，PE 14.9倍、PB 2.95倍；按既定回报假设，价格隐含EPS年均增长约8.9%。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：14.9倍PE对应的市场隐含EPS年均增速约8.9%；一致预期提供2026—2028年净利润预测，但未给可比EPS增速，无法直接判断高低。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：上半年收入和归母利润均增逾10%，但二季度报告口径归母净利仅增0.7%，与非IFRS盈利增9%分化；利润预测口径亦未明确，增长质量仍待后续验证。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证据倾向：均衡；置信度：高（44家机构覆盖、行情与财报数字经程序核对）</w:t>
      </w:r>
    </w:p>
    <w:p>
      <w:pPr>
        <w:spacing w:after="160" w:line="300"/>
      </w:pPr>
      <w:r>
        <w:rPr>
          <w:sz w:val="22"/>
          <w:szCs w:val="22"/>
        </w:rPr>
        <w:t xml:space="preserve">平台变现与毛利率改善提供支撑，但二季度报告利润偏弱，且市场隐含增速与一致预期口径不可直接比较。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向用户提供社交、游戏及内容服务，向广告主提供营销服务，并向商户和企业提供支付、金融科技及云服务。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增值服务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49.1%（2025年度）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60%（2025年度）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15.7%（2025年度）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含游戏及社交网络；国内、国际游戏分别增长18%、33%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金融科技及企业服务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30.5%（2025年度）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51%（2025年度）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8.2%（2025年度）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含支付、财富管理及云服务，成本效率改善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营销服务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19.3%（2025年度）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58%（2025年度）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19.4%（2025年度）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视频号、微信搜一搜及AI广告定向带动增长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1.1%（2025年度）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约4%（2025年度）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4.1%（2025年度）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规模较小，对集团毛利影响有限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竞争优势强度：中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社交网络效应：2026年6月微信及WeChat合并MAU为14.39亿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平台生态连接社交、内容、广告、支付、小程序及商家服务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游戏内容与运营：2025年VAS收入增长15.7%，毛利率60%</w:t>
      </w:r>
    </w:p>
    <w:p>
      <w:pPr>
        <w:spacing w:after="160" w:line="300"/>
      </w:pPr>
      <w:r>
        <w:rPr>
          <w:sz w:val="22"/>
          <w:szCs w:val="22"/>
        </w:rPr>
        <w:t xml:space="preserve">主要威胁：游戏生命周期及监管、广告预算向其他平台迁移、支付与云竞争，以及AI算力投入和折旧成本。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主要投入包括内容与游戏授权、渠道分成、银行手续费、研发及员工成本，以及数据中心、服务器、网络和带宽等基础设施。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2025年五大供应商占采购额18.8%、最大供应商4.4%；公司规模或有助谈判，但年报未披露逐项议价权，内容、渠道和算力成本仍构成压力。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终端用户购买游戏及内容服务；广告主购买营销服务；商户和企业使用支付、金融科技及云服务。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议价主要通过广告竞价、渠道费率、内容授权分成及服务价格体现；广告主可跨平台配置预算，游戏分发亦有第三方渠道分成。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2025年年报：前五大客户占收入6.5%，最大客户3.4%；仅有该年度口径。五大客户收入占比未达10%。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2025年末应收账款净额人民币49,930百万元，为全年收入约6.6%；按年末余额粗算约24天。应付账款人民币121,127百万元；两类账款口径不同，不据余额差判断议价权。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2021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43.9%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40.1%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43.1%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33.9%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收入及毛利回落，毛利率下降0.8个百分点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48.1%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18.9%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毛利增长快于收入；非毛利项目影响归母净利率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52.9%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29.4%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毛利率延续回升，分业务贡献未细分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56.2%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29.9%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高毛利业务占比提升，金融科技及云服务成本效率改善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腾讯处于社交、游戏、广告等下游平台型业务位置，2025年集团毛利率56.2%。利润率改善主要由高毛利游戏及广告占比提升、金融科技和云服务效率改善驱动；内容分成、渠道费及AI算力投入可能抵消部分增益。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综合互联网平台仍由社交、内容、游戏及广告变现支撑；腾讯2025年广告收入增长19.4%，视频号与微信搜一搜等高毛利收入流增长，AI算力投入则增加成本压力。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阿里巴巴（09988）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电商平台、云及企业技术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FY2026收入人民币1；023；670百万元；毛利率39.8%；PE(最近完整财年) 17.51倍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业务含直接销售，收入确认及结构与腾讯差异较大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网易（09999）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游戏及相关增值服务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2025年收入人民币112；626百万元；毛利率64.3%；PE(最近完整财年) 15.62倍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游戏业务较直接可比，但规模及业务组合较窄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快手（01024）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短视频、直播及线上营销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2025年收入人民币142；800百万元；毛利率55.0%；PE(最近完整财年) 6.12倍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主要竞争用户时长及广告预算；PE受盈利口径影响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腾讯的核心优势是社交平台连接多类服务，并以游戏、广告、支付及云形成较广业务组合；2025年集团毛利率56.2%，高于阿里巴巴的39.8%，低于网易的64.3%，与快手的55.0%接近。腾讯短板在于内容、渠道和算力投入持续存在，游戏与广告也面对跨平台竞争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4,012.43亿元人民币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+10.1%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1,141.15亿元人民币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+10.3%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57.25%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2026年第二季度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2,047.85亿元人民币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+11.0%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560.22亿元人民币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+0.7%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约57.8%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7,517.66亿元人民币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+13.9%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2,248.42亿元人民币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+15.9%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56.21%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6,602.57亿元人民币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+8.4%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1,940.73亿元人民币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+68.4%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52.90%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金额按人民币列示；Non-IFRS利润不等同于统一口径扣非净利润。</w:t>
      </w:r>
    </w:p>
    <w:p>
      <w:pPr>
        <w:spacing w:after="160" w:line="300"/>
      </w:pPr>
      <w:r>
        <w:rPr>
          <w:sz w:val="22"/>
          <w:szCs w:val="22"/>
        </w:rPr>
        <w:t xml:space="preserve">2026年上半年收入与归母利润保持增长，但二季度归母利润仅增0.7%，明显落后于收入增速；上半年毛利率较2025年同期提升。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43.4%；2026年6月底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为总负债/总资产口径，不代表有息负债率。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净现金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581.91亿元人民币；2026年6月底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期末仍为净现金，低于2025年末的1,071亿元。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经营现金流/自由现金流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2026Q2：527亿/-138亿元人民币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算力预付款及资本开支影响单季现金流。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年化ROE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约19.9%；2026年上半年估算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按上半年归母利润简单年化估算。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应收账款周转天数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约24天；2026年上半年估算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以收入近似计算，并非公司正式披露指标。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商誉/归母权益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约13.3%；2025年末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商誉规模较大，需跟踪收购资产表现及减值。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PE(最近完整财年)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14.9倍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中位数15.62倍（阿里巴巴17.51、网易15.62、快手6.12）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PB(最近一期)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2.95倍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中位数1.72倍（阿里巴巴1.72、网易3.16、快手1.38）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PS(最近完整财年)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4.46倍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中位数1.77倍（阿里巴巴1.77、网易4.68、快手0.80）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股息率（静态估算）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约1.23%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估值倍数由程序按2026-09-30收盘数据计算（市盈率/市销率按最近完整财年、市净率按最近一期）；同行倍数按2026-09-30收盘数据同口径计算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市场隐含预期：以当前14.9倍市盈率计，若投资者要求年化9%的回报、10年后按15倍市盈率估值，每股收益需年均增长约8.9%（不计分红，偏保守），可与下方机构预测增速对照。</w:t>
      </w:r>
    </w:p>
    <w:p>
      <w:pPr>
        <w:spacing w:after="160" w:line="300"/>
      </w:pPr>
      <w:r>
        <w:rPr>
          <w:sz w:val="22"/>
          <w:szCs w:val="22"/>
        </w:rPr>
        <w:t xml:space="preserve">截至9月30日PE 14.9倍、PB 2.95倍、PS 4.46倍；PE低于阿里17.51倍、网易15.62倍，高于快手6.12倍。缺少历史分位，不能判断自身历史贵贱。14.9倍PE隐含EPS年均增长约8.9%；机构净利润预测未提供可比EPS增速，价格要求尚不能与一致预期直接核对。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8,260.5亿元人民币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2,294.18亿元人民币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2,406.02亿元人民币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+4.9%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2,667.90亿元人民币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+10.9%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2026年收入为42名分析师均值；利润为经济通汇总预测，覆盖数及IFRS/Non-IFRS口径未明确。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经济通17份报告均价HKD 661.47，区间HKD 439—780；最新列举报告为摩根士丹利9月2日。另44名分析师均价HKD 663.96，区间HKD 428.45—886.06。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美银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2026年8月17日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目标价HKD 780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瑞银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2026年8月20日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目标价HKD 770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高盛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2026年8月31日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目标价HKD 670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中金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跑赢行业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2026年8月28日</w:t>
            </w:r>
          </w:p>
        </w:tc>
        <w:tc>
          <w:tcPr>
            <w:tcW w:type="dxa" w:w="3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目标价HKD 666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摩根士丹利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增持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2026年9月2日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目标价HKD 550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2026-10-28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哔哩哔哩特别股东大会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关注独立股东是否批准腾讯附属公司的票据认购及股份回购安排；未获批准则交易无法按拟定安排交割。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2026-11-18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腾讯审议第三季度业绩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关注AI投入转化、主要业务增长及投资损益；董事会亦将考虑派息（如有），不代表已宣布派息方案。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2026-08-12 中期业绩增长但利润口径分化（中性）</w:t>
      </w:r>
      <w:r>
        <w:rPr>
          <w:sz w:val="22"/>
          <w:szCs w:val="22"/>
        </w:rPr>
        <w:t xml:space="preserve">：上半年业绩已披露：第二季度收入同比增11%，非IFRS归母盈利增9%；报告口径归母盈利仅增约0.7%，联营及合营企业应占亏损约人民币100亿元。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2026-09-04 腾讯参与哔哩哔哩交易（中性）</w:t>
      </w:r>
      <w:r>
        <w:rPr>
          <w:sz w:val="22"/>
          <w:szCs w:val="22"/>
        </w:rPr>
        <w:t xml:space="preserve">：腾讯附属公司拟认购US$200百万元可转债，哔哩哔哩拟向其回购约US$200百万元股份；相关交易仍待独立股东批准，尚未完成。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2026-09-29 持续回购并拟注销股份（利好）</w:t>
      </w:r>
      <w:r>
        <w:rPr>
          <w:sz w:val="22"/>
          <w:szCs w:val="22"/>
        </w:rPr>
        <w:t xml:space="preserve">：腾讯回购232,000股，价格为每股HKD 431.8至439.4，耗资约HKD 100.63百万元，拟注销；本轮授权累计回购47,853,700股。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2026-08-28 混元Hy4 preview发布并开源（中性）</w:t>
      </w:r>
      <w:r>
        <w:rPr>
          <w:sz w:val="22"/>
          <w:szCs w:val="22"/>
        </w:rPr>
        <w:t xml:space="preserve">：腾讯发布并开源混元Hy4 preview，官方披露总参数量7700亿、上下文窗口超过100万tokens；商业化收入及付费转化尚待验证。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微信及WeChat合并MAU达14.39亿，社交入口连接广告、支付与小程序，支撑多元变现。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2025年集团毛利率升至56.2%，2026年上半年为57.25%，高毛利业务扩张与成本效率改善仍在延续。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二季度报告口径归母净利仅增0.7%，联营及合营企业应占亏损约人民币100亿元，投资损益拖累明显。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2026年二季度自由现金流为负人民币138亿元，期末净现金由2025年末人民币1,071亿元降至人民币581.91亿元。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AI算力投入和资本开支继续上升→折旧、研发及现金支出增加，若商业化未跟上将压低利润率与现金流。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游戏生命周期或监管变化→核心增值服务的内容供给和收入增长承压，削弱高毛利业务对利润的支撑。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商誉约占2025年末归母权益13.3%→收购资产表现不及预期时可能计提减值，拖累利润。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三季度利润增速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二季度归母净利增0.7%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报告口径利润增速回升并接近收入增速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报告口径利润继续明显落后于收入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广告与增值服务增长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2025年分别增19.4%、15.7%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后续披露继续保持双位数增长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任一业务增速持续降至个位数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现金流与净现金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二季度FCF负人民币138亿元；净现金人民币581.91亿元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自由现金流转正且净现金止跌回升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自由现金流持续为负且净现金继续下降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混元商业化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Hy4 preview已发布并开源，收入未披露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披露可量化付费转化或收入贡献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算力投入扩大但商业化贡献仍未显现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⚠️风险提示：情景权重为基于当前技术与资金面的主观启发式判断，非统计概率，不构成投资建议。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股价低于短中期均线，短线偏弱但尚未明显超卖；419~423港元为近端支撑观察区，反弹需先收复均线簇并突破448.59港元布林上轨。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近5/20日涨跌幅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-2.27%/-1.64%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短期走势偏弱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MA5/10/20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MA5 435.56 / MA10 434.54 / MA20 434.29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股价低于短中期均线簇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MA60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MA60 450.92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中期均线仍构成上方压力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RSI6/RSI14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42.7 / RSI14 45.4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偏弱，未明显超卖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MACD柱（前值）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-3.099 / DEA -3.943 / 柱 1.689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仍为正值但动能减弱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434.3~448.6港元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均线簇与布林上轨所在区；有效突破后可观察463.4港元近20日高位。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419~423港元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近20日低点及布林下轨附近；失守或打开向411港元低点回探空间。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411~415港元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52周低点附近；有效跌破后，现有指标未给出更低的明确支撑位。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以2026-09-30价格431.00港元为基准，用近300个交易日的收益分布（按当前指数加权日波动率约1.9%缩放，保留这只股票自身的大涨大跌频率）推算未来5个交易日的收盘价范围：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411.67～446.88港元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-4.5%～+3.7%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393.39～467.44港元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-8.7%～+8.5%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：420~449港元；419~423港元支撑守稳，但未能有效突破449港元，且无重大消息推动。按历史波动率测算，一周后收盘落在该区间的概率约55%。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：411~420港元；收盘跌破约419港元，若科技板块走弱或下跌时成交放大，可能回探52周低点。按历史波动率测算，一周后收盘落在该区间的概率约15%。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：449~463港元；收盘站上448.6港元并伴随成交放大，若AI芯片租赁报道获确认或市场情绪配合，可观察向近20日高位推进。按历史波动率测算，一周后收盘落在该区间的概率约10%。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截至2026-09-30换手率0.25%；9/17-30成交额39.58亿~321.66亿港元，剔除9/22高值后为39.58亿~98.70亿。港交所权益披露（2026-01-23）列MIH持股31.10%，Prosus/Naspers等权益有重叠，非完整前十；第三方可见公募及国际机构持仓，但日期不一、结构或变。腾讯属大市值高成交股，非薄流动性小盘，成交回落仍会加大短线价格冲击。</w:t>
      </w:r>
    </w:p>
    <w:p>
      <w:pPr>
        <w:spacing w:after="160" w:line="300"/>
      </w:pPr>
      <w:r>
        <w:rPr>
          <w:sz w:val="22"/>
          <w:szCs w:val="22"/>
        </w:rPr>
        <w:t xml:space="preserve">若收盘站上449港元且连续两日成交额高于120亿港元，可视为突破伴随资金参与的量能确认信号。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年9月30日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260400-01 — https://www1.hkexnews.hk/listedco/listconews/sehk/2026/0409/2026040901231.pdf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261908-02 — https://www1.hkexnews.hk/listedco/listconews/sehk/2026/0812/2026081200296.pdf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Alibaba Group Holding Ltd. (via Public) / Annual Report for Fiscal Year Ending March 31, 2026 (Form 20-F) — https://ebs.publicnow.com/view/3B2EDA117B73EB87DF15A7C287F9515142BEC7CE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NETEASE, INC._December 31, 2025 — https://www.sec.gov/Archives/edgar/data/1110646/000110465926043468/ntes-20251231x20f.htm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Kuaishou Technology Announces Fourth Quarter and Full Year 2025 Financial Results | Kuaishou Technology — https://ir.kuaishou.com/news-releases/news-release-details/kuaishou-technology-announces-fourth-quarter-and-full-year-2025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Tencent Holdings (HKG:0700) Financial Ratios — https://stockanalysis.com/quote/hkg/0700/financials/ratios/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TENCENT ANNOUNCES 2026 SECOND QUARTER RESULTS — https://www.prnewswire.com/apac/news-releases/tencent-announces-2026-second-quarter-results-302849608.html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For Immediate Release — https://static.www.tencent.com/uploads/2026/03/18/bd32d8ee320b72f0d72d545fd2d65851.pdf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260400-01 — https://static.www.tencent.com/uploads/2026/04/09/62d786fcf3d3c8cb7e54791ee95439ac.pdf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Tencent Holdings Limited - Annual Report 2025 | FinancialFilings — https://financialfilings.com/filings/tencent-holdings-limited/annual-report/2026/33896269/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Tencent Holdings Limited (HKG:0700) Historical Stock Price Data — https://stockanalysis.com/quote/hkg/0700/history/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腾讯控股(00700)市盈率|估值|基本面 - 理杏仁 — https://www.lixinger.com/equity/company/detail/hk/00700/700/fundamental/valuation/pe-ttm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EF001
Disclaimer Hong Kong Exchanges and Clearing — https://www.hkexnews.hk/listedco/listconews/sehk/2026/0318/2026031800476.pdf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00700.HK 騰訊控股 | TENCENT | 公司資料 - 盈利預測概覽 - etnet 經濟通|香港新聞財經資訊和生活平台 — https://www.etnet.com.hk/www/tc/stocks/realtime/quote_profit.php?code=700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Listed Company Information Title Search — https://www1.hkexnews.hk/search/titlesearch.xhtml?category=0&amp;market=SEHK&amp;searchType=0&amp;stockId=7609&amp;to=2021024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tencent.com（公告PDF） — https://www.tencent.com/wp-content/uploads/2026/09/e_Next-Day-Disclosure-Return_20260929.pdf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Listed Company Information Title Search — https://www1.hkexnews.hk/search/titlesearch.xhtml?category=0&amp;lang=EN&amp;market=SEHK&amp;stockId=1000087784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Tencent Releases and Open-Sources Tencent Hy4 preview - Tencent — https://www.tencent.com/tencent-releases-and-open-sources-tencent-hy4-preview/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Hong Kong Exchanges and Clearing Limited — https://www3.hkexnews.hk/reports/bmn/ebmn.htm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sec.gov — https://www.sec.gov/Archives/edgar/data/1723690/000119312526401540/d172127dex993.htm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腾讯控股(HK0700) 分红派息_F10_同花顺金融服务网 — https://basic.10jqka.com.cn/176/HK0700/bonus.html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港股通（深）净买入17.69亿港元 _ 东方财富网 — https://finance.eastmoney.com/a/202609303887948749.html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0700.HK TENCENT - Company Short Selling Information - etnet — https://www.etnet.com.hk/www/eng/stocks/realtime/quote_shortsell.php?code=00700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Hong Kong Exchanges and Clearing Limited — https://di.hkex.com.hk/di/NSAllSSList.aspx?cid=0&amp;corpn=Tencent+Holdings+Ltd.&amp;ed=23%2F01%2F2026&amp;g_lang=en&amp;lang=EN&amp;sa1=cl&amp;sa2=as&amp;sc=0700&amp;sced=23%2F01%2F2026&amp;scsd=23%2F01%2F2025&amp;sd=23%2F01%2F2025&amp;sid=6893&amp;src=MAIN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Tencent Holdings Limited: Shareholders, Shareholding Structure - MarketScreener — https://www.marketscreener.com/quote/stock/TENCENT-HOLDINGS-LIMITED-3045861/company-shareholders/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Tencent leases 100,000 chips from Oracle for $7 bln- FT By Investing.com — https://www.investing.com/news/stock-market-news/tencent-leases-100000-chips-from-oracle-for-7-bln-ft-4926203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2026-09-30收盘，可能存在时效性差异，具体数据请以公司正式公告及权威数据终端为准。本报告仅为信息整理与研究参考，不构成任何投资建议，投资者应独立判断并自行承担投资风险。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2026-10-01T18:19:35.572Z</dcterms:created>
  <dcterms:modified xsi:type="dcterms:W3CDTF">2026-10-01T18:19:35.573Z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