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丽珠医药集团股份有限公司（LIVZON PHARMA） (01513)</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行业：综合性制药集团</w:t>
      </w:r>
    </w:p>
    <w:p>
      <w:pPr>
        <w:jc w:val="center"/>
      </w:pPr>
      <w:r>
        <w:rPr>
          <w:color w:val="595959"/>
          <w:sz w:val="22"/>
          <w:szCs w:val="22"/>
        </w:rPr>
        <w:t xml:space="preserve">报告日期：2026年9月13日</w:t>
      </w:r>
    </w:p>
    <w:p>
      <w:pPr>
        <w:jc w:val="center"/>
      </w:pPr>
      <w:r>
        <w:rPr>
          <w:color w:val="595959"/>
          <w:sz w:val="20"/>
          <w:szCs w:val="20"/>
        </w:rPr>
        <w:t xml:space="preserve">截至2026年9月11日港股收盘；2026年9月12日至13日为周末，香港市场无新的正式收盘价。金额均以HKD计。</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丽珠医药（01513.HK）截至2026年上半年业绩明显承压：营业收入为人民币49.9967亿元，同比下降20.28%；归属于母公司股东的净利润为人民币9.3220亿元，同比下降27.23%；扣除非经常性损益后的归母净利润约为人民币8.9020亿元，同比下降约26.57%。下滑主要来自成熟产品价格及销售渠道调整、注射用醋酸亮丙瑞林在广东联盟区域收入下降、氟伏沙明片进入第十一轮国家集采，以及流感和呼吸道疾病发生率低于上年同期。同期经营活动现金流量净额为人民币17.629亿元，同比增长4.50%，显示现金流表现暂时好于利润表现。</w:t>
      </w:r>
    </w:p>
    <w:p>
      <w:pPr>
        <w:spacing w:after="160" w:line="300"/>
      </w:pPr>
      <w:r>
        <w:rPr>
          <w:sz w:val="22"/>
          <w:szCs w:val="22"/>
        </w:rPr>
        <w:t xml:space="preserve">2025年公司营业收入为人民币120.2035亿元，同比增长1.76%，归母净利润为人民币20.2325亿元，同比下降1.84%；综合毛利率约65.90%，销售净利率约20.06%。高毛利的化学制剂和中药制剂收入占比提升，其中化学制剂毛利率为81.06%、中药制剂毛利率为74.82%，但原料药及中间体收入同比下降4.23%、毛利率为34.84%，对增长和盈利形成一定拖累。公司收入仍以境内市场为主，2025年境内收入占83.94%，境外收入占16.06%但同比增长11.97%；经销收入占71.03%，渠道库存、商业客户回款及医院终端结算仍是营运质量的重要观察点。</w:t>
      </w:r>
    </w:p>
    <w:p>
      <w:pPr>
        <w:spacing w:after="160" w:line="300"/>
      </w:pPr>
      <w:r>
        <w:rPr>
          <w:sz w:val="22"/>
          <w:szCs w:val="22"/>
        </w:rPr>
        <w:t xml:space="preserve">公司已获得莱康奇塔单抗注射液（丽倍坦）的药品注册证书，该产品为中国首个获批上市的国产IL-17A/F双靶点产品，累计直接研发投入约人民币2.2331亿元，但其商业化进度、医保准入及放量规模尚未形成可验证收入。公司同时拟以人民币106.69575百万元收购新北江制药3.5044%股权，交易完成后直接持股比例将由约87.14%提升至约90.64%，由于标的已纳入合并范围，主要影响预计体现为少数股东权益减少及未来利润归属比例提高。</w:t>
      </w:r>
    </w:p>
    <w:p>
      <w:pPr>
        <w:spacing w:after="160" w:line="300"/>
      </w:pPr>
      <w:r>
        <w:rPr>
          <w:sz w:val="22"/>
          <w:szCs w:val="22"/>
        </w:rPr>
        <w:t xml:space="preserve">截至2026年9月11日，港股收盘价为20.78 HKD，总市值约184.5亿HKD，动态PE/TTM PE约8.3至9.6倍、PB约1.2倍；不过相关盈利预测的EPS以人民币计价，未进行汇率换算，估值仅适合作为粗略参考。技术面呈现急跌后低位震荡、短线偏超卖而中期趋势仍偏弱的状态：RSI约20.48，股价低于MA20约21.66 HKD，20.0至20.4 HKD为近期支撑观察区，21.2至21.7 HKD为主要反弹压力区。公司拟派特别中期股息每股人民币1.02元，仍需股东会批准，H股投资者实际收取的港币金额及适用汇率以正式派息安排为准。</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港股代码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01513.HK</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000513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港股交易货币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HKD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财务数据货币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人民币；本纪要未进行汇率换算</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最新完整年度数据</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截至2025年12月31日的2025年年度报告</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补充数据</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截至2026年6月30日的2026年半年度报告</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人民币120.20亿元，同比增长1.76%</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2025年境内收入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人民币100.90亿元，占83.94%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2025年境外收入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人民币19.30亿元，占16.06%；同比增长11.97%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2025年销售模式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经销收入人民币85.38亿元，占71.03%；直销收入人民币34.83亿元，占28.97%</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化学制剂产品</w:t>
      </w:r>
    </w:p>
    <w:p>
      <w:pPr>
        <w:pStyle w:val="ListParagraph"/>
        <w:numPr>
          <w:ilvl w:val="0"/>
          <w:numId w:val="2"/>
        </w:numPr>
        <w:spacing w:after="80" w:line="280"/>
      </w:pPr>
      <w:r>
        <w:rPr>
          <w:sz w:val="22"/>
          <w:szCs w:val="22"/>
        </w:rPr>
        <w:t xml:space="preserve">原料药及医药中间体</w:t>
      </w:r>
    </w:p>
    <w:p>
      <w:pPr>
        <w:pStyle w:val="ListParagraph"/>
        <w:numPr>
          <w:ilvl w:val="0"/>
          <w:numId w:val="2"/>
        </w:numPr>
        <w:spacing w:after="80" w:line="280"/>
      </w:pPr>
      <w:r>
        <w:rPr>
          <w:sz w:val="22"/>
          <w:szCs w:val="22"/>
        </w:rPr>
        <w:t xml:space="preserve">中药制剂</w:t>
      </w:r>
    </w:p>
    <w:p>
      <w:pPr>
        <w:pStyle w:val="ListParagraph"/>
        <w:numPr>
          <w:ilvl w:val="0"/>
          <w:numId w:val="2"/>
        </w:numPr>
        <w:spacing w:after="80" w:line="280"/>
      </w:pPr>
      <w:r>
        <w:rPr>
          <w:sz w:val="22"/>
          <w:szCs w:val="22"/>
        </w:rPr>
        <w:t xml:space="preserve">生物制品</w:t>
      </w:r>
    </w:p>
    <w:p>
      <w:pPr>
        <w:pStyle w:val="ListParagraph"/>
        <w:numPr>
          <w:ilvl w:val="0"/>
          <w:numId w:val="2"/>
        </w:numPr>
        <w:spacing w:after="80" w:line="280"/>
      </w:pPr>
      <w:r>
        <w:rPr>
          <w:sz w:val="22"/>
          <w:szCs w:val="22"/>
        </w:rPr>
        <w:t xml:space="preserve">诊断试剂及设备</w:t>
      </w:r>
    </w:p>
    <w:p>
      <w:pPr>
        <w:pStyle w:val="ListParagraph"/>
        <w:numPr>
          <w:ilvl w:val="0"/>
          <w:numId w:val="2"/>
        </w:numPr>
        <w:spacing w:after="80" w:line="280"/>
      </w:pPr>
      <w:r>
        <w:rPr>
          <w:sz w:val="22"/>
          <w:szCs w:val="22"/>
        </w:rPr>
        <w:t xml:space="preserve">其他业务</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丽珠医药是一家以医药研发、生产和销售为主业的综合性、平台型制药集团，业务横跨化学制剂、特色原料药、中药、生物制品及体外诊断。2025年化学制剂和原料药及中间体合计贡献约77.7%的营业收入，制剂业务构成主要利润来源，原料药及中间体承担规模、现金流和国际化基础。</w:t>
      </w:r>
    </w:p>
    <w:p>
      <w:pPr>
        <w:pStyle w:val="ListParagraph"/>
        <w:numPr>
          <w:ilvl w:val="0"/>
          <w:numId w:val="2"/>
        </w:numPr>
        <w:spacing w:after="80" w:line="280"/>
      </w:pPr>
      <w:r>
        <w:rPr>
          <w:sz w:val="22"/>
          <w:szCs w:val="22"/>
        </w:rPr>
        <w:t xml:space="preserve">公司采购的主要投入包括：化学制剂所需的原料药、药用辅料、包装材料和制药设备；原料药及中间体所需的化工原料、发酵原料及能源动力；中药制剂所需的中药材、中药饮片及辅料；生物制品及多肽产品所需的生物原料、培养基和专业设备；诊断试剂所需的抗原抗体、酶、磁珠、芯片、塑料耗材及仪器部件。</w:t>
      </w:r>
    </w:p>
    <w:p>
      <w:pPr>
        <w:pStyle w:val="ListParagraph"/>
        <w:numPr>
          <w:ilvl w:val="0"/>
          <w:numId w:val="2"/>
        </w:numPr>
        <w:spacing w:after="80" w:line="280"/>
      </w:pPr>
      <w:r>
        <w:rPr>
          <w:sz w:val="22"/>
          <w:szCs w:val="22"/>
        </w:rPr>
        <w:t xml:space="preserve">2025年营业成本为人民币40.99亿元，其中材料费用人民币18.64亿元，占营业成本45.47%；人工费用占16.04%，折旧占9.12%，能源动力占8.75%。材料成本仍是最大单项成本，但占比低于2024年的53.81%。</w:t>
      </w:r>
    </w:p>
    <w:p>
      <w:pPr>
        <w:pStyle w:val="ListParagraph"/>
        <w:numPr>
          <w:ilvl w:val="0"/>
          <w:numId w:val="2"/>
        </w:numPr>
        <w:spacing w:after="80" w:line="280"/>
      </w:pPr>
      <w:r>
        <w:rPr>
          <w:sz w:val="22"/>
          <w:szCs w:val="22"/>
        </w:rPr>
        <w:t xml:space="preserve">上游议价能力存在分层：大宗化工原料、能源及部分通用辅料主要是价格接受者，成本受化工品、能源及环保要求影响；部分化学制剂和中药核心产品可由集团内部相关子公司配套供应，供应稳定性相对较强；中药材价格和供应受产地、气候、质量标准及供需周期影响，公司使用或建设部分自有GAP生产基地，但不能完全消除周期风险。</w:t>
      </w:r>
    </w:p>
    <w:p>
      <w:pPr>
        <w:pStyle w:val="ListParagraph"/>
        <w:numPr>
          <w:ilvl w:val="0"/>
          <w:numId w:val="2"/>
        </w:numPr>
        <w:spacing w:after="80" w:line="280"/>
      </w:pPr>
      <w:r>
        <w:rPr>
          <w:sz w:val="22"/>
          <w:szCs w:val="22"/>
        </w:rPr>
        <w:t xml:space="preserve">特色原料药通过长期客户合作、工艺认证、质量体系及国际注册形成一定客户黏性，议价能力高于普通大宗原料药，但仍受全球原料药价格周期和客户库存调整影响。</w:t>
      </w:r>
    </w:p>
    <w:p>
      <w:pPr>
        <w:pStyle w:val="ListParagraph"/>
        <w:numPr>
          <w:ilvl w:val="0"/>
          <w:numId w:val="2"/>
        </w:numPr>
        <w:spacing w:after="80" w:line="280"/>
      </w:pPr>
      <w:r>
        <w:rPr>
          <w:sz w:val="22"/>
          <w:szCs w:val="22"/>
        </w:rPr>
        <w:t xml:space="preserve">截至2025年年报公开资料，未能确认一组最新、完整且可交叉核实的前五大供应商占比。历史参照数据为：2022年年报约26.36%，2024年半年度报告约29.31%；两者均非2025年全年数据，不能直接代表当前供应商集中度。</w:t>
      </w:r>
    </w:p>
    <w:p>
      <w:pPr>
        <w:pStyle w:val="ListParagraph"/>
        <w:numPr>
          <w:ilvl w:val="0"/>
          <w:numId w:val="2"/>
        </w:numPr>
        <w:spacing w:after="80" w:line="280"/>
      </w:pPr>
      <w:r>
        <w:rPr>
          <w:sz w:val="22"/>
          <w:szCs w:val="22"/>
        </w:rPr>
        <w:t xml:space="preserve">下游客户主要包括医院及医疗机构、医药商业流通企业、零售药店及基层医疗终端、海外制药企业及动保企业，以及诊断试剂经销商、医院检验科和第三方检验机构。</w:t>
      </w:r>
    </w:p>
    <w:p>
      <w:pPr>
        <w:pStyle w:val="ListParagraph"/>
        <w:numPr>
          <w:ilvl w:val="0"/>
          <w:numId w:val="2"/>
        </w:numPr>
        <w:spacing w:after="80" w:line="280"/>
      </w:pPr>
      <w:r>
        <w:rPr>
          <w:sz w:val="22"/>
          <w:szCs w:val="22"/>
        </w:rPr>
        <w:t xml:space="preserve">2025年经销收入占营业收入71.03%，直销收入占28.97%。较高的经销占比说明公司在医院、医药商业及终端市场仍较依赖商业渠道网络；原料药、国际客户及部分诊断产品更接近直销或大客户合作模式。</w:t>
      </w:r>
    </w:p>
    <w:p>
      <w:pPr>
        <w:pStyle w:val="ListParagraph"/>
        <w:numPr>
          <w:ilvl w:val="0"/>
          <w:numId w:val="2"/>
        </w:numPr>
        <w:spacing w:after="80" w:line="280"/>
      </w:pPr>
      <w:r>
        <w:rPr>
          <w:sz w:val="22"/>
          <w:szCs w:val="22"/>
        </w:rPr>
        <w:t xml:space="preserve">化学制剂受到医院端、医保支付、国家及地方集采、医保谈判及商业渠道共同影响，仿制药和成熟制剂价格压力较强，创新药、改良型新药及复杂制剂的差异化和议价能力相对更强。</w:t>
      </w:r>
    </w:p>
    <w:p>
      <w:pPr>
        <w:pStyle w:val="ListParagraph"/>
        <w:numPr>
          <w:ilvl w:val="0"/>
          <w:numId w:val="2"/>
        </w:numPr>
        <w:spacing w:after="80" w:line="280"/>
      </w:pPr>
      <w:r>
        <w:rPr>
          <w:sz w:val="22"/>
          <w:szCs w:val="22"/>
        </w:rPr>
        <w:t xml:space="preserve">原料药及中间体价格更多受全球供需、客户认证周期和产品质量标准影响；高端抗生素、特色原料药及已通过国际认证的产品客户黏性较强，普通中间体更接近周期性商品。</w:t>
      </w:r>
    </w:p>
    <w:p>
      <w:pPr>
        <w:pStyle w:val="ListParagraph"/>
        <w:numPr>
          <w:ilvl w:val="0"/>
          <w:numId w:val="2"/>
        </w:numPr>
        <w:spacing w:after="80" w:line="280"/>
      </w:pPr>
      <w:r>
        <w:rPr>
          <w:sz w:val="22"/>
          <w:szCs w:val="22"/>
        </w:rPr>
        <w:t xml:space="preserve">诊断试剂存在试剂与仪器绑定关系，客户关注检测菜单、仪器装机、结果稳定性、售后服务及医院招标，单纯低价并不构成长期竞争优势。</w:t>
      </w:r>
    </w:p>
    <w:p>
      <w:pPr>
        <w:pStyle w:val="ListParagraph"/>
        <w:numPr>
          <w:ilvl w:val="0"/>
          <w:numId w:val="2"/>
        </w:numPr>
        <w:spacing w:after="80" w:line="280"/>
      </w:pPr>
      <w:r>
        <w:rPr>
          <w:sz w:val="22"/>
          <w:szCs w:val="22"/>
        </w:rPr>
        <w:t xml:space="preserve">2025年全年前五大客户销售占比在本次检索材料中未能确认并完成交叉核实。历史数据为：2022年年报8.77%，2024年半年度报告7.94%；该数据来源年份较早、口径可能随年度变化，不能直接外推至2025年，具体以最新年报为准。</w:t>
      </w:r>
    </w:p>
    <w:p>
      <w:pPr>
        <w:pStyle w:val="ListParagraph"/>
        <w:numPr>
          <w:ilvl w:val="0"/>
          <w:numId w:val="2"/>
        </w:numPr>
        <w:spacing w:after="80" w:line="280"/>
      </w:pPr>
      <w:r>
        <w:rPr>
          <w:sz w:val="22"/>
          <w:szCs w:val="22"/>
        </w:rPr>
        <w:t xml:space="preserve">2025年应收账款周转率约5.75次，对应应收账款周转天数约63.5天；存货周转率约2.30次。该应收账款周转天数显示公司存在医院及商业渠道账期，但公开数据尚未显示极端应收账款占用。由于经销收入约占2025年收入71%，渠道库存、商业客户回款及医院终端结算仍是现金流质量的重要影响因素；上述周转数据来自公开可视化年报资料，具体口径以公司最新年报为准。</w:t>
      </w:r>
    </w:p>
    <w:p>
      <w:pPr>
        <w:pStyle w:val="ListParagraph"/>
        <w:numPr>
          <w:ilvl w:val="0"/>
          <w:numId w:val="2"/>
        </w:numPr>
        <w:spacing w:after="80" w:line="280"/>
      </w:pPr>
      <w:r>
        <w:rPr>
          <w:sz w:val="22"/>
          <w:szCs w:val="22"/>
        </w:rPr>
        <w:t xml:space="preserve">供应商集中度：2022年年报前五大供应商采购额约占原材料采购总额26.36%，2024年半年度报告约29.31%，暂无已确认的2025年全年数据。客户集中度：2022年年报前五大客户销售额占主营业务收入8.77%，2024年半年度报告为7.94%，暂无已确认的2025年全年数据；历史数据表明整体客户集中度不高，但来源年份较早且未能以2025年年报口径交叉核实。</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约64.75%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约16.18%（销售净利率口径）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化学制剂和原料药业务构成主体，整体盈利能力稳定，但传统制剂和原料药仍受到集采、原材料及销售费用影响。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约64.68%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约15.48%（销售净利率口径）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原料药及中间体毛利率改善，但中药和生物制品成本压力上升，疫情相关产品结构变化影响净利率。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约64.08%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约15.27%（销售净利率口径）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部分传统产品收入承压，诊断试剂及疫情相关业务高基数回落，产品结构调整使综合毛利率小幅下降。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65.45%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19.51%（销售净利率口径）</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化学制剂成本控制改善，原料药出口增长，中药制剂毛利率明显回升，同时销售及管理费用率下降，推动净利率提升。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约65.90%（根据年度报告营业收入和营业成本计算）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约20.06%（销售净利率口径）</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高毛利化学制剂和中药制剂合计收入占比提高，叠加研发和生产效率改善；化学制剂毛利率81.06%、中药制剂74.82%，但原料药及中间体毛利率34.84%且收入同比下降4.23%，对综合利润率形成拖累。</w:t>
            </w:r>
          </w:p>
        </w:tc>
      </w:tr>
    </w:tbl>
    <w:p>
      <w:pPr>
        <w:spacing w:before="200"/>
      </w:pPr>
    </w:p>
    <w:p>
      <w:pPr>
        <w:spacing w:after="160" w:line="300"/>
      </w:pPr>
      <w:r>
        <w:rPr>
          <w:sz w:val="22"/>
          <w:szCs w:val="22"/>
        </w:rPr>
        <w:t xml:space="preserve">丽珠医药位于医药产业链中游偏下游，属于制剂品牌和专业治疗领域能力较强、同时向上游特色原料药延伸的综合性制药集团，而非单纯的大宗原料药企业。公司利润主要由高毛利化学制剂和中药制剂贡献，进一步提升利润率取决于创新药及复杂制剂放量、消化道和辅助生殖优势产品维持竞争力、特色原料药出口增长、海外本地化产能建设及产品结构升级。</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2026年上半年（截至2026年6月30日）</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人民币49.9967亿元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同比下降20.28%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归属于母公司股东的净利润人民币9.3220亿元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同比下降27.23%</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人民币120.2035亿元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同比增长1.76%</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归属于母公司股东的净利润人民币20.2325亿元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同比下降1.84%</w:t>
            </w:r>
          </w:p>
        </w:tc>
      </w:tr>
    </w:tbl>
    <w:p>
      <w:pPr>
        <w:spacing w:after="200"/>
      </w:pPr>
      <w:r>
        <w:rPr>
          <w:i/>
          <w:iCs/>
          <w:color w:val="595959"/>
          <w:sz w:val="18"/>
          <w:szCs w:val="18"/>
        </w:rPr>
        <w:t xml:space="preserve">2026年上半年扣除非经常性损益后的归母净利润约为人民币8.9020亿元，同比下降约26.57%；基本每股收益为人民币1.05元，2025年同期为人民币1.43元。2025年度扣除非经常性损益后的归母净利润约为人民币20.09亿元，同比增长1.51%，基本每股收益为人民币2.27元。上述财务数据以人民币计价。</w:t>
      </w:r>
    </w:p>
    <w:p>
      <w:pPr>
        <w:spacing w:after="160" w:line="300"/>
      </w:pPr>
      <w:r>
        <w:rPr>
          <w:sz w:val="22"/>
          <w:szCs w:val="22"/>
        </w:rPr>
        <w:t xml:space="preserve">2026年上半年收入和归母净利润均明显下滑，主要受成熟产品价格及销售渠道调整、注射用醋酸亮丙瑞林在广东联盟区域销售收入下降、氟伏沙明片进入第十一轮国家集采，以及流感和呼吸道疾病发生率低于上年同期等因素影响。分产品看，消化道产品收入约人民币9.5402亿元，同比下降29.39%；精神类产品收入约人民币1.5336亿元，同比下降51.62%；促性激素产品收入约人民币12.0645亿元，同比下降21.13%；原料药及中间体收入约人民币16.1099亿元，同比下降3.04%。2025年度境外收入约人民币19.30亿元，同比增长11.97%，占营业收入约16.06%；境内收入约人民币100.90亿元，同比基本持平。</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经济通截至2026年9月初汇总3份研究报告：2026年归母净利润中值约人民币20.72亿元，区间为人民币20.43亿至22.22亿元；EPS中值为人民币2.33元，区间为人民币2.287至2.49元。2027年归母净利润中值约人民币23.79亿元，区间为人民币22.73亿至24.16亿元；EPS中值为人民币2.66元，区间为人民币2.56至2.705元。2028年归母净利润中值约人民币26.42亿元，区间为人民币26.25亿至26.59亿元；EPS中值为人民币2.9585元，区间约为人民币2.94至2.977元。经济通未同步披露营业收入预测。MarketScreener预测金额以人民币计价；其2026年收入同比下降约9.11%。综合纪要所列数据，2026年至2028年营业收入预测区间分别约为人民币109亿至122亿元、人民币120亿至139亿元和人民币122亿至150亿元；归母净利润预测区间分别约为人民币19.8亿至22.2亿元、人民币22.3亿至24.2亿元和人民币24.4亿至27.0亿元；EPS预测区间分别约为人民币2.23至2.49元、人民币2.47至2.73元和人民币2.61至3.04元。不同来源的预测口径、覆盖机构和更新日期存在差异，不能视为统一的一致预期。</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2026E（MarketScreener）</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人民币109.26亿元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人民币19.81亿元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同比下降约2.09%</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人民币2.226元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2027E（MarketScreener）</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人民币120.26亿元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人民币22.33亿元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具体同比增速未披露；预计恢复增长</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人民币2.467元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2028E（MarketScreener）</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人民币122.72亿元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人民币24.38亿元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具体同比增速未披露；预计继续增长</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人民币2.612元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2026E（首创证券）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人民币122.11亿元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人民币20.83亿元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具体同比增速未披露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人民币2.35元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2027E（首创证券）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人民币138.52亿元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人民币24.23亿元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具体同比增速未披露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人民币2.73元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2028E（首创证券）</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人民币150.17亿元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人民币27.03亿元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具体同比增速未披露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人民币3.04元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花旗集团</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目标价为36.80港元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跑赢大市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2026年8月24日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目标价为35.43港元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汇丰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持有</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2026年7月10日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目标价为29.00港元</w:t>
            </w:r>
          </w:p>
        </w:tc>
      </w:tr>
    </w:tbl>
    <w:p>
      <w:pPr>
        <w:spacing w:before="200"/>
      </w:pPr>
    </w:p>
    <w:p>
      <w:pPr>
        <w:spacing w:after="160" w:line="300"/>
      </w:pPr>
      <w:r>
        <w:rPr>
          <w:sz w:val="22"/>
          <w:szCs w:val="22"/>
        </w:rPr>
        <w:t xml:space="preserve">截至2026年9月10日，01513丽珠医药收盘价为20.72港元，当日下跌2.45%，成交量约538.94万股。按中期报告中约8.879亿股加权平均普通股数量粗略计算，总市值约为183.97亿港元；假设H股数量约3.00亿股，H股市值约为62.16亿港元。上述市值为近似值，可能受总股本、库存股及数据更新时间影响。三家机构目标价简单平均约为33.74港元，较20.72港元对应潜在上涨空间约62.9%，但目标价为券商模型估值结果，可能尚未完全反映2026年中期业绩影响。按2025年基本每股收益人民币2.27元直接与港股价格比较，静态PE约9.1倍；按MarketScreener预测EPS，2026年至2028年预测PE约为9.3倍、8.4倍和7.9倍；按经济通机构共识EPS，2026年至2028年预测PE约为8.9倍、7.8倍和7.0倍。由于股价以港元计价、EPS以人民币计价，上述PE未进行汇率换算，仅适合作为粗略参考。MarketScreener页面另显示2026年和2027年预测PE约为12.0倍和10.8倍，与直接计算结果存在差异，可能与交易价格、汇率、股份口径或页面更新时间不同有关。老虎证券页面显示市净率约1.21倍、滚动市盈率约8.00倍、股息率约7.74%，但报价区间与2026年9月10日收盘价并非完全同步，仅作辅助参考。公司2025年度每股股息为人民币1.43元，港股实际股息需以公司公告、除净日及港元折算金额为准。综合来看，公司估值约处于2026年预测PE 8至10倍、2027年预测PE 7至9倍、市净率约1.2倍及股息率约7%至8%的水平，呈现低估值、高股息但短期业绩承压的特征。创新药及复杂制剂商业化、阿立哌唑微球和IL-17A/F相关产品放量、海外业务及越南IMP并表，可能带来估值修复；集采和区域联盟压力、2026年下半年恢复不及预期、创新产品商业化延迟及盈利预测继续下修，则是主要风险。</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董事长及董事会专门委员会发生变更</w:t>
      </w:r>
    </w:p>
    <w:p>
      <w:pPr>
        <w:spacing w:after="160" w:line="300"/>
      </w:pPr>
      <w:r>
        <w:rPr>
          <w:sz w:val="22"/>
          <w:szCs w:val="22"/>
        </w:rPr>
        <w:t xml:space="preserve">2026年9月12日，丽珠医药披露董事长变更及董事会专门委员会委员调整公告。朱保国因退休辞去董事长、非执行董事、董事会战略委员会主席、环境、社会及管治委员会主席及控股子公司相关职务，并同时辞去法定代表人职务。刘大平获选为新任董事长，任期至第十二届董事会任期届满；其此前为公司执行董事及总裁。公告称，朱保国辞任后仍为公司实际控制人，并将继续支持公司发展及管理层工作。调整后，战略委员会主席及环境、社会及管治委员会主席为刘大平，提名委员会主席为罗会远，审计委员会主席为康立，薪酬与考核委员会主席为崔丽婕。该事项属于公司治理及管理层交接，短期需关注新任董事长对既有研发、国际化及股东回报战略的延续性。</w:t>
      </w:r>
    </w:p>
    <w:p>
      <w:pPr>
        <w:pStyle w:val="Heading2"/>
        <w:spacing w:after="120" w:before="240"/>
      </w:pPr>
      <w:r>
        <w:rPr>
          <w:b/>
          <w:bCs/>
          <w:color w:val="2E74B5"/>
          <w:sz w:val="24"/>
          <w:szCs w:val="24"/>
        </w:rPr>
        <w:t xml:space="preserve">4.2 拟派发特别中期股息，每股人民币1.02元</w:t>
      </w:r>
    </w:p>
    <w:p>
      <w:pPr>
        <w:spacing w:after="160" w:line="300"/>
      </w:pPr>
      <w:r>
        <w:rPr>
          <w:sz w:val="22"/>
          <w:szCs w:val="22"/>
        </w:rPr>
        <w:t xml:space="preserve">2026年9月8日，公司董事会审议通过2026年回报股东之特别中期股息方案，拟每10股派发现金股息人民币10.20元，即每股人民币1.02元。按总股本887,907,171股测算，拟派现金股息总额约人民币906百万元。该方案仍需提交2026年第一次临时股东会审议。H股记录日期为2026年10月15日，预计H股股息派付日为2026年11月3日或之前，2026年10月14日为相关除净日期。H股投资者实际收到的港币金额及适用汇率，需以公司后续正式派息文件及登记机构安排为准。特别股息尚未最终确定，并可能减少公司用于研发、并购、产能建设及营运资金的现金。</w:t>
      </w:r>
    </w:p>
    <w:p>
      <w:pPr>
        <w:pStyle w:val="Heading2"/>
        <w:spacing w:after="120" w:before="240"/>
      </w:pPr>
      <w:r>
        <w:rPr>
          <w:b/>
          <w:bCs/>
          <w:color w:val="2E74B5"/>
          <w:sz w:val="24"/>
          <w:szCs w:val="24"/>
        </w:rPr>
        <w:t xml:space="preserve">4.3 拟召开2026年第一次临时股东会审议特别股息</w:t>
      </w:r>
    </w:p>
    <w:p>
      <w:pPr>
        <w:spacing w:after="160" w:line="300"/>
      </w:pPr>
      <w:r>
        <w:rPr>
          <w:sz w:val="22"/>
          <w:szCs w:val="22"/>
        </w:rPr>
        <w:t xml:space="preserve">公司于2026年9月9日公告，拟于2026年9月24日召开2026年第一次临时股东会，主要审议2026年回报股东之特别中期股息方案。A股及H股股东均有权参加，H股股东的股权登记安排以卓佳证券登记有限公司记录为准。截至2026年9月13日，股东会尚未召开，特别股息尚未获得最终股东批准。</w:t>
      </w:r>
    </w:p>
    <w:p>
      <w:pPr>
        <w:pStyle w:val="Heading2"/>
        <w:spacing w:after="120" w:before="240"/>
      </w:pPr>
      <w:r>
        <w:rPr>
          <w:b/>
          <w:bCs/>
          <w:color w:val="2E74B5"/>
          <w:sz w:val="24"/>
          <w:szCs w:val="24"/>
        </w:rPr>
        <w:t xml:space="preserve">4.4 截至2026年8月底未发生H股回购、注销或库存股变动</w:t>
      </w:r>
    </w:p>
    <w:p>
      <w:pPr>
        <w:spacing w:after="160" w:line="300"/>
      </w:pPr>
      <w:r>
        <w:rPr>
          <w:sz w:val="22"/>
          <w:szCs w:val="22"/>
        </w:rPr>
        <w:t xml:space="preserve">公司于2026年9月1日披露截至2026年8月31日止月份的证券变动月报表。期末H股数量为299,807,117股，A股数量为588,100,054股，注册股本合计人民币887,907,171元。2026年8月期间未有新增发行股份，未有股份购回、注销或库存股变动，亦未见股份期权及其他股权激励计划导致的股份变动。因此，截至2026年8月31日没有证据显示公司执行H股回购或注销。截至2026年9月13日，2026年9月最新股份变动月报表尚未到披露时间，不能据此判断9月是否已发生回购；截至该日亦未发现新的实际执行H股回购公告。</w:t>
      </w:r>
    </w:p>
    <w:p>
      <w:pPr>
        <w:pStyle w:val="Heading2"/>
        <w:spacing w:after="120" w:before="240"/>
      </w:pPr>
      <w:r>
        <w:rPr>
          <w:b/>
          <w:bCs/>
          <w:color w:val="2E74B5"/>
          <w:sz w:val="24"/>
          <w:szCs w:val="24"/>
        </w:rPr>
        <w:t xml:space="preserve">4.5 拟收购新北江制药3.5044%股权，构成关连交易</w:t>
      </w:r>
    </w:p>
    <w:p>
      <w:pPr>
        <w:spacing w:after="160" w:line="300"/>
      </w:pPr>
      <w:r>
        <w:rPr>
          <w:sz w:val="22"/>
          <w:szCs w:val="22"/>
        </w:rPr>
        <w:t xml:space="preserve">2026年8月21日，公司与珠海中汇源投资合伙企业（有限合伙）订立股份转让协议，拟以现金人民币106.69575百万元收购丽珠集团新北江制药股份有限公司3.5044%的股权。交易完成后，公司对新北江制药的直接持股比例将由约87.14%增至约90.64%。新北江制药主要从事原料药及中间体生产，交易资金来源为公司内部资源。该交易构成香港上市规则第14A章项下的关连交易，因适用百分比率超过0.1%但低于5%，须履行申报及公告义务，但获豁免独立股东批准。关联董事唐阳刚为卖方珠海中汇源的执行事务合伙人，已在董事会审议该事项时回避表决。由于新北江制药原本已纳入合并范围，交易对集团收入规模的直接增量有限，主要影响为少数股东权益减少及未来利润归属比例提高。</w:t>
      </w:r>
    </w:p>
    <w:p>
      <w:pPr>
        <w:pStyle w:val="Heading2"/>
        <w:spacing w:after="120" w:before="240"/>
      </w:pPr>
      <w:r>
        <w:rPr>
          <w:b/>
          <w:bCs/>
          <w:color w:val="2E74B5"/>
          <w:sz w:val="24"/>
          <w:szCs w:val="24"/>
        </w:rPr>
        <w:t xml:space="preserve">4.6 2026年上半年收入及利润同比下降</w:t>
      </w:r>
    </w:p>
    <w:p>
      <w:pPr>
        <w:spacing w:after="160" w:line="300"/>
      </w:pPr>
      <w:r>
        <w:rPr>
          <w:sz w:val="22"/>
          <w:szCs w:val="22"/>
        </w:rPr>
        <w:t xml:space="preserve">截至2026年6月30日止六个月，公司实现营业收入约人民币49.997亿元，同比下降20.28%；归属于上市公司股东的净利润约人民币9.322亿元，同比下降27.23%；扣除非经常性损益后的归母净利润约人民币8.902亿元，同比下降29.26%；经营活动产生的现金流量净额约人民币17.629亿元，同比增长4.50%。收入下降主要与化学制剂、中药制剂及部分重点产品受到医保降价、集采及市场竞争影响有关。截至2026年9月13日，未发现公司针对2026年全年发布明确的盈利预警、业绩预增或业绩预减公告。</w:t>
      </w:r>
    </w:p>
    <w:p>
      <w:pPr>
        <w:pStyle w:val="Heading2"/>
        <w:spacing w:after="120" w:before="240"/>
      </w:pPr>
      <w:r>
        <w:rPr>
          <w:b/>
          <w:bCs/>
          <w:color w:val="2E74B5"/>
          <w:sz w:val="24"/>
          <w:szCs w:val="24"/>
        </w:rPr>
        <w:t xml:space="preserve">4.7 莱康奇塔单抗注射液获得药品注册证书</w:t>
      </w:r>
    </w:p>
    <w:p>
      <w:pPr>
        <w:spacing w:after="160" w:line="300"/>
      </w:pPr>
      <w:r>
        <w:rPr>
          <w:sz w:val="22"/>
          <w:szCs w:val="22"/>
        </w:rPr>
        <w:t xml:space="preserve">2026年8月28日，公司披露控股子公司珠海市丽珠单抗生物技术有限公司获得国家药监局药品注册证书。产品通用名称为莱康奇塔单抗注射液，商品名称为丽倍坦，规格为160mg/1.6mL，批准文号为国药准字S20260065，适应症为用于适合接受系统治疗或光疗的中重度斑块状银屑病成人患者，注册分类为治疗用生物制品1类。公告称其为中国首个获批上市的国产IL-17A/F双靶点产品。截至公告日，累计直接研发投入约人民币223.31百万元。取得注册证书意味着具备生产及上市销售资格，但商业化进度、放量速度、医保准入及实际销售规模仍存在不确定性，尚未形成可验证的大规模销售收入。</w:t>
      </w:r>
    </w:p>
    <w:p>
      <w:pPr>
        <w:pStyle w:val="Heading2"/>
        <w:spacing w:after="120" w:before="240"/>
      </w:pPr>
      <w:r>
        <w:rPr>
          <w:b/>
          <w:bCs/>
          <w:color w:val="2E74B5"/>
          <w:sz w:val="24"/>
          <w:szCs w:val="24"/>
        </w:rPr>
        <w:t xml:space="preserve">4.8 实际控制人及主要股东动态</w:t>
      </w:r>
    </w:p>
    <w:p>
      <w:pPr>
        <w:spacing w:after="160" w:line="300"/>
      </w:pPr>
      <w:r>
        <w:rPr>
          <w:sz w:val="22"/>
          <w:szCs w:val="22"/>
        </w:rPr>
        <w:t xml:space="preserve">朱保国辞任董事长及董事职务后，公告明确其仍为公司实际控制人，本次事项不是控制权转移。截至2026年9月13日，针对01513、丽珠医药及2026年9月公告的检索中，未发现重大股东近期大额增持、减持或权益变动的明确公告。但权益披露可能存在申报时滞，未发现公开披露不应理解为不存在任何场内交易。</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20.78 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下跌0.04 HKD，跌幅约0.19%</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前收盘价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20.82 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20.68 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日内高低价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最高20.80 HKD，最低20.38 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约218万股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估算成交额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约4,500万HKD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约184.5亿HKD；按总股本约887.91百万股及20.78 HKD计算</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平台显示约0.20%至0.25%；按H股流通股本重新估算约0.6%至0.7%，存在分母口径差异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动态PE/TTM PE约8.3至9.6倍；PB约1.2倍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约19.80至37.90 HKD；部分平台显示高点为37.21或37.90 HKD，存在更新及复权口径差异</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阶段走势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8月24日至25日出现显著放量下跌；8月31日低至19.88 HKD，9月1日至9日反弹至21.24 HKD，9月10日至11日回落至20.78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当前属于急跌后的弱势反弹和底部震荡，中期趋势仍偏弱，尚未确认中期反转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约20.94 HKD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收盘价低于MA5约0.16 HKD，短线价格仍偏弱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约20.57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收盘价高于MA10约0.21 HKD，20 HKD附近存在一定短线承接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约21.66 HKD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收盘价低于MA20约0.88 HKD；MA5低于MA20，整体均线结构仍偏空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约20.48；按公开收盘价简化计算亦约20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处于明显偏弱及接近超卖区域，存在技术性反弹条件，但不代表已经确认见底</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精确数值缺少完整且同步至2026年9月11日的历史序列，未报告未经充分验证的数值</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中期仍偏空，短期空头动能有所收敛，但尚未形成明确金叉确认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中轨约21.66 HKD；上轨约25.7 HKD；下轨约17.6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布林带受8月24日至25日异常大跌影响较大，下轨参考价值有限；20.0 HKD、21.2至21.7 HKD及24.9至25.5 HKD更具短期观察意义</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8月24日约765万股，8月25日约434万股；9月10日约180万股，9月11日约218万股</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8月24日至25日为放量抛售；随后成交量回落，但9月11日仍高于8月中旬多数交易日，低位仍存在换手和分歧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卖空比例</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9月8日约17.684%，9月9日约21.857%，9月10日约21.536%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短线仍存在一定对冲及看淡交易；该指标不能单独判断股价方向</w:t>
            </w:r>
          </w:p>
        </w:tc>
      </w:tr>
    </w:tbl>
    <w:p>
      <w:pPr>
        <w:spacing w:before="200"/>
      </w:pPr>
    </w:p>
    <w:p>
      <w:pPr>
        <w:spacing w:after="160" w:line="300"/>
      </w:pPr>
      <w:r>
        <w:rPr>
          <w:sz w:val="22"/>
          <w:szCs w:val="22"/>
        </w:rPr>
        <w:t xml:space="preserve">截至2026年9月11日，01513丽珠医药技术面处于“急跌后低位震荡、短线超卖、中期趋势仍偏弱”的状态。股价较8月20日收盘价25.44 HKD明显回落，仍低于MA20约21.66 HKD及8月24日至25日下跌前的主要成交密集区。RSI约20，说明短线跌幅较大并存在技术性反弹条件，但9月10日至11日重新回落，且MACD尚未出现明确金叉确认。20 HKD附近是近期重要支撑，21.2至21.7 HKD是短线反弹压力区；后续走势仍需结合成交量、卖空比例、医药板块表现及市场环境观察。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风险提示：以下内容仅为基于截至2026年9月11日收盘数据、历史价格和技术指标的主观情景推演，不构成投资建议，也不构成对未来实际走势的保证。</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21.2~21.7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对应9月9日前后的反弹高位、MA20附近及近期反弹密集成交区域。若放量突破21.7 HKD，短线可观察22.2~22.8 HKD区域；若多次冲击但无法站稳，则仍偏向弱势震荡。</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20.0~20.4 HKD</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对应9月11日盘中低位、20 HKD整数关口及近期交易密集区域。若获得承接，股价可能维持20.0~21.2 HKD的箱体震荡。</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19.8~20.0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19.80 HKD接近52周低位，也是8月31日阶段低点。若收盘价有效跌破19.8 HKD且成交量明显放大，弱势结构可能延续，并向19.0~19.5 HKD区域寻找下一支撑。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弱势震荡（相对权重较高，约六成左右；为基于当前技术形态和资金面的主观启发式权重，不是统计概率）：观察区间为20.0~21.3 HKD。触发条件包括20.0 HKD附近未被有效跌破、成交量维持约100万至220万股的近期常态、医药板块未出现进一步系统性抛售，以及股价在20.4~20.9 HKD之间反复。由于股价仍低于MA20，反弹高度可能受21.2~21.7 HKD压制。</w:t>
      </w:r>
    </w:p>
    <w:p>
      <w:pPr>
        <w:pStyle w:val="ListParagraph"/>
        <w:numPr>
          <w:ilvl w:val="0"/>
          <w:numId w:val="2"/>
        </w:numPr>
        <w:spacing w:after="80" w:line="280"/>
      </w:pPr>
      <w:r>
        <w:rPr>
          <w:sz w:val="22"/>
          <w:szCs w:val="22"/>
        </w:rPr>
        <w:t xml:space="preserve">偏弱下行（权重中等；为基于当前技术形态和资金面的主观启发式权重，不是统计概率）：观察区间为19.2~20.1 HKD。触发条件包括收盘价跌破19.8~20.0 HKD、单日成交量明显高于近期平均水平、医药板块或恒生指数继续走弱，以及卖空比例维持较高水平且股价无法重新站上20.4 HKD。若19.8 HKD被放量跌破，价格可能向19.2~19.5 HKD区域寻找支撑。</w:t>
      </w:r>
    </w:p>
    <w:p>
      <w:pPr>
        <w:pStyle w:val="ListParagraph"/>
        <w:numPr>
          <w:ilvl w:val="0"/>
          <w:numId w:val="2"/>
        </w:numPr>
        <w:spacing w:after="80" w:line="280"/>
      </w:pPr>
      <w:r>
        <w:rPr>
          <w:sz w:val="22"/>
          <w:szCs w:val="22"/>
        </w:rPr>
        <w:t xml:space="preserve">反弹走强（权重偏低至中等；为基于当前技术形态和资金面的主观启发式权重，不是统计概率）：观察区间为21.2~22.8 HKD。触发条件包括收盘价重新站上21.2 HKD并进一步突破21.7 HKD，单日成交额持续高于近期常态、至少达到约5,000万至6,000万HKD，医药板块同步回稳或公司出现新的正面催化剂，以及卖空比例下降或出现空头回补。即使进入该情景，也只能视为短线反弹观察，不能据此确认中期趋势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10日至11日，日成交量约180万至220万股，日成交额约3,700万至4,500万HKD；平台显示换手率约0.20%，按H股流通股本重新估算约0.6%至0.7%，两者存在分母口径差异。卖空比例约18%至22%。截至2026年6月30日的半年度报告数据显示，前十大股东累计持股约65.58%，其中香港中央结算（代理人）有限公司约33.74%、健康元药业集团股份有限公司约24.93%；前十大股东中还包括创新药ETF，持股约0.66%。HKSCC代理人账户不等同于单一机构股东，不能将其全部理解为一家机构长期持有。股东数据截至2026年6月30日，较9月11日滞后约两个半月，期间实际结构可能已经变化。整体而言，公司股权集中度较高，二级市场可交易H股相对有限，少量大单、港股通资金及卖空交易可能对短期价格产生较明显影响；8月24日至25日放量下跌反映业绩冲击下的快速重新定价，而9月初反弹成交量尚不足以证明大规模资金重新流入。</w:t>
      </w:r>
    </w:p>
    <w:p>
      <w:pPr>
        <w:spacing w:after="160" w:line="300"/>
      </w:pPr>
      <w:r>
        <w:rPr>
          <w:sz w:val="22"/>
          <w:szCs w:val="22"/>
        </w:rPr>
        <w:t xml:space="preserve">可检查的量能确认信号是：若未来一周单日成交额连续达到约5,000万至6,000万HKD以上，同时收盘价站上21.2~21.7 HKD，可视为短线资金承接增强的观察信号；若放量但股价仍无法突破21 HKD附近，则更可能代表高位换手或反弹受阻。</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观察20.0~20.4 HKD能否持续提供支撑，以上为技术位置观察思路，非买入、卖出或持有指令。</w:t>
      </w:r>
    </w:p>
    <w:p>
      <w:pPr>
        <w:pStyle w:val="ListParagraph"/>
        <w:numPr>
          <w:ilvl w:val="0"/>
          <w:numId w:val="2"/>
        </w:numPr>
        <w:spacing w:after="80" w:line="280"/>
      </w:pPr>
      <w:r>
        <w:rPr>
          <w:sz w:val="22"/>
          <w:szCs w:val="22"/>
        </w:rPr>
        <w:t xml:space="preserve">观察19.8 HKD附近是否出现放量跌破，以上为风险位置观察思路，非操作指令。</w:t>
      </w:r>
    </w:p>
    <w:p>
      <w:pPr>
        <w:pStyle w:val="ListParagraph"/>
        <w:numPr>
          <w:ilvl w:val="0"/>
          <w:numId w:val="2"/>
        </w:numPr>
        <w:spacing w:after="80" w:line="280"/>
      </w:pPr>
      <w:r>
        <w:rPr>
          <w:sz w:val="22"/>
          <w:szCs w:val="22"/>
        </w:rPr>
        <w:t xml:space="preserve">观察21.2~21.7 HKD能否配合成交量放大而突破并站稳，以上为趋势确认观察思路，非操作指令。</w:t>
      </w:r>
    </w:p>
    <w:p>
      <w:pPr>
        <w:pStyle w:val="ListParagraph"/>
        <w:numPr>
          <w:ilvl w:val="0"/>
          <w:numId w:val="2"/>
        </w:numPr>
        <w:spacing w:after="80" w:line="280"/>
      </w:pPr>
      <w:r>
        <w:rPr>
          <w:sz w:val="22"/>
          <w:szCs w:val="22"/>
        </w:rPr>
        <w:t xml:space="preserve">观察单日成交额能否连续升至5,000万至6,000万HKD以上，以及卖空比例在股价反弹时是否下降，以上均为观察思路，非买入、卖出或持有指令。</w:t>
      </w:r>
    </w:p>
    <w:p>
      <w:pPr>
        <w:spacing w:after="200"/>
      </w:pPr>
      <w:r>
        <w:rPr>
          <w:i/>
          <w:iCs/>
          <w:color w:val="595959"/>
          <w:sz w:val="18"/>
          <w:szCs w:val="18"/>
        </w:rPr>
        <w:t xml:space="preserve">以上情景推演基于截至2026年9月11日收盘数据及历史价格、技术指标测算，短期股价还会受消息面、资金面、大盘环境、医药板块表现及公司业绩预期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所属行业为医药制造业，细分覆盖化学制剂、特色原料药、中药、生物药和体外诊断。行业研发投入高、研发周期长且存在临床失败风险，同时受到严格的药品质量、注册监管及GMP要求约束。仿制药受到集中采购和医保支付控制影响，创新药、复杂制剂、特色原料药及国际化业务具有相对较高附加值。</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国内医药市场规模大，但同质化产品竞争激烈，仿制药价格竞争和集采压力较强。</w:t>
      </w:r>
    </w:p>
    <w:p>
      <w:pPr>
        <w:pStyle w:val="ListParagraph"/>
        <w:numPr>
          <w:ilvl w:val="0"/>
          <w:numId w:val="2"/>
        </w:numPr>
        <w:spacing w:after="80" w:line="280"/>
      </w:pPr>
      <w:r>
        <w:rPr>
          <w:sz w:val="22"/>
          <w:szCs w:val="22"/>
        </w:rPr>
        <w:t xml:space="preserve">创新药研发周期长、投入高、临床失败风险高；研发能力、产品注册和商业化能力构成重要竞争因素。</w:t>
      </w:r>
    </w:p>
    <w:p>
      <w:pPr>
        <w:pStyle w:val="ListParagraph"/>
        <w:numPr>
          <w:ilvl w:val="0"/>
          <w:numId w:val="2"/>
        </w:numPr>
        <w:spacing w:after="80" w:line="280"/>
      </w:pPr>
      <w:r>
        <w:rPr>
          <w:sz w:val="22"/>
          <w:szCs w:val="22"/>
        </w:rPr>
        <w:t xml:space="preserve">药品质量、GMP、国际注册及供应链合规形成行业进入壁垒。</w:t>
      </w:r>
    </w:p>
    <w:p>
      <w:pPr>
        <w:pStyle w:val="ListParagraph"/>
        <w:numPr>
          <w:ilvl w:val="0"/>
          <w:numId w:val="2"/>
        </w:numPr>
        <w:spacing w:after="80" w:line="280"/>
      </w:pPr>
      <w:r>
        <w:rPr>
          <w:sz w:val="22"/>
          <w:szCs w:val="22"/>
        </w:rPr>
        <w:t xml:space="preserve">原料药行业由大宗品向特色原料药、国际认证和制剂一体化方向升级。</w:t>
      </w:r>
    </w:p>
    <w:p>
      <w:pPr>
        <w:pStyle w:val="ListParagraph"/>
        <w:numPr>
          <w:ilvl w:val="0"/>
          <w:numId w:val="2"/>
        </w:numPr>
        <w:spacing w:after="80" w:line="280"/>
      </w:pPr>
      <w:r>
        <w:rPr>
          <w:sz w:val="22"/>
          <w:szCs w:val="22"/>
        </w:rPr>
        <w:t xml:space="preserve">海外市场需要长期注册、质量体系、客户认证及本地化供应能力。</w:t>
      </w:r>
    </w:p>
    <w:p>
      <w:pPr>
        <w:pStyle w:val="ListParagraph"/>
        <w:numPr>
          <w:ilvl w:val="0"/>
          <w:numId w:val="2"/>
        </w:numPr>
        <w:spacing w:after="80" w:line="280"/>
      </w:pPr>
      <w:r>
        <w:rPr>
          <w:sz w:val="22"/>
          <w:szCs w:val="22"/>
        </w:rPr>
        <w:t xml:space="preserve">丽珠通过化学制剂、原料药和中间体之间的产业链协同，以及中药制剂、诊断试剂和海外基地布局实现业务多元化。</w:t>
      </w:r>
    </w:p>
    <w:p>
      <w:pPr>
        <w:pStyle w:val="ListParagraph"/>
        <w:numPr>
          <w:ilvl w:val="0"/>
          <w:numId w:val="2"/>
        </w:numPr>
        <w:spacing w:after="80" w:line="280"/>
      </w:pPr>
      <w:r>
        <w:rPr>
          <w:sz w:val="22"/>
          <w:szCs w:val="22"/>
        </w:rPr>
        <w:t xml:space="preserve">公司官网披露其在2025年获得“中国制药工业TOP101”“中国创新药企业TOP101”和“中国原料药业务TOP30”等行业榜单认可；该类榜单属于行业评选，不等同于监管机构统计或市场份额证明。</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石药集团（01093.HK）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成药与原料药并重，以创新药为核心发展方向，覆盖神经系统、抗肿瘤、抗感染和心血管等领域。</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规模更大、创新药和大品种体系更突出；丽珠在消化道、辅助生殖、特色原料药和中药制剂方面更具自身特色。</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恒瑞医药（01276.HK；A股代码600276）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国内创新药研发和商业化能力较强的综合性药企，重点布局肿瘤、代谢、免疫、呼吸、心血管和神经科学。</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研发投入、创新药管线和国际化临床开发能力更强；丽珠产品结构更均衡，原料药、中药、制剂和诊断业务能够分散单一创新药风险。</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联邦制药（03933.HK）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覆盖制剂、原料药、生物药和动保，拥有从原料药到制剂的产业链布局。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在胰岛素、生物药、抗生素及原料药领域更集中；丽珠在消化道、辅助生殖、中药及诊断业务方面更具综合性。</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华东医药（A股代码000963）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在化学制剂、内分泌代谢、医美和创新药领域具有较强竞争力。</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医美和内分泌业务较突出；丽珠的原料药、中药、辅助生殖和诊断试剂业务更完整。</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复星医药（02196.HK；A股代码600196）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覆盖化学制剂、生物药、医疗器械、诊断及医药商业。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医疗健康平台属性、产品商业化、国际化及海外并购布局更强；丽珠更多依靠自主生产、特色原料药及自身产品矩阵。</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翰森制药（03692.HK）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港股医药制造板块可比公司，业务更偏创新药。</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与丽珠存在部分医药业务可比性，但整体业务重合度低于石药、联邦和复星。</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华润医药（03320.HK）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港股医药板块综合医药平台，业务更偏医药商业及综合医药。</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与丽珠的业务结构重合度较低，适合作为港股医药平台类参考，而非完全直接竞争对手。</w:t>
            </w:r>
          </w:p>
        </w:tc>
      </w:tr>
    </w:tbl>
    <w:p>
      <w:pPr>
        <w:spacing w:before="200"/>
      </w:pPr>
    </w:p>
    <w:p>
      <w:pPr>
        <w:spacing w:after="160" w:line="300"/>
      </w:pPr>
      <w:r>
        <w:rPr>
          <w:sz w:val="22"/>
          <w:szCs w:val="22"/>
        </w:rPr>
        <w:t xml:space="preserve">丽珠医药不是单一创新药公司，也不是单一大宗原料药企业，而是横跨化学制剂、原料药、中药、生物制品和诊断试剂的综合性、平台型医药集团。与石药集团、联邦制药和复星医药的业务重合度相对较高，但丽珠在消化道、辅助生殖、特色原料药、中药制剂及诊断业务方面具有自身组合特色；与恒瑞医药、华东医药、翰森制药及华润医药的可比性更多体现在部分业务或港股医药板块维度。</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集采及区域联盟降价风险：氟伏沙明片进入第十一轮国家集采，注射用醋酸亮丙瑞林在广东联盟区域销售收入下降，若化学制剂及重点成熟产品继续受到医保降价、集采和市场竞争影响，公司收入及利润率可能进一步承压。</w:t>
      </w:r>
    </w:p>
    <w:p>
      <w:pPr>
        <w:pStyle w:val="ListParagraph"/>
        <w:numPr>
          <w:ilvl w:val="0"/>
          <w:numId w:val="2"/>
        </w:numPr>
        <w:spacing w:after="80" w:line="280"/>
      </w:pPr>
      <w:r>
        <w:rPr>
          <w:sz w:val="22"/>
          <w:szCs w:val="22"/>
        </w:rPr>
        <w:t xml:space="preserve">核心产品销售波动风险：2026年上半年消化道产品收入约人民币9.5402亿元，同比下降29.39%；精神类产品收入约人民币1.5336亿元，同比下降51.62%；促性激素产品收入约人民币12.0645亿元，同比下降21.13%。这些产品的恢复速度将直接影响全年业绩修复。</w:t>
      </w:r>
    </w:p>
    <w:p>
      <w:pPr>
        <w:pStyle w:val="ListParagraph"/>
        <w:numPr>
          <w:ilvl w:val="0"/>
          <w:numId w:val="2"/>
        </w:numPr>
        <w:spacing w:after="80" w:line="280"/>
      </w:pPr>
      <w:r>
        <w:rPr>
          <w:sz w:val="22"/>
          <w:szCs w:val="22"/>
        </w:rPr>
        <w:t xml:space="preserve">新药商业化不确定性：莱康奇塔单抗注射液虽已取得药品注册证书，但截至公告日尚未形成可验证的大规模销售收入；其医保准入、市场推广、放量速度和实际销售规模均存在不确定性，人民币2.2331亿元累计研发投入的回报仍需后续商业化验证。</w:t>
      </w:r>
    </w:p>
    <w:p>
      <w:pPr>
        <w:pStyle w:val="ListParagraph"/>
        <w:numPr>
          <w:ilvl w:val="0"/>
          <w:numId w:val="2"/>
        </w:numPr>
        <w:spacing w:after="80" w:line="280"/>
      </w:pPr>
      <w:r>
        <w:rPr>
          <w:sz w:val="22"/>
          <w:szCs w:val="22"/>
        </w:rPr>
        <w:t xml:space="preserve">原料药业务周期及盈利风险：原料药及中间体2026年上半年收入约人民币16.1099亿元，同比下降3.04%；2025年该业务毛利率为34.84%，明显低于化学制剂和中药制剂。其业绩仍可能受到全球供需、客户库存调整、原料药价格周期及国际客户认证进度影响。</w:t>
      </w:r>
    </w:p>
    <w:p>
      <w:pPr>
        <w:pStyle w:val="ListParagraph"/>
        <w:numPr>
          <w:ilvl w:val="0"/>
          <w:numId w:val="2"/>
        </w:numPr>
        <w:spacing w:after="80" w:line="280"/>
      </w:pPr>
      <w:r>
        <w:rPr>
          <w:sz w:val="22"/>
          <w:szCs w:val="22"/>
        </w:rPr>
        <w:t xml:space="preserve">渠道及回款风险：2025年经销收入占营业收入71.03%，应收账款周转天数约63.5天、存货周转率约2.30次。若医院结算、商业客户回款或经销渠道库存调整加剧，可能造成应收账款和存货占用上升，削弱利润向现金流的转化质量。</w:t>
      </w:r>
    </w:p>
    <w:p>
      <w:pPr>
        <w:pStyle w:val="ListParagraph"/>
        <w:numPr>
          <w:ilvl w:val="0"/>
          <w:numId w:val="2"/>
        </w:numPr>
        <w:spacing w:after="80" w:line="280"/>
      </w:pPr>
      <w:r>
        <w:rPr>
          <w:sz w:val="22"/>
          <w:szCs w:val="22"/>
        </w:rPr>
        <w:t xml:space="preserve">股东回报与资金配置风险：拟派特别中期股息每股人民币1.02元、总额约人民币906百万元尚待股东会批准；若最终实施，可能减少公司用于研发、并购、产能建设和营运资金的现金，并增加未来资金配置压力。</w:t>
      </w:r>
    </w:p>
    <w:p>
      <w:pPr>
        <w:pStyle w:val="ListParagraph"/>
        <w:numPr>
          <w:ilvl w:val="0"/>
          <w:numId w:val="2"/>
        </w:numPr>
        <w:spacing w:after="80" w:line="280"/>
      </w:pPr>
      <w:r>
        <w:rPr>
          <w:sz w:val="22"/>
          <w:szCs w:val="22"/>
        </w:rPr>
        <w:t xml:space="preserve">治理交接风险：朱保国因退休辞任董事长及相关董事职务，刘大平获选为新任董事长；虽然朱保国仍为实际控制人，但管理层交接可能带来研发、国际化、股东回报及既有经营战略执行连续性的观察风险。</w:t>
      </w:r>
    </w:p>
    <w:p>
      <w:pPr>
        <w:pStyle w:val="ListParagraph"/>
        <w:numPr>
          <w:ilvl w:val="0"/>
          <w:numId w:val="2"/>
        </w:numPr>
        <w:spacing w:after="80" w:line="280"/>
      </w:pPr>
      <w:r>
        <w:rPr>
          <w:sz w:val="22"/>
          <w:szCs w:val="22"/>
        </w:rPr>
        <w:t xml:space="preserve">港股流动性及股价波动风险：截至2026年9月11日，股价为20.78 HKD，仍低于MA20约21.66 HKD，RSI约20.48且卖空比例约18%至22%；公司H股股权相对集中，8月24日至25日曾出现放量下跌，少量大单、港股通资金或卖空交易可能放大短期价格波动。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高毛利化学制剂和中药制剂的产品结构、消化道及辅助生殖等特色治疗领域、特色原料药出口增长，以及创新药和复杂制剂的商业化。莱康奇塔单抗注射液取得注册证书构成产品储备和商业化节点，海外收入在2025年保持较快增长，也为收入地域多元化提供一定基础。市场预测显示，2026年至2028年归母净利润预测区间分别约为人民币19.8亿至22.2亿元、人民币22.3亿至24.2亿元和人民币24.4亿至27.0亿元，但不同机构预测口径和更新日期存在差异，不能视为统一一致预期。</w:t>
      </w:r>
    </w:p>
    <w:p>
      <w:pPr>
        <w:spacing w:after="160" w:line="300"/>
      </w:pPr>
      <w:r>
        <w:rPr>
          <w:sz w:val="22"/>
          <w:szCs w:val="22"/>
        </w:rPr>
        <w:t xml:space="preserve">短期基本面修复仍取决于成熟产品降价、集采及区域联盟影响是否收敛，重点产品销售能否恢复，以及新产品能否形成实际收入。公司拟派特别股息有助于提升股东回报预期，但按总股本测算将支付约人民币906百万元，可能减少用于研发、并购、产能建设及营运资金的现金。董事长由朱保国变更为刘大平，朱保国仍为实际控制人，后续需观察研发、国际化及股东回报战略的延续性。整体而言，公司兼具低估值、较高股息预期和产品结构升级潜力，但2026年上半年业绩下滑及技术形态偏弱，使未来估值修复仍依赖业绩验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Listed Company Information Title Search — https://www1.hkexnews.hk/search/titlesearch.xhtml?category=0&amp;lang=EN&amp;market=SEHK&amp;stockId=98703&amp;utm_source=openai</w:t>
      </w:r>
    </w:p>
    <w:p>
      <w:pPr>
        <w:spacing w:after="200"/>
      </w:pPr>
      <w:r>
        <w:rPr>
          <w:i/>
          <w:iCs/>
          <w:color w:val="595959"/>
          <w:sz w:val="18"/>
          <w:szCs w:val="18"/>
        </w:rPr>
        <w:t xml:space="preserve">丽珠集团(000513)_公司公告_丽珠集团：2023年年度报告新浪财经_新浪网 — https://money.finance.sina.com.cn/corp/view/vCB_AllBulletinDetail.php?id=9913348&amp;stockid=000513&amp;utm_source=openai</w:t>
      </w:r>
    </w:p>
    <w:p>
      <w:pPr>
        <w:spacing w:after="200"/>
      </w:pPr>
      <w:r>
        <w:rPr>
          <w:i/>
          <w:iCs/>
          <w:color w:val="595959"/>
          <w:sz w:val="18"/>
          <w:szCs w:val="18"/>
        </w:rPr>
        <w:t xml:space="preserve">丽珠集团(000513)_公司公告_丽珠集团：2025年年度报告新浪财经_新浪网 — https://money.finance.sina.com.cn/corp/view/vCB_AllBulletinDetail.php?id=12015773&amp;stockid=000513&amp;utm_source=openai</w:t>
      </w:r>
    </w:p>
    <w:p>
      <w:pPr>
        <w:spacing w:after="200"/>
      </w:pPr>
      <w:r>
        <w:rPr>
          <w:i/>
          <w:iCs/>
          <w:color w:val="595959"/>
          <w:sz w:val="18"/>
          <w:szCs w:val="18"/>
        </w:rPr>
        <w:t xml:space="preserve">丽珠集团(000513)_公司公告_丽珠集团：2025年半年度报告新浪财经_新浪网 — https://money.finance.sina.com.cn/corp/view/vCB_AllBulletinDetail.php?id=11320779&amp;stockid=000513&amp;utm_source=openai</w:t>
      </w:r>
    </w:p>
    <w:p>
      <w:pPr>
        <w:spacing w:after="200"/>
      </w:pPr>
      <w:r>
        <w:rPr>
          <w:i/>
          <w:iCs/>
          <w:color w:val="595959"/>
          <w:sz w:val="18"/>
          <w:szCs w:val="18"/>
        </w:rPr>
        <w:t xml:space="preserve">丽珠集团: 2025年年度报告_年度报告_公司公告_每日必读_股票_证券之星 — https://wap.stockstar.com/detail/SN2026032500002419?utm_source=openai</w:t>
      </w:r>
    </w:p>
    <w:p>
      <w:pPr>
        <w:spacing w:after="200"/>
      </w:pPr>
      <w:r>
        <w:rPr>
          <w:i/>
          <w:iCs/>
          <w:color w:val="595959"/>
          <w:sz w:val="18"/>
          <w:szCs w:val="18"/>
        </w:rPr>
        <w:t xml:space="preserve">丽珠医药集团股份有限公司2026年半年度报告全文 — https://disc.static.szse.cn/disc/disk03/finalpage/2026-08-22/4a9cf0e8-3806-4b37-8fdb-e6104076bb5a.PDF?utm_source=openai</w:t>
      </w:r>
    </w:p>
    <w:p>
      <w:pPr>
        <w:spacing w:after="200"/>
      </w:pPr>
      <w:r>
        <w:rPr>
          <w:i/>
          <w:iCs/>
          <w:color w:val="595959"/>
          <w:sz w:val="18"/>
          <w:szCs w:val="18"/>
        </w:rPr>
        <w:t xml:space="preserve">丽珠医药集团股份有限公司 — https://www.cnpharm.com/upload/resources/file/2023/03/31/135185.pdf?utm_source=openai</w:t>
      </w:r>
    </w:p>
    <w:p>
      <w:pPr>
        <w:spacing w:after="200"/>
      </w:pPr>
      <w:r>
        <w:rPr>
          <w:i/>
          <w:iCs/>
          <w:color w:val="595959"/>
          <w:sz w:val="18"/>
          <w:szCs w:val="18"/>
        </w:rPr>
        <w:t xml:space="preserve">丽珠集团2025可视化年报|上海证券报·中国证券网 — https://visualfin.cnstock.com/h5/202512/000513.html?utm_source=openai</w:t>
      </w:r>
    </w:p>
    <w:p>
      <w:pPr>
        <w:spacing w:after="200"/>
      </w:pPr>
      <w:r>
        <w:rPr>
          <w:i/>
          <w:iCs/>
          <w:color w:val="595959"/>
          <w:sz w:val="18"/>
          <w:szCs w:val="18"/>
        </w:rPr>
        <w:t xml:space="preserve">丽珠集团(000513)_公司公告_丽珠集团：2024年年度报告新浪财经_新浪网 — https://money.finance.sina.com.cn/corp/view/vCB_AllBulletinDetail.php?id=10809584&amp;stockid=000513&amp;utm_source=openai</w:t>
      </w:r>
    </w:p>
    <w:p>
      <w:pPr>
        <w:spacing w:after="200"/>
      </w:pPr>
      <w:r>
        <w:rPr>
          <w:i/>
          <w:iCs/>
          <w:color w:val="595959"/>
          <w:sz w:val="18"/>
          <w:szCs w:val="18"/>
        </w:rPr>
        <w:t xml:space="preserve">实力彰显！丽珠医药斩获第七届中国制药工业博览会三项重磅大奖-丽珠医药集团股份有限公司 — https://www.livzon.com.cn/news_details/25.html?utm_source=openai</w:t>
      </w:r>
    </w:p>
    <w:p>
      <w:pPr>
        <w:spacing w:after="200"/>
      </w:pPr>
      <w:r>
        <w:rPr>
          <w:i/>
          <w:iCs/>
          <w:color w:val="595959"/>
          <w:sz w:val="18"/>
          <w:szCs w:val="18"/>
        </w:rPr>
        <w:t xml:space="preserve">石药集团有限公司 - 关于我们 &gt; 公司简介 — https://www.cspc.com.hk/sc/about/profile.php?utm_source=openai</w:t>
      </w:r>
    </w:p>
    <w:p>
      <w:pPr>
        <w:spacing w:after="200"/>
      </w:pPr>
      <w:r>
        <w:rPr>
          <w:i/>
          <w:iCs/>
          <w:color w:val="595959"/>
          <w:sz w:val="18"/>
          <w:szCs w:val="18"/>
        </w:rPr>
        <w:t xml:space="preserve">恒瑞医药 — https://www.hengrui.com/about/?utm_source=openai</w:t>
      </w:r>
    </w:p>
    <w:p>
      <w:pPr>
        <w:spacing w:after="200"/>
      </w:pPr>
      <w:r>
        <w:rPr>
          <w:i/>
          <w:iCs/>
          <w:color w:val="595959"/>
          <w:sz w:val="18"/>
          <w:szCs w:val="18"/>
        </w:rPr>
        <w:t xml:space="preserve">联邦制药 — https://www.tul.com.cn/?utm_source=openai</w:t>
      </w:r>
    </w:p>
    <w:p>
      <w:pPr>
        <w:spacing w:after="200"/>
      </w:pPr>
      <w:r>
        <w:rPr>
          <w:i/>
          <w:iCs/>
          <w:color w:val="595959"/>
          <w:sz w:val="18"/>
          <w:szCs w:val="18"/>
        </w:rPr>
        <w:t xml:space="preserve">https://www1.hkexnews.hk/listedco/listconews/sehk/2026/0821/2026082100762.pdf — https://www1.hkexnews.hk/listedco/listconews/sehk/2026/0821/2026082100762.pdf</w:t>
      </w:r>
    </w:p>
    <w:p>
      <w:pPr>
        <w:spacing w:after="200"/>
      </w:pPr>
      <w:r>
        <w:rPr>
          <w:i/>
          <w:iCs/>
          <w:color w:val="595959"/>
          <w:sz w:val="18"/>
          <w:szCs w:val="18"/>
        </w:rPr>
        <w:t xml:space="preserve">1513.HK LIVZON PHARMA - Company Information - Earnings Forecast Overview - etnet — https://www.etnet.com.hk/www/eng/stocks/realtime/quote_profit.php?code=1513</w:t>
      </w:r>
    </w:p>
    <w:p>
      <w:pPr>
        <w:spacing w:after="200"/>
      </w:pPr>
      <w:r>
        <w:rPr>
          <w:i/>
          <w:iCs/>
          <w:color w:val="595959"/>
          <w:sz w:val="18"/>
          <w:szCs w:val="18"/>
        </w:rPr>
        <w:t xml:space="preserve">Livzon Pharmaceutical Group Inc.: Financial Data Forecasts Estimates and Expectations | LP6 | CNE100001QV5 | MarketScreener — https://www.marketscreener.com/quote/stock/LIVZON-PHARMACEUTICAL-GRO-15590082/finances/</w:t>
      </w:r>
    </w:p>
    <w:p>
      <w:pPr>
        <w:spacing w:after="200"/>
      </w:pPr>
      <w:r>
        <w:rPr>
          <w:i/>
          <w:iCs/>
          <w:color w:val="595959"/>
          <w:sz w:val="18"/>
          <w:szCs w:val="18"/>
        </w:rPr>
        <w:t xml:space="preserve">丽珠集团(000513) 盈利预测_F10_同花顺金融服务网 — https://basic.10jqka.com.cn/144/000513/worth.html</w:t>
      </w:r>
    </w:p>
    <w:p>
      <w:pPr>
        <w:spacing w:after="200"/>
      </w:pPr>
      <w:r>
        <w:rPr>
          <w:i/>
          <w:iCs/>
          <w:color w:val="595959"/>
          <w:sz w:val="18"/>
          <w:szCs w:val="18"/>
        </w:rPr>
        <w:t xml:space="preserve">丽珠医药(1513)股票历史数据:历史行情,价格,走势图表_英为财情Investing.com — https://cn.investing.com/equities/livzon-pharma-historical-data?utm_source=openai</w:t>
      </w:r>
    </w:p>
    <w:p>
      <w:pPr>
        <w:spacing w:after="200"/>
      </w:pPr>
      <w:r>
        <w:rPr>
          <w:i/>
          <w:iCs/>
          <w:color w:val="595959"/>
          <w:sz w:val="18"/>
          <w:szCs w:val="18"/>
        </w:rPr>
        <w:t xml:space="preserve">丽珠医药(01513)财报日期、财务报告及业绩会详情 - 老虎证券 — https://www.itiger.com/hans/stock/01513/filings?utm_source=openai</w:t>
      </w:r>
    </w:p>
    <w:p>
      <w:pPr>
        <w:spacing w:after="200"/>
      </w:pPr>
      <w:r>
        <w:rPr>
          <w:i/>
          <w:iCs/>
          <w:color w:val="595959"/>
          <w:sz w:val="18"/>
          <w:szCs w:val="18"/>
        </w:rPr>
        <w:t xml:space="preserve">香港交易及結算所有限公司及香港聯合交易所有限公司對本公告的內容概不負責，對其準確 — https://www.hkexnews.hk/listedco/listconews/sehk/2020/0325/2020032501754_c.pdf?utm_source=openai</w:t>
      </w:r>
    </w:p>
    <w:p>
      <w:pPr>
        <w:spacing w:after="200"/>
      </w:pPr>
      <w:r>
        <w:rPr>
          <w:i/>
          <w:iCs/>
          <w:color w:val="595959"/>
          <w:sz w:val="18"/>
          <w:szCs w:val="18"/>
        </w:rPr>
        <w:t xml:space="preserve">丽珠集团(000513)_公司公告_丽珠集团：关于董事长变更及调整部分董事会专门委员会委员的公告新浪财经_新浪网 — https://vip.stock.finance.sina.com.cn/corp/view/vCB_AllBulletinDetail.php?id=12599210&amp;stockid=000513&amp;utm_source=openai</w:t>
      </w:r>
    </w:p>
    <w:p>
      <w:pPr>
        <w:spacing w:after="200"/>
      </w:pPr>
      <w:r>
        <w:rPr>
          <w:i/>
          <w:iCs/>
          <w:color w:val="595959"/>
          <w:sz w:val="18"/>
          <w:szCs w:val="18"/>
        </w:rPr>
        <w:t xml:space="preserve">丽珠集团(000513)_公司公告_丽珠集团：关于召开2026年第一次临时股东会的通知新浪财经_新浪网 — https://vip.stock.finance.sina.com.cn/corp/view/vCB_AllBulletinDetail.php?CompanyCode=10000855&amp;gather=1&amp;id=12590290&amp;utm_source=openai</w:t>
      </w:r>
    </w:p>
    <w:p>
      <w:pPr>
        <w:spacing w:after="200"/>
      </w:pPr>
      <w:r>
        <w:rPr>
          <w:i/>
          <w:iCs/>
          <w:color w:val="595959"/>
          <w:sz w:val="18"/>
          <w:szCs w:val="18"/>
        </w:rPr>
        <w:t xml:space="preserve">丽珠医药(01513.HK)：关连交易 收购新北江制药股份内容摘要_公告简述_数据解析_股票_证券之星 — https://4g.stockstar.com/detail/AN2026082100037833?utm_source=openai</w:t>
      </w:r>
    </w:p>
    <w:p>
      <w:pPr>
        <w:spacing w:after="200"/>
      </w:pPr>
      <w:r>
        <w:rPr>
          <w:i/>
          <w:iCs/>
          <w:color w:val="595959"/>
          <w:sz w:val="18"/>
          <w:szCs w:val="18"/>
        </w:rPr>
        <w:t xml:space="preserve">丽珠医药集团股份有限公司2026年半年度报告全文 — https://static.cninfo.com.cn/finalpage/2026-08-22/1225490312.PDF?utm_source=openai</w:t>
      </w:r>
    </w:p>
    <w:p>
      <w:pPr>
        <w:spacing w:after="200"/>
      </w:pPr>
      <w:r>
        <w:rPr>
          <w:i/>
          <w:iCs/>
          <w:color w:val="595959"/>
          <w:sz w:val="18"/>
          <w:szCs w:val="18"/>
        </w:rPr>
        <w:t xml:space="preserve">丽珠集团(000513)_公司公告_丽珠集团：关于获得《药品注册证书》的公告新浪财经_新浪网 — https://vip.stock.finance.sina.com.cn/corp/view/vCB_AllBulletinDetail.php?CompanyCode=10000855&amp;gather=1&amp;id=12561133&amp;utm_source=openai</w:t>
      </w:r>
    </w:p>
    <w:p>
      <w:pPr>
        <w:spacing w:after="200"/>
      </w:pPr>
      <w:r>
        <w:rPr>
          <w:i/>
          <w:iCs/>
          <w:color w:val="595959"/>
          <w:sz w:val="18"/>
          <w:szCs w:val="18"/>
        </w:rPr>
        <w:t xml:space="preserve">香港交易及結算所有限公司及香港聯合交易所有限公司對本公告的內容概不負責，對其 — https://www.hkexnews.hk/listedco/listconews/sehk/2019/0327/ltn201903271143_c.pdf?utm_source=openai</w:t>
      </w:r>
    </w:p>
    <w:p>
      <w:pPr>
        <w:spacing w:after="200"/>
      </w:pPr>
      <w:r>
        <w:rPr>
          <w:i/>
          <w:iCs/>
          <w:color w:val="595959"/>
          <w:sz w:val="18"/>
          <w:szCs w:val="18"/>
        </w:rPr>
        <w:t xml:space="preserve">麗珠醫藥（01513.HK）,股票股價,即時行情,新聞,財報數據|華盛通 — https://www.hstong.com/hk/quotes/10000-01513-HK?utm_source=openai</w:t>
      </w:r>
    </w:p>
    <w:p>
      <w:pPr>
        <w:spacing w:after="200"/>
      </w:pPr>
      <w:r>
        <w:rPr>
          <w:i/>
          <w:iCs/>
          <w:color w:val="595959"/>
          <w:sz w:val="18"/>
          <w:szCs w:val="18"/>
        </w:rPr>
        <w:t xml:space="preserve">丽珠医药(01513)市盈率|估值|基本面 - 理杏仁 — https://www.lixinger.com/equity/company/detail/hk/01513/1513/fundamental/valuation/pe-ttm?utm_source=openai</w:t>
      </w:r>
    </w:p>
    <w:p>
      <w:pPr>
        <w:spacing w:after="200"/>
      </w:pPr>
      <w:r>
        <w:rPr>
          <w:i/>
          <w:iCs/>
          <w:color w:val="595959"/>
          <w:sz w:val="18"/>
          <w:szCs w:val="18"/>
        </w:rPr>
        <w:t xml:space="preserve">Livzon Pharmaceutical Group Inc Stock Price Today | HK: 1513 Live - Investing.com — https://www.investing.com/equities/livzon-pharma?utm_source=openai</w:t>
      </w:r>
    </w:p>
    <w:p>
      <w:pPr>
        <w:spacing w:after="200"/>
      </w:pPr>
      <w:r>
        <w:rPr>
          <w:i/>
          <w:iCs/>
          <w:color w:val="595959"/>
          <w:sz w:val="18"/>
          <w:szCs w:val="18"/>
        </w:rPr>
        <w:t xml:space="preserve">麗珠醫藥（01513.HK）,股票股價,即時行情,新聞,財報數據|華盛通 — https://www.hstong.com/hk/quotes/10000-01513-HK</w:t>
      </w:r>
    </w:p>
    <w:p>
      <w:pPr>
        <w:spacing w:after="200"/>
      </w:pPr>
      <w:r>
        <w:rPr>
          <w:i/>
          <w:iCs/>
          <w:color w:val="595959"/>
          <w:sz w:val="18"/>
          <w:szCs w:val="18"/>
        </w:rPr>
        <w:t xml:space="preserve">Livzon Pharmaceutical Group Inc. (HKG:1513) Historical Stock Price Data — https://stockanalysis.com/quote/hkg/1513/history/</w:t>
      </w:r>
    </w:p>
    <w:p>
      <w:pPr>
        <w:spacing w:after="200"/>
      </w:pPr>
      <w:r>
        <w:rPr>
          <w:i/>
          <w:iCs/>
          <w:color w:val="595959"/>
          <w:sz w:val="18"/>
          <w:szCs w:val="18"/>
        </w:rPr>
        <w:t xml:space="preserve">1513 Technical Analysis, RSI and Moving Averages - Investing.com — https://www.investing.com/equities/livzon-pharma-technical?utm_source=openai</w:t>
      </w:r>
    </w:p>
    <w:p>
      <w:pPr>
        <w:spacing w:after="200"/>
      </w:pPr>
      <w:r>
        <w:rPr>
          <w:i/>
          <w:iCs/>
          <w:color w:val="595959"/>
          <w:sz w:val="18"/>
          <w:szCs w:val="18"/>
        </w:rPr>
        <w:t xml:space="preserve">1513.HK 港股报价|丽珠医药|LIVZON PHARMA - etnet 经济通|香港新闻财经资讯和生活平台 — https://m.etnet.com.hk/www/sc/stocks/realtime/quote.php?code=1513&amp;utm_source=openai</w:t>
      </w:r>
    </w:p>
    <w:p>
      <w:pPr>
        <w:spacing w:after="200"/>
      </w:pPr>
      <w:r>
        <w:rPr>
          <w:i/>
          <w:iCs/>
          <w:color w:val="595959"/>
          <w:sz w:val="18"/>
          <w:szCs w:val="18"/>
        </w:rPr>
        <w:t xml:space="preserve">丽珠集团(000513)_公司公告_丽珠集团：2026年半年度报告摘要新浪财经_新浪网 — https://money.finance.sina.com.cn/corp/view/vCB_AllBulletinDetail.php?id=12517294&amp;stockid=000513&amp;utm_source=openai</w:t>
      </w:r>
    </w:p>
    <w:p>
      <w:pPr>
        <w:spacing w:after="200"/>
      </w:pPr>
      <w:r>
        <w:rPr>
          <w:i/>
          <w:iCs/>
          <w:color w:val="595959"/>
          <w:sz w:val="18"/>
          <w:szCs w:val="18"/>
        </w:rPr>
        <w:t xml:space="preserve">本报告由AI基于公开渠道信息自动检索、整理并生成，信息截至 截至2026年9月11日港股收盘；2026年9月12日至13日为周末，香港市场无新的正式收盘价。金额均以HKD计。，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2026-09-13T14:10:12.028Z</dcterms:created>
  <dcterms:modified xsi:type="dcterms:W3CDTF">2026-09-13T14:10:12.028Z</dcterms:modified>
</cp:coreProperties>
</file>

<file path=docProps/custom.xml><?xml version="1.0" encoding="utf-8"?>
<Properties xmlns="http://schemas.openxmlformats.org/officeDocument/2006/custom-properties" xmlns:vt="http://schemas.openxmlformats.org/officeDocument/2006/docPropsVTypes"/>
</file>