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固生堂控股有限公司（GUSHENGTANG HOLDINGS LIMITED） (02273)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行业：民营中医医疗服务连锁</w:t>
      </w:r>
    </w:p>
    <w:p>
      <w:pPr>
        <w:jc w:val="center"/>
      </w:pPr>
      <w:r>
        <w:rPr>
          <w:color w:val="595959"/>
          <w:sz w:val="22"/>
          <w:szCs w:val="22"/>
        </w:rPr>
        <w:t xml:space="preserve">报告日期：2026年9月13日</w:t>
      </w:r>
    </w:p>
    <w:p>
      <w:pPr>
        <w:jc w:val="center"/>
      </w:pPr>
      <w:r>
        <w:rPr>
          <w:color w:val="595959"/>
          <w:sz w:val="20"/>
          <w:szCs w:val="20"/>
        </w:rPr>
        <w:t xml:space="preserve">数据截至2026年9月11日港股收市；2026年9月13日为星期日，未有新的港股收市数据。计价货币：港元（HKD）。</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固生堂（02273.HK）最新披露的2026年上半年收入为人民币16.53亿元，同比增长10.57%；母公司拥有人应占溢利约人民币2.21亿元，同比增长45.54%，利润增速显著高于收入增速，显示经营杠杆及盈利能力有所改善。公司同时宣派中期股息每股1.15港元。业务仍高度集中于医疗健康解决方案，2024年该业务占收入约98.9%，线下医疗机构是主要收入来源。</w:t>
      </w:r>
    </w:p>
    <w:p>
      <w:pPr>
        <w:spacing w:after="160" w:line="300"/>
      </w:pPr>
      <w:r>
        <w:rPr>
          <w:sz w:val="22"/>
          <w:szCs w:val="22"/>
        </w:rPr>
        <w:t xml:space="preserve">公司以民营中医医疗服务连锁为核心，2024年中国内地及新加坡合计拥有79家医疗机构，客户就诊人次约541.1万次，客户回头率约67.1%。增长逻辑主要来自线下门店扩张、并购整合、医生资源网络、线上预约及复诊、慢病管理和OMO模式；2026年上半年医疗健康解决方案收入同比增长约10.8%，增长主要来自线下医疗机构扩张。公司亦拟收购马来西亚三家中医医疗机构100%股权，但截至2026年9月13日交易尚未确认完成，收购代价及目标公司历史经营数据尚未披露。</w:t>
      </w:r>
    </w:p>
    <w:p>
      <w:pPr>
        <w:spacing w:after="160" w:line="300"/>
      </w:pPr>
      <w:r>
        <w:rPr>
          <w:sz w:val="22"/>
          <w:szCs w:val="22"/>
        </w:rPr>
        <w:t xml:space="preserve">盈利质量方面，2024年整体毛利率约30.1%，医师成本及材料成本占销售成本约80.2%，显示公司对医生资源、诊金分成及中药材成本较为敏感。2024年净贸易应收款项为人民币2.694亿元，存货为人民币1.795亿元，医保结算周期最长可达交易日起365日，业务扩张会伴随一定资金占用。机构对2026年至2028年的收入及盈利总体仍持增长预期，但相关预测属于研究机构模型，且部分模型早于最新中期业绩，不能视为公司正式指引。</w:t>
      </w:r>
    </w:p>
    <w:p>
      <w:pPr>
        <w:spacing w:after="160" w:line="300"/>
      </w:pPr>
      <w:r>
        <w:rPr>
          <w:sz w:val="22"/>
          <w:szCs w:val="22"/>
        </w:rPr>
        <w:t xml:space="preserve">截至2026年9月11日，股价收于26.54港元，处于MA5、MA10及MA20下方，RSI约45.64，技术面偏弱整理但尚未进入传统意义上的极端超卖区域。股价在中期业绩催化后由约29.10港元回落，近期围绕26至27港元震荡；成交量约60万股，低于三个月平均约97万股，暂未出现明显放量杀跌或反转确认。数据中市值及市盈率因平台和盈利口径不同存在差异，当前动态市盈率约12.1至13.4倍。</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2021年12月10日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主要经营区域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中国内地，并在新加坡经营1家医疗机构；主要经营实体位于中国内地，并通过合约安排控制境内业务实体</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中国民营中医医疗服务连锁运营商，核心收入来源为中医医疗服务，不是传统中药生产企业或单纯药品零售商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核心经营及财务数据主要截至2024年12月31日；研究纪要称2025年度报告虽已于2026年4月29日披露，但网页抓取未能完整提取经营数据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计价货币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财务报表金额为人民币（RMB），港股市场计价货币为港元（HKD）；研究纪要未对人民币金额进行汇率换算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2024年总收入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人民币3,022.377百万元，同比增长30.1%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2024年医疗机构数量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中国内地78家、新加坡1家，合计79家；均使用“固生堂”品牌，属于私立营利性医疗机构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2024年中国内地收入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人民币3,019.225百万元；新加坡收入为人民币3.152百万元，海外业务仍处于早期阶段</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2024年患者及医生资源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客户就诊人次约541.1万次，累计客户约442.6万人，客户回头率约67.1%；公司披露中医药特色人才队伍超过2,200人，公开业绩资料另显示合作医生数量约40,242人，但两者统计口径不同，不能直接相加</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数据限制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医生人数、患者就诊人次等部分数据来自公司业绩材料或媒体转述；行业市场份额及部分竞争对手门店数据存在单一来源或统计口径差异，具体应以公司最新公告、年报或相关企业最新资料为准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疗健康解决方案：包括中医咨询及诊断、处方服务、中药煎药及用药、针灸、推拿、艾灸、拔罐及其他理疗、部分护士治疗、慢病管理、线上复诊、在线问诊及预约线下诊疗。2024年收入为人民币2,987.656百万元，占全年收入约98.9%；2023年为人民币2,287.100百万元，2024年同比增长约30.6%。</w:t>
      </w:r>
    </w:p>
    <w:p>
      <w:pPr>
        <w:pStyle w:val="ListParagraph"/>
        <w:numPr>
          <w:ilvl w:val="0"/>
          <w:numId w:val="2"/>
        </w:numPr>
        <w:spacing w:after="80" w:line="280"/>
      </w:pPr>
      <w:r>
        <w:rPr>
          <w:sz w:val="22"/>
          <w:szCs w:val="22"/>
        </w:rPr>
        <w:t xml:space="preserve">医疗健康产品销售：主要包括贵细药材、中药材及中药相关产品、阿胶、冬虫夏草、燕窝、石斛、西洋参、营养品及养生产品。2024年收入为人民币34.721百万元，2023年为人民币36.251百万元，占全年收入约1.1%；2024年毛利率约36.0%。</w:t>
      </w:r>
    </w:p>
    <w:p>
      <w:pPr>
        <w:pStyle w:val="ListParagraph"/>
        <w:numPr>
          <w:ilvl w:val="0"/>
          <w:numId w:val="2"/>
        </w:numPr>
        <w:spacing w:after="80" w:line="280"/>
      </w:pPr>
      <w:r>
        <w:rPr>
          <w:sz w:val="22"/>
          <w:szCs w:val="22"/>
        </w:rPr>
        <w:t xml:space="preserve">线下医疗机构及线下药房：2024年收入为人民币2,740.487百万元，占总收入90.7%，同比增长34.5%。</w:t>
      </w:r>
    </w:p>
    <w:p>
      <w:pPr>
        <w:pStyle w:val="ListParagraph"/>
        <w:numPr>
          <w:ilvl w:val="0"/>
          <w:numId w:val="2"/>
        </w:numPr>
        <w:spacing w:after="80" w:line="280"/>
      </w:pPr>
      <w:r>
        <w:rPr>
          <w:sz w:val="22"/>
          <w:szCs w:val="22"/>
        </w:rPr>
        <w:t xml:space="preserve">线上医疗健康平台：通过官方网站、手机应用、微信公众号、微信小程序及第三方线上平台提供预约、在线问诊、复诊等服务。2024年收入为人民币281.890百万元，占总收入9.3%，同比下降1.5%。</w:t>
      </w:r>
    </w:p>
    <w:p>
      <w:pPr>
        <w:pStyle w:val="ListParagraph"/>
        <w:numPr>
          <w:ilvl w:val="0"/>
          <w:numId w:val="2"/>
        </w:numPr>
        <w:spacing w:after="80" w:line="280"/>
      </w:pPr>
      <w:r>
        <w:rPr>
          <w:sz w:val="22"/>
          <w:szCs w:val="22"/>
        </w:rPr>
        <w:t xml:space="preserve">扩张模式：采用自建与并购并行方式，2024年收购或整合昆山来恩门诊部、新加坡宝中堂、北京亚运村中医医院及宁波固元堂等医疗机构。</w:t>
      </w:r>
    </w:p>
    <w:p>
      <w:pPr>
        <w:pStyle w:val="ListParagraph"/>
        <w:numPr>
          <w:ilvl w:val="0"/>
          <w:numId w:val="2"/>
        </w:numPr>
        <w:spacing w:after="80" w:line="280"/>
      </w:pPr>
      <w:r>
        <w:rPr>
          <w:sz w:val="22"/>
          <w:szCs w:val="22"/>
        </w:rPr>
        <w:t xml:space="preserve">运营模式：以线下医疗机构为核心，线上平台承担获客、复诊和服务延伸，形成线上线下融合的OMO模式。</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固生堂处于中医医疗服务产业链的中游偏下游位置：上游连接中医师及名医资源、中药饮片和贵细药材、药品耗材、物业及线上流量等服务要素；中游通过线下医疗机构、互联网医院和数字化系统提供诊断、处方、煎药、针灸、推拿、艾灸及慢病管理；下游面向个人患者、医保支付方、商业保险客户及企业客户提供医疗健康服务和产品。</w:t>
      </w:r>
    </w:p>
    <w:p>
      <w:pPr>
        <w:pStyle w:val="ListParagraph"/>
        <w:numPr>
          <w:ilvl w:val="0"/>
          <w:numId w:val="2"/>
        </w:numPr>
        <w:spacing w:after="80" w:line="280"/>
      </w:pPr>
      <w:r>
        <w:rPr>
          <w:sz w:val="22"/>
          <w:szCs w:val="22"/>
        </w:rPr>
        <w:t xml:space="preserve">实际采购及使用的主要物料包括中药饮片及贵细药材、中药煎药材料、药品及医疗耗材、包装材料，以及推拿、针灸、艾灸等理疗耗材；2024年末药品、消耗品及包装材料存货为人民币179.494百万元，2023年为人民币152.950百万元。</w:t>
      </w:r>
    </w:p>
    <w:p>
      <w:pPr>
        <w:pStyle w:val="ListParagraph"/>
        <w:numPr>
          <w:ilvl w:val="0"/>
          <w:numId w:val="2"/>
        </w:numPr>
        <w:spacing w:after="80" w:line="280"/>
      </w:pPr>
      <w:r>
        <w:rPr>
          <w:sz w:val="22"/>
          <w:szCs w:val="22"/>
        </w:rPr>
        <w:t xml:space="preserve">关键上游资源还包括中医师及名医、医疗机构租赁物业、第三方线上流量平台、医疗信息化及互联网医院服务商。中医诊疗依赖医生经验、专业声誉和患者信任，稀缺名医对收入天花板及门店扩张质量影响较大。</w:t>
      </w:r>
    </w:p>
    <w:p>
      <w:pPr>
        <w:pStyle w:val="ListParagraph"/>
        <w:numPr>
          <w:ilvl w:val="0"/>
          <w:numId w:val="2"/>
        </w:numPr>
        <w:spacing w:after="80" w:line="280"/>
      </w:pPr>
      <w:r>
        <w:rPr>
          <w:sz w:val="22"/>
          <w:szCs w:val="22"/>
        </w:rPr>
        <w:t xml:space="preserve">2024年销售成本为人民币2,113.032百万元，其中医师成本及材料成本为人民币1,694.274百万元，占销售成本80.2%；定期经营开支为人民币418.758百万元，占19.8%。医师成本及材料成本同比增长29.3%，定期经营开支同比增长33.8%。</w:t>
      </w:r>
    </w:p>
    <w:p>
      <w:pPr>
        <w:pStyle w:val="ListParagraph"/>
        <w:numPr>
          <w:ilvl w:val="0"/>
          <w:numId w:val="2"/>
        </w:numPr>
        <w:spacing w:after="80" w:line="280"/>
      </w:pPr>
      <w:r>
        <w:rPr>
          <w:sz w:val="22"/>
          <w:szCs w:val="22"/>
        </w:rPr>
        <w:t xml:space="preserve">公司在稀缺名医资源端并非完全的价格制定者，需要通过诊金分成、绩效奖励、平台资源及品牌影响力吸引和留住医生；普通医生资源相对可通过招聘及培训补充。</w:t>
      </w:r>
    </w:p>
    <w:p>
      <w:pPr>
        <w:pStyle w:val="ListParagraph"/>
        <w:numPr>
          <w:ilvl w:val="0"/>
          <w:numId w:val="2"/>
        </w:numPr>
        <w:spacing w:after="80" w:line="280"/>
      </w:pPr>
      <w:r>
        <w:rPr>
          <w:sz w:val="22"/>
          <w:szCs w:val="22"/>
        </w:rPr>
        <w:t xml:space="preserve">公司对药材及耗材采购具有一定规模采购优势，但中药材尤其是贵细药材仍受产地、品种、质量和市场价格波动影响。研究纪要未披露主要供应商集中度或前五大供应商占比，因此供应商集中度无法确定。</w:t>
      </w:r>
    </w:p>
    <w:p>
      <w:pPr>
        <w:pStyle w:val="ListParagraph"/>
        <w:numPr>
          <w:ilvl w:val="0"/>
          <w:numId w:val="2"/>
        </w:numPr>
        <w:spacing w:after="80" w:line="280"/>
      </w:pPr>
      <w:r>
        <w:rPr>
          <w:sz w:val="22"/>
          <w:szCs w:val="22"/>
        </w:rPr>
        <w:t xml:space="preserve">下游客户包括个人自费患者、政府医保及社会保险结算患者、商业保险客户、企业客户及线上平台导流患者。</w:t>
      </w:r>
    </w:p>
    <w:p>
      <w:pPr>
        <w:pStyle w:val="ListParagraph"/>
        <w:numPr>
          <w:ilvl w:val="0"/>
          <w:numId w:val="2"/>
        </w:numPr>
        <w:spacing w:after="80" w:line="280"/>
      </w:pPr>
      <w:r>
        <w:rPr>
          <w:sz w:val="22"/>
          <w:szCs w:val="22"/>
        </w:rPr>
        <w:t xml:space="preserve">公司年报显示，没有单一客户或受共同控制的一组客户贡献公司收入10%或以上；研究纪要未披露前五大客户合计占比，因此不能据此计算传统意义上的前五大客户集中度。该数据基于2024年度报告，具体应以最新年报为准。</w:t>
      </w:r>
    </w:p>
    <w:p>
      <w:pPr>
        <w:pStyle w:val="ListParagraph"/>
        <w:numPr>
          <w:ilvl w:val="0"/>
          <w:numId w:val="2"/>
        </w:numPr>
        <w:spacing w:after="80" w:line="280"/>
      </w:pPr>
      <w:r>
        <w:rPr>
          <w:sz w:val="22"/>
          <w:szCs w:val="22"/>
        </w:rPr>
        <w:t xml:space="preserve">公司收入更接近大量个人患者和医保结算机构的分散组合，不存在单一大型工业或医疗器械客户压款的明显风险。自费患者对价格、医生口碑、诊疗效果和服务体验敏感；医保结算受地方医保政策、结算周期及合规要求影响。</w:t>
      </w:r>
    </w:p>
    <w:p>
      <w:pPr>
        <w:pStyle w:val="ListParagraph"/>
        <w:numPr>
          <w:ilvl w:val="0"/>
          <w:numId w:val="2"/>
        </w:numPr>
        <w:spacing w:after="80" w:line="280"/>
      </w:pPr>
      <w:r>
        <w:rPr>
          <w:sz w:val="22"/>
          <w:szCs w:val="22"/>
        </w:rPr>
        <w:t xml:space="preserve">患者可在公立中医院、综合医院中医科、区域民营中医馆及其他连锁中医机构之间选择，公立中医院在品牌、专家、医保、科研及复杂疾病诊疗方面具有优势。</w:t>
      </w:r>
    </w:p>
    <w:p>
      <w:pPr>
        <w:pStyle w:val="ListParagraph"/>
        <w:numPr>
          <w:ilvl w:val="0"/>
          <w:numId w:val="2"/>
        </w:numPr>
        <w:spacing w:after="80" w:line="280"/>
      </w:pPr>
      <w:r>
        <w:rPr>
          <w:sz w:val="22"/>
          <w:szCs w:val="22"/>
        </w:rPr>
        <w:t xml:space="preserve">第三方线上平台可能收取流量及获客佣金。2024年销售及分销开支中的第三方获客成本为人民币7.080百万元，占销售及分销开支1.9%，同比增长73.9%，显示线上流量平台的边际重要性正在提高。</w:t>
      </w:r>
    </w:p>
    <w:p>
      <w:pPr>
        <w:pStyle w:val="ListParagraph"/>
        <w:numPr>
          <w:ilvl w:val="0"/>
          <w:numId w:val="2"/>
        </w:numPr>
        <w:spacing w:after="80" w:line="280"/>
      </w:pPr>
      <w:r>
        <w:rPr>
          <w:sz w:val="22"/>
          <w:szCs w:val="22"/>
        </w:rPr>
        <w:t xml:space="preserve">截至2024年12月31日，净贸易应收款项为人民币269.442百万元，2023年末为人民币179.927百万元，相当于2024年收入人民币3,022.377百万元的约8.9%；存货为人民币179.494百万元，应收款项及存货合计约人民币448.936百万元。个人患者通常以现金或医保计划结算；政府医保结算通常需要交易日起30至365日，企业客户一般在交易日起90日内银行转账结算。数据表明自费患者回款相对较快，医保业务形成较明显的应收账款和资金占用；研究纪要未提供应收账款周转天数或应收款项相对净利润比例。</w:t>
      </w:r>
    </w:p>
    <w:p>
      <w:pPr>
        <w:pStyle w:val="ListParagraph"/>
        <w:numPr>
          <w:ilvl w:val="0"/>
          <w:numId w:val="2"/>
        </w:numPr>
        <w:spacing w:after="80" w:line="280"/>
      </w:pPr>
      <w:r>
        <w:rPr>
          <w:sz w:val="22"/>
          <w:szCs w:val="22"/>
        </w:rPr>
        <w:t xml:space="preserve">公司未披露单一客户或受共同控制的一组客户收入达到10%以上；研究纪要也未提供前五大客户合计占比。供应商集中度同样未披露。上述客户集中度信息仅能确认2024年度不存在收入占比达到10%的单一客户或共同控制客户组，数据来源为公司2024年度报告，未能提供前五大客户口径，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47.3%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收入为人民币925.366百万元，毛利为人民币437.490百万元，年内溢利为人民币-255.328百万元。公司仍处于扩张及亏损阶段，年报五年摘要未进一步拆分毛利率变动原因。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收入为人民币1,372.099百万元，毛利为人民币620.304百万元，年内溢利为人民币-506.886百万元。处于上市及业务扩张阶段，利润仍受扩张及相关费用影响；研究纪要称缺乏更细分成本拆分。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为人民币1,624.561百万元，毛利为人民币499.536百万元，年内溢利为人民币181.153百万元。毛利率较2021年明显下降，可能与业务结构、医生成本、材料成本及线下网络扩张有关；该解释属于基于年报数据的分析判断，并非公司披露的单一原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收入为人民币2,323.351百万元，毛利为人民币699.999百万元，年内溢利为人民币252.940百万元。收入增长带来规模扩张，但医生、材料及门店运营成本同步上升，毛利率基本稳定。</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为人民币3,022.377百万元，毛利为人民币909.345百万元，年内溢利为人民币307.173百万元。线下医疗机构收入增长34.5%，但医师及材料成本、门店运营成本同步增加，整体毛利率维持约30.1%；医疗健康解决方案毛利率为30.0%，医疗健康产品毛利率为36.0%。</w:t>
            </w:r>
          </w:p>
        </w:tc>
      </w:tr>
    </w:tbl>
    <w:p>
      <w:pPr>
        <w:spacing w:before="200"/>
      </w:pPr>
    </w:p>
    <w:p>
      <w:pPr>
        <w:spacing w:after="160" w:line="300"/>
      </w:pPr>
      <w:r>
        <w:rPr>
          <w:sz w:val="22"/>
          <w:szCs w:val="22"/>
        </w:rPr>
        <w:t xml:space="preserve">固生堂不是资源型上游企业，也不是以中药工业生产为核心的药企，而是处于医生资源与患者流量驱动的中游偏下游医疗服务环节，整体毛利率自2022年以来约为30%。其利润改善主要取决于门店密度提升、医生资源利用率提高、复诊及会员渗透率提升、医疗服务产品化、院内制剂增长，以及采购和管理效率改善，而不是单纯依靠药材涨价或传统制造业式产能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2024年度（截至2024年12月31日）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人民币30.22377亿元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数据纪要列示2025年收入同比增长7.5%，未单独列示2024年收入同比增速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母公司拥有人应占溢利：人民币3.06780亿元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2025年度（截至2025年12月31日）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人民币32.49070亿元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同比增长7.5%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母公司拥有人应占溢利：人民币3.52765亿元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同比增长约15.0%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人民币16.53亿元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同比增长10.57%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母公司拥有人应占溢利：人民币2.21亿元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同比增长45.54%</w:t>
            </w:r>
          </w:p>
        </w:tc>
      </w:tr>
    </w:tbl>
    <w:p>
      <w:pPr>
        <w:spacing w:after="200"/>
      </w:pPr>
      <w:r>
        <w:rPr>
          <w:i/>
          <w:iCs/>
          <w:color w:val="595959"/>
          <w:sz w:val="18"/>
          <w:szCs w:val="18"/>
        </w:rPr>
        <w:t xml:space="preserve">最新正式财报为截至2026年6月30日止六个月的中期业绩，于2026年8月28日披露。财务数据原则上保留公司披露币种人民币；股票价格、目标价、市值及股息采用港元。2025年度另披露毛利人民币10.1241亿元、EBITDA人民币6.219亿元、年度溢利人民币3.52069亿元、基本每股盈利人民币1.49元及摊薄每股盈利人民币1.45元。2026年上半年另披露基本每股盈利人民币1.00元、中期股息每股1.15港元及EBITDA约人民币3.70亿元。</w:t>
      </w:r>
    </w:p>
    <w:p>
      <w:pPr>
        <w:spacing w:after="160" w:line="300"/>
      </w:pPr>
      <w:r>
        <w:rPr>
          <w:sz w:val="22"/>
          <w:szCs w:val="22"/>
        </w:rPr>
        <w:t xml:space="preserve">2026年上半年收入同比增长约一成，但母公司拥有人应占溢利同比增长45.54%，利润增速显著快于收入增速；EBITDA同比增长约39.8%，反映盈利能力及经营杠杆改善。医疗健康解决方案收入为人民币16.45亿元，同比增长约10.8%，增长主要来自线下医疗机构扩张。2025年度利润增速亦高于收入增速，但收入增速较此前较高增长阶段放缓，后续表现取决于新门店扩张、并购整合、海外业务及消费医疗业务增长。</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均为研究机构预测，不是公司正式指引。招银国际2026年8月中期业绩点评列示2026E至2028E收入同比增长约14.5%、16.9%及18.5%，经调整净利润同比增长约14.7%、17.6%及19.7%，但摘要未完整列出对应绝对收入、净利润及EPS；表中招银国际绝对数来自2026年4月较早的模型资料，可能未完全反映最新中报及后续并购进展。交银国际、国信证券及东吴证券的预测资料发布于2026年4月。经调整净利润与法定归母净利润不可直接比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2026E（招银国际，旧版模型）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人民币37.10亿元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经调整净利润：人民币4.47亿元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经调整净利润同比增长约14.7%（中期业绩点评口径）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经调整EPS：人民币1.91元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2027E（招银国际，旧版模型）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人民币43.03亿元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经调整净利润：人民币5.13亿元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经调整净利润同比增长约17.6%（中期业绩点评口径）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经调整EPS：人民币2.19元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2028E（招银国际，旧版模型）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人民币50.77亿元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经调整净利润：人民币6.02亿元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经调整净利润同比增长约19.7%（中期业绩点评口径）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经调整EPS：人民币2.57元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2026E（交银国际）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人民币37.24亿元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归母净利润：人民币4.32亿元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数据纪要未列示同比增速；净利率约11.6%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2027E（交银国际）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人民币42.87亿元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归母净利润：人民币5.22亿元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数据纪要未列示同比增速；净利率约12.2%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2028E（交银国际）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人民币48.20亿元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归母净利润：人民币6.01亿元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数据纪要未列示同比增速；净利率约12.5%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人民币37.45亿元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归母净利润：人民币4.17亿元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收入增长15.3%；归母净利润增长18.2%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人民币1.78元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人民币42.82亿元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归母净利润：人民币4.88亿元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收入增长14.3%；归母净利润增长17.1%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人民币48.54亿元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归母净利润：人民币5.67亿元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收入增长13.4%；归母净利润增长16.0%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人民币2.42元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2026E（东吴证券）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人民币37.63亿元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归母净利润：人民币4.22亿元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收入增长15.82%；归母净利润增长19.65%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人民币1.80元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2027E（东吴证券）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人民币43.24亿元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归母净利润：人民币5.03亿元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收入增长14.90%；归母净利润增长19.06%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2028E（东吴证券）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人民币49.58亿元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归母净利润：人民币5.95亿元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收入增长14.66%；归母净利润增长18.37%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人民币2.54元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经济通综合12份券商报告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平均评级2.00；买入12份、持有0份、沽出0份、强烈买入0份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截至2026年9月上旬，具体更新时间动态变化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样本显示机构总体偏向买入，不应视为固定一致预期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买入；目标价45.50港元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优于大市；目标价36.00港元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买入；目标价42.00港元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买入；目标价41.20港元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增持；目标价40.00港元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买入；目标价40.00港元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优于大市；目标价43.30港元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买入；目标价34.20港元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2026年4月下调后维持</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浦银国际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买入；目标价38.50港元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早期覆盖报告，具体日期数据缺失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目标价以港元计</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目标价及最新预测需以其后续正式报告为准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12个月平均目标价约39.89港元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统计样本为18位分析师，与经济通12份券商报告样本不同</w:t>
            </w:r>
          </w:p>
        </w:tc>
      </w:tr>
    </w:tbl>
    <w:p>
      <w:pPr>
        <w:spacing w:before="200"/>
      </w:pPr>
    </w:p>
    <w:p>
      <w:pPr>
        <w:spacing w:after="160" w:line="300"/>
      </w:pPr>
      <w:r>
        <w:rPr>
          <w:sz w:val="22"/>
          <w:szCs w:val="22"/>
        </w:rPr>
        <w:t xml:space="preserve">2026年9月11日收盘价为26.82港元，当日跌幅约0.67%；52周价格区间约为24.32—34.20港元。理杏仁截至2026年9月10日数据显示，股价27.00港元、总市值约63.28亿港元、市盈率TTM 13.14倍、市净率2.91倍、静态股息率约3.86%，包含部分派息口径的股息率约6.81%。理杏仁同时显示当前市盈率低于其历史20%分位点17.89倍及50%分位点26.06倍。综合不同平台及盈利口径，纪要建议将当前估值表述为：截至2026年9月10—11日，市盈率约13—16倍，市净率约2.9倍。差异主要来自TTM或预测盈利、法定归母净利润或经调整净利润、库存股及回购注销处理、人民币兑港元汇率以及数据更新时间不同。以2026年9月11日收盘价26.82港元计算，相对Investing.com平均目标价39.89港元的潜在升幅约48.7%，相对34.20港元目标价约27.5%，相对45.50港元目标价约69.6%；上述为静态计算，不代表实际回报，且未考虑股息、汇率、目标价调整及业绩不达预期风险。机构对2026年归母净利润的预测约为人民币4.2—4.3亿元，按纪要所述当前港股市值折算口径，静态远期市盈率约13—15倍，但具体结果取决于汇率、股份数及预测口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拟收购马来西亚三家中医医疗机构100%股权</w:t>
      </w:r>
    </w:p>
    <w:p>
      <w:pPr>
        <w:spacing w:after="160" w:line="300"/>
      </w:pPr>
      <w:r>
        <w:rPr>
          <w:sz w:val="22"/>
          <w:szCs w:val="22"/>
        </w:rPr>
        <w:t xml:space="preserve">2026年8月27日，固生堂附属公司Gushengtang Malaysia Sdn. Bhd.与卖方订立买卖合同，拟收购YC TCM (Taman Segar) Sdn. Bhd.、YC TCM Sdn. Bhd.及SWS Medical Sdn. Bhd.三家马来西亚中医医疗机构的100%股权。目标公司主要提供中医咨询及治疗服务，交易完成后其财务业绩将并入集团综合财务报表。公告未披露具体收购代价，资金拟来自配售及发行可换股债券所得款项净额及集团闲置资金。卖方及目标公司最终实益拥有人均为独立第三方，交易不构成关连交易；由于适用百分比率均未超过5%，亦不构成上市规则下的须予公布交易。截至2026年9月13日，未检索到交易完成公告，收购仍须满足买卖合同所载先决条件，可能完成或可能不完成。</w:t>
      </w:r>
    </w:p>
    <w:p>
      <w:pPr>
        <w:pStyle w:val="Heading2"/>
        <w:spacing w:after="120" w:before="240"/>
      </w:pPr>
      <w:r>
        <w:rPr>
          <w:b/>
          <w:bCs/>
          <w:color w:val="2E74B5"/>
          <w:sz w:val="24"/>
          <w:szCs w:val="24"/>
        </w:rPr>
        <w:t xml:space="preserve">4.2 公布截至2026年6月30日止六个月中期业绩及中期股息</w:t>
      </w:r>
    </w:p>
    <w:p>
      <w:pPr>
        <w:spacing w:after="160" w:line="300"/>
      </w:pPr>
      <w:r>
        <w:rPr>
          <w:sz w:val="22"/>
          <w:szCs w:val="22"/>
        </w:rPr>
        <w:t xml:space="preserve">2026年8月28日，固生堂公布截至2026年6月30日止六个月中期业绩。期内收入为人民币16.53亿元，同比增长约10.57%；股东应占溢利约为人民币2.21亿元，同比增长约45.54%；每股基本盈利约为人民币1.00元；医疗健康解决方案收入为人民币16.45亿元，同比增长约10.8%。公司同时宣派中期股息每股1.15港元。收入增长主要来自医疗健康解决方案业务，推动因素包括线下医疗机构扩张。公开报道对股东应占溢利的具体数字存在人民币2.19亿元或人民币2.21亿元的轻微四舍五入差异，最终应以港交所正式中期业绩公告财务报表为准。</w:t>
      </w:r>
    </w:p>
    <w:p>
      <w:pPr>
        <w:pStyle w:val="Heading2"/>
        <w:spacing w:after="120" w:before="240"/>
      </w:pPr>
      <w:r>
        <w:rPr>
          <w:b/>
          <w:bCs/>
          <w:color w:val="2E74B5"/>
          <w:sz w:val="24"/>
          <w:szCs w:val="24"/>
        </w:rPr>
        <w:t xml:space="preserve">4.3 中期股息除净及派付安排</w:t>
      </w:r>
    </w:p>
    <w:p>
      <w:pPr>
        <w:spacing w:after="160" w:line="300"/>
      </w:pPr>
      <w:r>
        <w:rPr>
          <w:sz w:val="22"/>
          <w:szCs w:val="22"/>
        </w:rPr>
        <w:t xml:space="preserve">中期股息为每股1.15港元，除净日为2026年9月30日。股东登记截止日期及暂停办理股份过户登记安排以公司公告为准；市场资料显示派息日期为2026年10月23日。2025年同期中期股息为每股0.35港元。实际派息率仍应以正式财报及股份数为基础计算。</w:t>
      </w:r>
    </w:p>
    <w:p>
      <w:pPr>
        <w:pStyle w:val="Heading2"/>
        <w:spacing w:after="120" w:before="240"/>
      </w:pPr>
      <w:r>
        <w:rPr>
          <w:b/>
          <w:bCs/>
          <w:color w:val="2E74B5"/>
          <w:sz w:val="24"/>
          <w:szCs w:val="24"/>
        </w:rPr>
        <w:t xml:space="preserve">4.4 公司于2026年8月31日回购108,900股普通股</w:t>
      </w:r>
    </w:p>
    <w:p>
      <w:pPr>
        <w:spacing w:after="160" w:line="300"/>
      </w:pPr>
      <w:r>
        <w:rPr>
          <w:sz w:val="22"/>
          <w:szCs w:val="22"/>
        </w:rPr>
        <w:t xml:space="preserve">2026年8月31日，固生堂于香港联合交易所回购普通股108,900股，拟作为库存股份持有，并非注销。回购价格区间为27.06港元至27.44港元，成交均价约为27.27港元，总回购金额约296.96万港元，占回购前已发行股份并扣除库存股的比例约0.0491%。该次回购金额相对公司现金规模及市值不大，对每股盈利的短期增厚作用有限。</w:t>
      </w:r>
    </w:p>
    <w:p>
      <w:pPr>
        <w:pStyle w:val="Heading2"/>
        <w:spacing w:after="120" w:before="240"/>
      </w:pPr>
      <w:r>
        <w:rPr>
          <w:b/>
          <w:bCs/>
          <w:color w:val="2E74B5"/>
          <w:sz w:val="24"/>
          <w:szCs w:val="24"/>
        </w:rPr>
        <w:t xml:space="preserve">4.5 截至2026年8月31日的股份及库存股情况</w:t>
      </w:r>
    </w:p>
    <w:p>
      <w:pPr>
        <w:spacing w:after="160" w:line="300"/>
      </w:pPr>
      <w:r>
        <w:rPr>
          <w:sz w:val="22"/>
          <w:szCs w:val="22"/>
        </w:rPr>
        <w:t xml:space="preserve">截至2026年8月31日，公司不包括库存股份的已发行股份约221,965,451股，库存股份约12,514,500股，已发行股份总数约234,371,051股。8月份单月回购股份为108,900股。根据回购数据汇总资料，截至同日公司自相关回购授权以来累计在交易所回购约239.34万股，累计金额约6,487.59万港元；由于部分回购股份为库存股、部分早期股份拟注销，累计数据存在统计口径差异，应以港交所月报及翌日披露报表逐项核对。</w:t>
      </w:r>
    </w:p>
    <w:p>
      <w:pPr>
        <w:pStyle w:val="Heading2"/>
        <w:spacing w:after="120" w:before="240"/>
      </w:pPr>
      <w:r>
        <w:rPr>
          <w:b/>
          <w:bCs/>
          <w:color w:val="2E74B5"/>
          <w:sz w:val="24"/>
          <w:szCs w:val="24"/>
        </w:rPr>
        <w:t xml:space="preserve">4.6 披露截至2026年8月31日止月份证券变动月报表</w:t>
      </w:r>
    </w:p>
    <w:p>
      <w:pPr>
        <w:spacing w:after="160" w:line="300"/>
      </w:pPr>
      <w:r>
        <w:rPr>
          <w:sz w:val="22"/>
          <w:szCs w:val="22"/>
        </w:rPr>
        <w:t xml:space="preserve">2026年9月3日，公司披露截至2026年8月31日止月份证券变动月报表，确认8月31日回购的108,900股计入库存股份，月内没有因购股权或其他安排新增发行普通股的主要记录。公司确认符合香港上市规则下的公众持股量要求。集团发行的1.1亿美元、年利率2%、2031年到期可换股债券仍处于存续状态，转换价为每股37.77港元，理论上可转换为约22,915,071股股份。上述股份为潜在摊薄来源，并非当月已经发行的新股。</w:t>
      </w:r>
    </w:p>
    <w:p>
      <w:pPr>
        <w:pStyle w:val="Heading2"/>
        <w:spacing w:after="120" w:before="240"/>
      </w:pPr>
      <w:r>
        <w:rPr>
          <w:b/>
          <w:bCs/>
          <w:color w:val="2E74B5"/>
          <w:sz w:val="24"/>
          <w:szCs w:val="24"/>
        </w:rPr>
        <w:t xml:space="preserve">4.7 睿远基金据报增持固生堂股份</w:t>
      </w:r>
    </w:p>
    <w:p>
      <w:pPr>
        <w:spacing w:after="160" w:line="300"/>
      </w:pPr>
      <w:r>
        <w:rPr>
          <w:sz w:val="22"/>
          <w:szCs w:val="22"/>
        </w:rPr>
        <w:t xml:space="preserve">公开市场资料显示，睿远基金管理有限公司于2026年8月31日增持固生堂约120,000股，每股作价约27.2892港元，总金额约327.47万港元。该信息来自港交所披露权益资料的第三方转述，研究纪要未直接取得对应的港交所披露权益原始文件，因此暂不能确认最终持股比例变化、权益性质及是否属于基金产品层面的持有。该次增持金额与公司同期回购金额约296.96万港元相近，但单次增持占公司总股本比例较小，暂不足以单独构成重大股东结构变化。</w:t>
      </w:r>
    </w:p>
    <w:p>
      <w:pPr>
        <w:pStyle w:val="Heading2"/>
        <w:spacing w:after="120" w:before="240"/>
      </w:pPr>
      <w:r>
        <w:rPr>
          <w:b/>
          <w:bCs/>
          <w:color w:val="2E74B5"/>
          <w:sz w:val="24"/>
          <w:szCs w:val="24"/>
        </w:rPr>
        <w:t xml:space="preserve">4.8 预告董事会审议中期业绩及股息</w:t>
      </w:r>
    </w:p>
    <w:p>
      <w:pPr>
        <w:spacing w:after="160" w:line="300"/>
      </w:pPr>
      <w:r>
        <w:rPr>
          <w:sz w:val="22"/>
          <w:szCs w:val="22"/>
        </w:rPr>
        <w:t xml:space="preserve">2026年8月18日，公司公告董事会将于2026年8月28日召开会议，审议截至2026年6月30日止六个月的未经审核中期业绩，并考虑派发中期股息。该公告属于业绩发布前的程序性公告，随后已由2026年8月28日中期业绩公告及中期股息公告落实。</w:t>
      </w:r>
    </w:p>
    <w:p>
      <w:pPr>
        <w:pStyle w:val="Heading2"/>
        <w:spacing w:after="120" w:before="240"/>
      </w:pPr>
      <w:r>
        <w:rPr>
          <w:b/>
          <w:bCs/>
          <w:color w:val="2E74B5"/>
          <w:sz w:val="24"/>
          <w:szCs w:val="24"/>
        </w:rPr>
        <w:t xml:space="preserve">4.9 未检索到2026年9月盈利警告或业绩预告</w:t>
      </w:r>
    </w:p>
    <w:p>
      <w:pPr>
        <w:spacing w:after="160" w:line="300"/>
      </w:pPr>
      <w:r>
        <w:rPr>
          <w:sz w:val="22"/>
          <w:szCs w:val="22"/>
        </w:rPr>
        <w:t xml:space="preserve">截至2026年9月13日，未检索到固生堂于2026年9月发布的盈利预警、盈利预告、业绩下修或延迟公布业绩公告。公司最近一次重大业绩披露为2026年8月28日中期业绩公告，数据显示收入及股东应占溢利均同比增长，且利润增速高于收入增速。该结果仅代表在港交所公告、经济通及公开市场信息中未找到相关文件，不等同于公司对全年业绩作出正式指引。</w:t>
      </w:r>
    </w:p>
    <w:p>
      <w:pPr>
        <w:pStyle w:val="Heading2"/>
        <w:spacing w:after="120" w:before="240"/>
      </w:pPr>
      <w:r>
        <w:rPr>
          <w:b/>
          <w:bCs/>
          <w:color w:val="2E74B5"/>
          <w:sz w:val="24"/>
          <w:szCs w:val="24"/>
        </w:rPr>
        <w:t xml:space="preserve">4.10 未检索到重大监管、纪律处分或合规调查公告</w:t>
      </w:r>
    </w:p>
    <w:p>
      <w:pPr>
        <w:spacing w:after="160" w:line="300"/>
      </w:pPr>
      <w:r>
        <w:rPr>
          <w:sz w:val="22"/>
          <w:szCs w:val="22"/>
        </w:rPr>
        <w:t xml:space="preserve">截至2026年9月13日，未检索到港交所、香港证监会或公司公告针对固生堂发出纪律处分、监管谴责、停牌、复牌、核数师保留意见或重大合规调查公告。当前需持续关注马来西亚收购交易的完成条件，以及海外医疗机构并购后可能涉及的当地医疗执业许可、公司注册、医疗机构运营及财务并表合规事项。公告未披露具体先决条件、付款金额、目标公司历史收入及利润，亦未披露马来西亚监管审批的详细时间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股票及公司</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02273，固生堂控股有限公司（GUSHENGTANG），香港交易所主板上市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26.54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下跌0.46 HKD，跌幅约1.70%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26.82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日内高低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27.00 HKD至26.42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约602,400至606,100股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约1,615万HKD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约57.4亿至62.2亿HKD；不同数据源口径存在差异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约12.1至13.4倍；不同数据源口径存在差异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约24.32至34.20 HKD；另一平台显示高位约33.305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3个月平均成交量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约97万股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2026年8月28日收市约29.10 HKD；2026年9月11日收市26.54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业绩催化后的快速冲高后回落，股价在26至27 HKD区间震荡；9月11日收市价跌破近期26.7至27.0 HKD短线密集成交区，短线动能有所转弱。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距离52周低位24.32 HKD约高9.1%，距离52周高位34.20 HKD约低22.4%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股价处于52周区间偏下位置，尚未重新回到中长期高位区域。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约26.84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收盘价26.54 HKD低于MA5约0.30 HKD，短线价格受到均线压制。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约27.01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收盘价低于MA10约0.47 HKD，反弹需要重新站回约26.9至27.1 HKD区域。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约27.09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收盘价低于MA20约0.55 HKD；MA5、MA10及MA20呈短期压制结构。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约45.64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位于50下方但高于30，显示偏弱但尚未达到传统意义上的极端超卖；若回升至50至55并配合成交量增加，才更能确认短线修复力度。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截至2026年9月11日的最新数值缺失；可检索到的2026年6月22日快照为-0.290，评级为卖出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6月22日数据距离本次数据日较久，不能作为当前实时指标。结合股价低于MA5、MA10及MA20，方向上暂未见明确的向上金叉确认，但无法给出最新精确数值。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20日中轨约27.09 HKD；上轨约28.15 HKD；下轨约26.02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26.54 HKD位于中轨下方但仍高于下轨，属于偏弱震荡区而非极端下轨区域；若跌破26.0至26.2 HKD，短线压力将明显增加。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当日成交量与均值比较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约60.2万至60.6万股，约为3个月平均成交量97万股的六成左右</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9月11日下跌1.70%但成交量低于近期均值，更接近缩量回落而非明显放量杀跌，暂未形成强势反转所需的成交量确认。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截至2026年9月11日未找到可交叉核实的实时主力资金净流入数据；AASTOCKS约-63.45万HKD的快照对应2026年6月11日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港股不存在完全统一的主力资金净流入官方统计口径，6月11日数据不能作为本次数据日的最新资金流向。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股东及机构持股资料</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Action Thrive Group Limited约14.43%，呈报日期2026年9月1日；Ruiyuan Fund Management Company Limited约7.20%，呈报日期2026年6月10日；两者合计约21.63%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可确认主要股东及基金管理相关持仓参与，但无法仅凭本次资料确认截至2026年9月11日完整前十大股东合计持股比例。Investing分类显示共同基金及ETF约17.01%、其他机构投资者约29.21%、上市公司及散户等约53.78%，但该分类不等同于港交所完整前十大股东名单，且持仓存在滞后，实际结构可能已经变化。</w:t>
            </w:r>
          </w:p>
        </w:tc>
      </w:tr>
    </w:tbl>
    <w:p>
      <w:pPr>
        <w:spacing w:before="200"/>
      </w:pPr>
    </w:p>
    <w:p>
      <w:pPr>
        <w:spacing w:after="160" w:line="300"/>
      </w:pPr>
      <w:r>
        <w:rPr>
          <w:sz w:val="22"/>
          <w:szCs w:val="22"/>
        </w:rPr>
        <w:t xml:space="preserve">截至2026年9月11日，02273收于26.54 HKD，处于MA5、MA10及MA20下方，RSI约45.64，技术面呈偏弱整理而非极端超卖。股价在8月28日业绩催化后由约29.10 HKD回落，近期主要运行于26至27 HKD区间；9月11日跌破26.7至27.0 HKD短线密集成交区，但当日成交量仅约60万股、低于3个月平均约97万股，暂未体现放量杀跌。上方首先关注26.9至27.1 HKD均线压力，其后为27.5至27.6 HKD；下方关注26.4至26.8 HKD及25.9至26.2 HKD支撑。由于最新MACD数值、完整前十大股东集中度及本次数据日主力资金净流向均缺失，不宜据此作出过度确定的趋势判断。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风险提示：以下内容仅为基于2026年9月11日收盘数据及历史技术指标的主观情景推演，不构成投资建议，也不构成对未来股价走势的保证。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27.0~27.6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27.0~27.1 HKD对应MA10、MA20及近期密集成交区，27.5~27.6 HKD对应近期反弹高位。若有效突破27.6 HKD并伴随成交量明显增加，可进一步观察27.9~28.2 HKD区域。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26.4~26.8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接近日内低位及近期多个交易日低位，并覆盖近期收市价密集区域。若失守，短线可能向25.9~26.2 HKD强支撑区测试。</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25.9~26.2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接近本次测算的布林带下轨约26.02 HKD。若有效跌破25.9 HKD，可能打开向25.0 HKD附近及52周低位24.32 HKD方向测试的空间。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震荡整理（主观权重较高，约六成左右；属于基于当前技术及资金流动性背景的主观启发式权重，并非统计概率）：价格区间约26.4~27.6 HKD。触发条件包括守住26.4~26.8 HKD、成交量维持约40万至100万股的近期常态范围、没有新的强催化或明显利空消息，且恒生指数及医疗服务板块没有出现显著单边走势。若成立，股价可能围绕26.8~27.1 HKD反复，27.0~27.6 HKD仍是主要反弹阻力。</w:t>
      </w:r>
    </w:p>
    <w:p>
      <w:pPr>
        <w:pStyle w:val="ListParagraph"/>
        <w:numPr>
          <w:ilvl w:val="0"/>
          <w:numId w:val="2"/>
        </w:numPr>
        <w:spacing w:after="80" w:line="280"/>
      </w:pPr>
      <w:r>
        <w:rPr>
          <w:sz w:val="22"/>
          <w:szCs w:val="22"/>
        </w:rPr>
        <w:t xml:space="preserve">偏弱下行（主观权重中等，约三成；属于基于当前技术及资金流动性背景的主观启发式权重，并非统计概率）：价格区间约25.9~26.4 HKD。触发条件包括收市价连续跌破26.4 HKD、下跌日成交量明显高于近期均值、RSI继续向40以下回落，或医疗保健板块及恒生指数同步走弱。若跌破25.9~26.2 HKD强支撑区，技术上可能打开向25.0 HKD附近甚至52周低位24.32 HKD方向测试的空间。</w:t>
      </w:r>
    </w:p>
    <w:p>
      <w:pPr>
        <w:pStyle w:val="ListParagraph"/>
        <w:numPr>
          <w:ilvl w:val="0"/>
          <w:numId w:val="2"/>
        </w:numPr>
        <w:spacing w:after="80" w:line="280"/>
      </w:pPr>
      <w:r>
        <w:rPr>
          <w:sz w:val="22"/>
          <w:szCs w:val="22"/>
        </w:rPr>
        <w:t xml:space="preserve">反弹走强（主观权重偏低，约一成；属于基于当前技术及资金流动性背景的主观启发式权重，并非统计概率）：价格区间约27.6~28.2 HKD。触发条件包括重新站上27.1 HKD、进一步突破27.5~27.6 HKD、单日成交量明显高于近期均值且上涨日成交额持续增加，同时医疗服务板块或港股大盘转强，或出现新的公司催化消息。若确认突破27.6 HKD，可观察27.9~28.2 HKD；在成交量未配合前，单日冲高仍可能只是区间内反弹。</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截至2026年9月11日，换手率约0.26%，成交量约60.2万至60.6万股，成交额约1,615万HKD，低于3个月平均成交量约97万股。股东资料方面，Action Thrive Group Limited约14.43%，呈报日期为2026年9月1日；Ruiyuan Fund Management Company Limited约7.20%，呈报日期为2026年6月10日，两者已披露持股合计约21.63%。Investing页面分类显示共同基金及ETF约17.01%、其他机构投资者约29.21%，但该分类不等同于香港交易所完整前十大股东名单，且股东资料存在季度或个别披露滞后，实际持仓可能已发生变化。当前可确认主要股东及基金管理相关持仓参与，但无法确认截至2026年9月11日完整前十大股东集中度。实践上，这意味着有效流通盘可能低于名义总股本；在成交量偏低时，少量资金进出可能造成较明显的价格波动、买卖价差及滑点，技术突破也需要成交量配合确认。</w:t>
      </w:r>
    </w:p>
    <w:p>
      <w:pPr>
        <w:spacing w:after="160" w:line="300"/>
      </w:pPr>
      <w:r>
        <w:rPr>
          <w:sz w:val="22"/>
          <w:szCs w:val="22"/>
        </w:rPr>
        <w:t xml:space="preserve">可检查的量能确认信号是：若单日成交量连续达到100万股以上、成交额达到约2,500万至3,000万HKD以上，并且股价收市站上27.5~27.6 HKD，可视为较有意义的资金介入或突破确认信号；相反，若跌破26.4 HKD时成交量放大至100万股以上且收市接近当日低位，则需关注卖压扩大。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观察26.4~26.8 HKD能否形成短线承接；若失守，进一步观察25.9~26.2 HKD强支撑区。以上为观察思路，非操作指令。</w:t>
      </w:r>
    </w:p>
    <w:p>
      <w:pPr>
        <w:pStyle w:val="ListParagraph"/>
        <w:numPr>
          <w:ilvl w:val="0"/>
          <w:numId w:val="2"/>
        </w:numPr>
        <w:spacing w:after="80" w:line="280"/>
      </w:pPr>
      <w:r>
        <w:rPr>
          <w:sz w:val="22"/>
          <w:szCs w:val="22"/>
        </w:rPr>
        <w:t xml:space="preserve">观察27.0~27.6 HKD压力区能否在成交量配合下被突破。以上为观察思路，非操作指令。</w:t>
      </w:r>
    </w:p>
    <w:p>
      <w:pPr>
        <w:pStyle w:val="ListParagraph"/>
        <w:numPr>
          <w:ilvl w:val="0"/>
          <w:numId w:val="2"/>
        </w:numPr>
        <w:spacing w:after="80" w:line="280"/>
      </w:pPr>
      <w:r>
        <w:rPr>
          <w:sz w:val="22"/>
          <w:szCs w:val="22"/>
        </w:rPr>
        <w:t xml:space="preserve">观察成交量能否由约60万股水平回升至100万股以上，并同步推动成交额升至约2,500万至3,000万HKD以上。以上为观察思路，非操作指令。</w:t>
      </w:r>
    </w:p>
    <w:p>
      <w:pPr>
        <w:pStyle w:val="ListParagraph"/>
        <w:numPr>
          <w:ilvl w:val="0"/>
          <w:numId w:val="2"/>
        </w:numPr>
        <w:spacing w:after="80" w:line="280"/>
      </w:pPr>
      <w:r>
        <w:rPr>
          <w:sz w:val="22"/>
          <w:szCs w:val="22"/>
        </w:rPr>
        <w:t xml:space="preserve">观察RSI能否由45附近回升至50以上，以及MACD能否由最新可靠数据源确认出现向上拐点。以上为观察思路，非操作指令。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中医医疗服务行业机构数量众多、区域分散，大型公立中医院在品牌、专家和医保方面占据优势，民营中医馆则以区域型、小型及个体化经营者为主。行业对名医资源、患者口碑和复诊率依赖较高，标准化和复制难度高；连锁化、数字化及线上线下一体化仍处于发展阶段，行业集中度较低，存在并购整合空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核心包括名医及专家资源、医生分成和激励机制、医保定点及支付渠道、中药材品质和供应链、诊疗效果及患者口碑、门店位置、线上预约与复诊、配送能力、慢病管理、会员体系、品牌影响力及跨区域并购运营能力。</w:t>
      </w:r>
    </w:p>
    <w:p>
      <w:pPr>
        <w:pStyle w:val="ListParagraph"/>
        <w:numPr>
          <w:ilvl w:val="0"/>
          <w:numId w:val="2"/>
        </w:numPr>
        <w:spacing w:after="80" w:line="280"/>
      </w:pPr>
      <w:r>
        <w:rPr>
          <w:sz w:val="22"/>
          <w:szCs w:val="22"/>
        </w:rPr>
        <w:t xml:space="preserve">大型公立中医院及综合医院中医科是重要替代性竞争力量，拥有更强的三甲品牌、医保和科研资源，以及较多名医和复杂疾病诊疗能力。</w:t>
      </w:r>
    </w:p>
    <w:p>
      <w:pPr>
        <w:pStyle w:val="ListParagraph"/>
        <w:numPr>
          <w:ilvl w:val="0"/>
          <w:numId w:val="2"/>
        </w:numPr>
        <w:spacing w:after="80" w:line="280"/>
      </w:pPr>
      <w:r>
        <w:rPr>
          <w:sz w:val="22"/>
          <w:szCs w:val="22"/>
        </w:rPr>
        <w:t xml:space="preserve">与眼科、口腔等标准化程度较高的专科医疗相比，中医服务更依赖医生个人品牌和个体化处方，大型连锁机构的采购、品牌及数字化优势难以完全替代医生资源的不可标准化特征。</w:t>
      </w:r>
    </w:p>
    <w:p>
      <w:pPr>
        <w:pStyle w:val="ListParagraph"/>
        <w:numPr>
          <w:ilvl w:val="0"/>
          <w:numId w:val="2"/>
        </w:numPr>
        <w:spacing w:after="80" w:line="280"/>
      </w:pPr>
      <w:r>
        <w:rPr>
          <w:sz w:val="22"/>
          <w:szCs w:val="22"/>
        </w:rPr>
        <w:t xml:space="preserve">公开行业资料和券商研究认为行业呈现“小散乱”格局。部分资料估算固生堂在全国中医医疗市场份额不足1%，在民营中医市场份额约为1%至2%；不同资料市场口径不同，不能视为经审计数据。研究纪要另提示约0.6%、1.9%或不足1%的不同数字不能直接比较。</w:t>
      </w:r>
    </w:p>
    <w:p>
      <w:pPr>
        <w:pStyle w:val="ListParagraph"/>
        <w:numPr>
          <w:ilvl w:val="0"/>
          <w:numId w:val="2"/>
        </w:numPr>
        <w:spacing w:after="80" w:line="280"/>
      </w:pPr>
      <w:r>
        <w:rPr>
          <w:sz w:val="22"/>
          <w:szCs w:val="22"/>
        </w:rPr>
        <w:t xml:space="preserve">固生堂的相对差异化在于全国性连锁网络、线上线下融合、就诊便利性、线上预约及复诊、较灵活的医生合作机制、会员体系和基层及慢病管理覆盖。</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同仁堂医养（02667.HK）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同仁堂集团旗下中医医疗服务及医养健康平台，提供中医医疗服务、标准化管理服务并销售健康产品。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品牌历史、药品及中医药文化资源较强；线下机构规模和全国覆盖度目前低于固生堂。更偏“品牌+医院/医养管理+机构服务”，是较直接的上市中医医疗服务可比公司。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和顺堂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以精品中药及中医诊疗服务为核心，采用“名药、名医、名馆、名工厂”等经营模式，主要覆盖深圳及粤港澳大湾区。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企业自述在深圳周边约有100家中医药馆、香港约有40家门店、医生超过300名，但门店统计口径和日期需要进一步核实。更突出药材供应链和区域中医馆，全国化程度低于固生堂。</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圣爱中医馆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以中医馆、线上问诊、处方、配药和养生服务为主，起源于云南并向成都、武汉、南京、重庆等地区扩展。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优势在云南及西南地区品牌、本地医生资源和特色专科；更偏区域连锁和中医文化品牌，全国性网络及资本市场融资能力弱于固生堂。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张仲景国医馆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依托仲景宛西制药及张仲景大药房体系，形成“药品生产—药房零售—中医医疗—康养服务”产业链。</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中药工业、药房和医药品牌协同能力较强，门店主要集中在河南等区域；门店数量来自第三方行业资料，存在统计口径差异。</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公立中医院及大型综合医院中医科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公立医疗体系中的中医诊疗及专科服务机构，是固生堂的重要替代性竞争力量。</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在三甲品牌、医保和科研资源、名医及专科资源、复杂疾病诊疗能力方面具有优势；固生堂主要以便利性、连锁门店密度、线上预约复诊、医生合作机制和服务体验进行差异化竞争。</w:t>
            </w:r>
          </w:p>
        </w:tc>
      </w:tr>
    </w:tbl>
    <w:p>
      <w:pPr>
        <w:spacing w:before="200"/>
      </w:pPr>
    </w:p>
    <w:p>
      <w:pPr>
        <w:spacing w:after="160" w:line="300"/>
      </w:pPr>
      <w:r>
        <w:rPr>
          <w:sz w:val="22"/>
          <w:szCs w:val="22"/>
        </w:rPr>
        <w:t xml:space="preserve">固生堂相较区域型中医馆拥有更广的跨区域门店网络、线上线下融合能力及资本市场融资能力；相较同仁堂医养、张仲景国医馆等拥有药品或品牌资源的竞争者，其核心模式更偏轻资产连锁中医馆、医生资源网络和互联网医院平台。行业整体集中度仍低，但医生资源难以标准化复制、医保及地方监管要求、并购整合和门店扩张成本构成其规模化发展的主要约束。</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医生资源及名医依赖风险：公司的中医诊疗高度依赖医生经验、专业声誉和患者信任，医师成本及材料成本占2024年销售成本约80.2%。若核心医生流失、分成和激励成本上升，或新门店难以获得足够医生资源，可能影响客流、收入及毛利率。</w:t>
      </w:r>
    </w:p>
    <w:p>
      <w:pPr>
        <w:pStyle w:val="ListParagraph"/>
        <w:numPr>
          <w:ilvl w:val="0"/>
          <w:numId w:val="2"/>
        </w:numPr>
        <w:spacing w:after="80" w:line="280"/>
      </w:pPr>
      <w:r>
        <w:rPr>
          <w:sz w:val="22"/>
          <w:szCs w:val="22"/>
        </w:rPr>
        <w:t xml:space="preserve">门店扩张及并购整合风险：公司采用自建与并购并行模式，2024年已收购或整合多家境内及新加坡医疗机构；若新机构客流、医生配置或运营效率未达预期，可能导致整合成本上升、利润率承压或形成经营减值压力。</w:t>
      </w:r>
    </w:p>
    <w:p>
      <w:pPr>
        <w:pStyle w:val="ListParagraph"/>
        <w:numPr>
          <w:ilvl w:val="0"/>
          <w:numId w:val="2"/>
        </w:numPr>
        <w:spacing w:after="80" w:line="280"/>
      </w:pPr>
      <w:r>
        <w:rPr>
          <w:sz w:val="22"/>
          <w:szCs w:val="22"/>
        </w:rPr>
        <w:t xml:space="preserve">马来西亚收购不确定性：拟收购的三家马来西亚中医医疗机构交易截至2026年9月13日尚未确认完成，公告未披露具体收购代价、目标公司历史收入及利润，也未披露当地监管审批详细时间表，交易可能延期或无法完成，海外业务贡献亦存在不确定性。</w:t>
      </w:r>
    </w:p>
    <w:p>
      <w:pPr>
        <w:pStyle w:val="ListParagraph"/>
        <w:numPr>
          <w:ilvl w:val="0"/>
          <w:numId w:val="2"/>
        </w:numPr>
        <w:spacing w:after="80" w:line="280"/>
      </w:pPr>
      <w:r>
        <w:rPr>
          <w:sz w:val="22"/>
          <w:szCs w:val="22"/>
        </w:rPr>
        <w:t xml:space="preserve">医保应收账款及现金流占用风险：截至2024年12月31日净贸易应收款项为人民币2.694亿元，医保结算周期可由交易日起30日至365日。随着线下机构及医保业务扩大，应收账款和资金占用可能继续增加，并带来回款周期及减值风险。</w:t>
      </w:r>
    </w:p>
    <w:p>
      <w:pPr>
        <w:pStyle w:val="ListParagraph"/>
        <w:numPr>
          <w:ilvl w:val="0"/>
          <w:numId w:val="2"/>
        </w:numPr>
        <w:spacing w:after="80" w:line="280"/>
      </w:pPr>
      <w:r>
        <w:rPr>
          <w:sz w:val="22"/>
          <w:szCs w:val="22"/>
        </w:rPr>
        <w:t xml:space="preserve">中药材及耗材成本风险：2024年末药品、消耗品及包装材料存货为人民币1.795亿元，公司使用中药饮片、贵细药材及多类理疗耗材。贵细药材的品种、质量、产地和市场价格波动，可能影响库存价值、采购成本及医疗健康解决方案毛利率。</w:t>
      </w:r>
    </w:p>
    <w:p>
      <w:pPr>
        <w:pStyle w:val="ListParagraph"/>
        <w:numPr>
          <w:ilvl w:val="0"/>
          <w:numId w:val="2"/>
        </w:numPr>
        <w:spacing w:after="80" w:line="280"/>
      </w:pPr>
      <w:r>
        <w:rPr>
          <w:sz w:val="22"/>
          <w:szCs w:val="22"/>
        </w:rPr>
        <w:t xml:space="preserve">行业竞争及服务标准化风险：公司需要与大型公立中医院、综合医院中医科及区域民营中医馆竞争，公立机构在品牌、专家、医保、科研及复杂疾病诊疗方面具有优势；而中医处方和诊疗效果较难标准化，可能限制固生堂跨区域复制及门店利用率提升。</w:t>
      </w:r>
    </w:p>
    <w:p>
      <w:pPr>
        <w:pStyle w:val="ListParagraph"/>
        <w:numPr>
          <w:ilvl w:val="0"/>
          <w:numId w:val="2"/>
        </w:numPr>
        <w:spacing w:after="80" w:line="280"/>
      </w:pPr>
      <w:r>
        <w:rPr>
          <w:sz w:val="22"/>
          <w:szCs w:val="22"/>
        </w:rPr>
        <w:t xml:space="preserve">线上获客效率风险：2024年线上医疗健康平台收入同比下降1.5%，而销售及分销开支中的第三方获客成本同比增长73.9%，达到人民币708.0万元。若线上流量成本继续上升而预约、复诊及转化率未同步改善，可能削弱线上业务的盈利贡献。</w:t>
      </w:r>
    </w:p>
    <w:p>
      <w:pPr>
        <w:pStyle w:val="ListParagraph"/>
        <w:numPr>
          <w:ilvl w:val="0"/>
          <w:numId w:val="2"/>
        </w:numPr>
        <w:spacing w:after="80" w:line="280"/>
      </w:pPr>
      <w:r>
        <w:rPr>
          <w:sz w:val="22"/>
          <w:szCs w:val="22"/>
        </w:rPr>
        <w:t xml:space="preserve">股权及可转债摊薄风险：公司发行的1.1亿美元、年利率2%、2031年到期可换股债券仍存续，转换价为每股37.77港元，理论上可转换为约2,291.5万股股份；若未来发生转换，可能对现有股东持股比例及每股盈利造成摊薄。</w:t>
      </w:r>
    </w:p>
    <w:p>
      <w:pPr>
        <w:pStyle w:val="ListParagraph"/>
        <w:numPr>
          <w:ilvl w:val="0"/>
          <w:numId w:val="2"/>
        </w:numPr>
        <w:spacing w:after="80" w:line="280"/>
      </w:pPr>
      <w:r>
        <w:rPr>
          <w:sz w:val="22"/>
          <w:szCs w:val="22"/>
        </w:rPr>
        <w:t xml:space="preserve">港股流动性及估值波动风险：2026年9月11日成交量约60万股、换手率约0.26%，低于三个月平均成交量约97万股；在有效流通盘可能低于名义总股本的情况下，少量资金进出可能放大股价波动、买卖价差及滑点。当前市盈率还受TTM或预测盈利、人民币兑港元汇率及股份数口径影响，估值判断可能随数据更新而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固生堂的中长期增长基础在于行业集中度较低、民营中医服务连锁化仍有整合空间，以及公司已形成线下机构、医生资源和线上平台结合的运营模式。若新门店能够持续提升利用率，医生供给和患者复诊保持增长，并购项目能够顺利整合，收入规模扩张有望继续转化为利润增长。2026年上半年利润增速明显快于收入增速，为经营效率改善提供了阶段性证据。</w:t>
      </w:r>
    </w:p>
    <w:p>
      <w:pPr>
        <w:spacing w:after="160" w:line="300"/>
      </w:pPr>
      <w:r>
        <w:rPr>
          <w:sz w:val="22"/>
          <w:szCs w:val="22"/>
        </w:rPr>
        <w:t xml:space="preserve">需要注意的是，公司收入增速已由2024年的较高水平放缓，未来增长对门店扩张、并购整合、海外业务及消费医疗等新业务的贡献度更加敏感。中医服务依赖名医个人品牌和诊疗能力，标准化复制难度高；同时，医师及材料成本占比较高，医保结算周期较长，均可能限制利润率和现金流改善。马来西亚收购仍受合同先决条件约束，且交易代价、目标公司盈利及监管审批时间表尚未披露，短期难以对其贡献作出确定判断。</w:t>
      </w:r>
    </w:p>
    <w:p>
      <w:pPr>
        <w:spacing w:after="160" w:line="300"/>
      </w:pPr>
      <w:r>
        <w:rPr>
          <w:sz w:val="22"/>
          <w:szCs w:val="22"/>
        </w:rPr>
        <w:t xml:space="preserve">技术面上，26.4至26.8港元为近期第一支撑区，25.9至26.2港元为下一重要观察区域；上方27.0至27.6港元面临均线及密集成交区压力。后续趋势能否改善，取决于股价重新站回约27.1港元并突破27.5至27.6港元时是否有成交量配合，同时也需结合后续财报、并购进展、现金流及医生和门店运营数据综合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https://www1.hkexnews.hk/listedco/listconews/sehk/2026/0521/2026052101308.pdf — https://www1.hkexnews.hk/listedco/listconews/sehk/2026/0521/2026052101308.pdf</w:t>
      </w:r>
    </w:p>
    <w:p>
      <w:pPr>
        <w:spacing w:after="200"/>
      </w:pPr>
      <w:r>
        <w:rPr>
          <w:i/>
          <w:iCs/>
          <w:color w:val="595959"/>
          <w:sz w:val="18"/>
          <w:szCs w:val="18"/>
        </w:rPr>
        <w:t xml:space="preserve">https://www.hkexnews.hk/listedco/listconews/sehk/2025/0429/2025042901075.pdf — https://www.hkexnews.hk/listedco/listconews/sehk/2025/0429/2025042901075.pdf</w:t>
      </w:r>
    </w:p>
    <w:p>
      <w:pPr>
        <w:spacing w:after="200"/>
      </w:pPr>
      <w:r>
        <w:rPr>
          <w:i/>
          <w:iCs/>
          <w:color w:val="595959"/>
          <w:sz w:val="18"/>
          <w:szCs w:val="18"/>
        </w:rPr>
        <w:t xml:space="preserve">固生堂(02273)2024全年业绩：营收规模持续高增长，创新性布局成效显著|AI_新浪财经_新浪网 — https://finance.sina.com.cn/stock/hkstock/ggscyd/2025-04-02/doc-inertwev3681710.shtml?utm_source=openai</w:t>
      </w:r>
    </w:p>
    <w:p>
      <w:pPr>
        <w:spacing w:after="200"/>
      </w:pPr>
      <w:r>
        <w:rPr>
          <w:i/>
          <w:iCs/>
          <w:color w:val="595959"/>
          <w:sz w:val="18"/>
          <w:szCs w:val="18"/>
        </w:rPr>
        <w:t xml:space="preserve">固生堂：2024年度報告 - MBA智库文档 — https://doc.mbalib.com/view/dd50a4f2f350fb1964651d7ae14f2854.html?utm_source=openai</w:t>
      </w:r>
    </w:p>
    <w:p>
      <w:pPr>
        <w:spacing w:after="200"/>
      </w:pPr>
      <w:r>
        <w:rPr>
          <w:i/>
          <w:iCs/>
          <w:color w:val="595959"/>
          <w:sz w:val="18"/>
          <w:szCs w:val="18"/>
        </w:rPr>
        <w:t xml:space="preserve">第一上海-固生堂(2273.HK)中医连锁龙头，商业模式和行业空间支援其持续增长-240906.pdf — https://pdf.dfcfw.com/pdf/H3_AP202409101639809216_1.pdf?utm_source=openai</w:t>
      </w:r>
    </w:p>
    <w:p>
      <w:pPr>
        <w:spacing w:after="200"/>
      </w:pPr>
      <w:r>
        <w:rPr>
          <w:i/>
          <w:iCs/>
          <w:color w:val="595959"/>
          <w:sz w:val="18"/>
          <w:szCs w:val="18"/>
        </w:rPr>
        <w:t xml:space="preserve">投资者关系中心_北京同仁堂医养投资股份有限公司 — https://yiyang.tongrentang.com/investors.html?utm_source=openai</w:t>
      </w:r>
    </w:p>
    <w:p>
      <w:pPr>
        <w:spacing w:after="200"/>
      </w:pPr>
      <w:r>
        <w:rPr>
          <w:i/>
          <w:iCs/>
          <w:color w:val="595959"/>
          <w:sz w:val="18"/>
          <w:szCs w:val="18"/>
        </w:rPr>
        <w:t xml:space="preserve">和順堂 — https://www.wellsoon.jp/?utm_source=openai</w:t>
      </w:r>
    </w:p>
    <w:p>
      <w:pPr>
        <w:spacing w:after="200"/>
      </w:pPr>
      <w:r>
        <w:rPr>
          <w:i/>
          <w:iCs/>
          <w:color w:val="595959"/>
          <w:sz w:val="18"/>
          <w:szCs w:val="18"/>
        </w:rPr>
        <w:t xml:space="preserve">首页 - 圣爱中医馆(官网) — https://www.sazyg.com/?utm_source=openai</w:t>
      </w:r>
    </w:p>
    <w:p>
      <w:pPr>
        <w:spacing w:after="200"/>
      </w:pPr>
      <w:r>
        <w:rPr>
          <w:i/>
          <w:iCs/>
          <w:color w:val="595959"/>
          <w:sz w:val="18"/>
          <w:szCs w:val="18"/>
        </w:rPr>
        <w:t xml:space="preserve">2024年中国中医理疗行业企业布局分析 行业竞争以中小企业为主，竞争格局十分分散〖组图〗_资讯_前瞻经济学人 — https://ecoapp.qianzhan.com/detials/241128-d2787b90.html?utm_source=openai</w:t>
      </w:r>
    </w:p>
    <w:p>
      <w:pPr>
        <w:spacing w:after="200"/>
      </w:pPr>
      <w:r>
        <w:rPr>
          <w:i/>
          <w:iCs/>
          <w:color w:val="595959"/>
          <w:sz w:val="18"/>
          <w:szCs w:val="18"/>
        </w:rPr>
        <w:t xml:space="preserve">https://www1.hkexnews.hk/listedco/listconews/sehk/2026/0331/2026033102676_c.pdf — https://www1.hkexnews.hk/listedco/listconews/sehk/2026/0331/2026033102676_c.pdf</w:t>
      </w:r>
    </w:p>
    <w:p>
      <w:pPr>
        <w:spacing w:after="200"/>
      </w:pPr>
      <w:r>
        <w:rPr>
          <w:i/>
          <w:iCs/>
          <w:color w:val="595959"/>
          <w:sz w:val="18"/>
          <w:szCs w:val="18"/>
        </w:rPr>
        <w:t xml:space="preserve">Listed Company Information Title Search — https://www1.hkexnews.hk/search/titlesearch.xhtml?category=0&amp;market=SEHK&amp;stockId=1000127399&amp;utm_source=openai</w:t>
      </w:r>
    </w:p>
    <w:p>
      <w:pPr>
        <w:spacing w:after="200"/>
      </w:pPr>
      <w:r>
        <w:rPr>
          <w:i/>
          <w:iCs/>
          <w:color w:val="595959"/>
          <w:sz w:val="18"/>
          <w:szCs w:val="18"/>
        </w:rPr>
        <w:t xml:space="preserve">固生堂：2026年中期净利润同比增长45.54% 拟每股派息1.15港元 _ 东方财富网 — https://finance.eastmoney.com/a/202608293859207675.html?utm_source=openai</w:t>
      </w:r>
    </w:p>
    <w:p>
      <w:pPr>
        <w:spacing w:after="200"/>
      </w:pPr>
      <w:r>
        <w:rPr>
          <w:i/>
          <w:iCs/>
          <w:color w:val="595959"/>
          <w:sz w:val="18"/>
          <w:szCs w:val="18"/>
        </w:rPr>
        <w:t xml:space="preserve">CMB International Reaffirms 'Buy' on GUSHENGTANG with a HK$42 Target Price Following Robust First-Half Results - Tiger Brokers — https://www.itiger.com/news/1152282989</w:t>
      </w:r>
    </w:p>
    <w:p>
      <w:pPr>
        <w:spacing w:after="200"/>
      </w:pPr>
      <w:r>
        <w:rPr>
          <w:i/>
          <w:iCs/>
          <w:color w:val="595959"/>
          <w:sz w:val="18"/>
          <w:szCs w:val="18"/>
        </w:rPr>
        <w:t xml:space="preserve">MN 
2026 年 4 月 2 日 
招银国际环球市场 | 睿智投资 | 公司更新 
固生堂 — https://pdf.dfcfw.com/pdf/H3_AP202604021820971127_1.pdf?1775119962000.pdf=&amp;utm_source=openai</w:t>
      </w:r>
    </w:p>
    <w:p>
      <w:pPr>
        <w:spacing w:after="200"/>
      </w:pPr>
      <w:r>
        <w:rPr>
          <w:i/>
          <w:iCs/>
          <w:color w:val="595959"/>
          <w:sz w:val="18"/>
          <w:szCs w:val="18"/>
        </w:rPr>
        <w:t xml:space="preserve">交银国际研究 
财务模型更新 
医药 
2026 年4 月2 日 
收盘价
目标价
潜在涨幅
港元2 — https://pdf.dfcfw.com/pdf/H3_AP202604031821007978_1.pdf?1775213943000.pdf=&amp;utm_source=openai</w:t>
      </w:r>
    </w:p>
    <w:p>
      <w:pPr>
        <w:spacing w:after="200"/>
      </w:pPr>
      <w:r>
        <w:rPr>
          <w:i/>
          <w:iCs/>
          <w:color w:val="595959"/>
          <w:sz w:val="18"/>
          <w:szCs w:val="18"/>
        </w:rPr>
        <w:t xml:space="preserve">国信证券-固生堂(02273.HK)全年业绩增长稳健，AI业务+海外布局进展顺利-260415.pdf — https://pdf.dfcfw.com/pdf/H3_AP202604151821247090_1.pdf?1776289137000.pdf=&amp;utm_source=openai</w:t>
      </w:r>
    </w:p>
    <w:p>
      <w:pPr>
        <w:spacing w:after="200"/>
      </w:pPr>
      <w:r>
        <w:rPr>
          <w:i/>
          <w:iCs/>
          <w:color w:val="595959"/>
          <w:sz w:val="18"/>
          <w:szCs w:val="18"/>
        </w:rPr>
        <w:t xml:space="preserve">证券研究报告·海外公司点评·其他医疗保健(HS) | 固生堂（02273.HK） --- | ---固生堂（02273.HK） — https://pdf.dfcfw.com/pdf/H3_AP202604241821562837_1.pdf?1777060711000.pdf=&amp;utm_source=openai</w:t>
      </w:r>
    </w:p>
    <w:p>
      <w:pPr>
        <w:spacing w:after="200"/>
      </w:pPr>
      <w:r>
        <w:rPr>
          <w:i/>
          <w:iCs/>
          <w:color w:val="595959"/>
          <w:sz w:val="18"/>
          <w:szCs w:val="18"/>
        </w:rPr>
        <w:t xml:space="preserve">02273.HK 固生堂 | GUSHENGTANG | 公司資料 - 盈利預測概覽 - etnet 經濟通|香港新聞財經資訊和生活平台 — https://www.etnet.com.hk/www/tc/stocks/realtime/quote_profit.php?code=02273</w:t>
      </w:r>
    </w:p>
    <w:p>
      <w:pPr>
        <w:spacing w:after="200"/>
      </w:pPr>
      <w:r>
        <w:rPr>
          <w:i/>
          <w:iCs/>
          <w:color w:val="595959"/>
          <w:sz w:val="18"/>
          <w:szCs w:val="18"/>
        </w:rPr>
        <w:t xml:space="preserve">02273.HK 固生堂 | GUSHENGTANG | 公司資料 - 盈利預測概覽 - etnet 經濟通|香港新聞財經資訊和生活平台 — https://www.etnet.com.hk/www/tc/stocks/realtime/quote_profit.php?code=02273&amp;utm_source=openai</w:t>
      </w:r>
    </w:p>
    <w:p>
      <w:pPr>
        <w:spacing w:after="200"/>
      </w:pPr>
      <w:r>
        <w:rPr>
          <w:i/>
          <w:iCs/>
          <w:color w:val="595959"/>
          <w:sz w:val="18"/>
          <w:szCs w:val="18"/>
        </w:rPr>
        <w:t xml:space="preserve">固生堂(02273)市盈率|估值|基本面 - 理杏仁 — https://www.lixinger.com/equity/company/detail/hk/02273/2273/fundamental/valuation/pe-ttm?utm_source=openai</w:t>
      </w:r>
    </w:p>
    <w:p>
      <w:pPr>
        <w:spacing w:after="200"/>
      </w:pPr>
      <w:r>
        <w:rPr>
          <w:i/>
          <w:iCs/>
          <w:color w:val="595959"/>
          <w:sz w:val="18"/>
          <w:szCs w:val="18"/>
        </w:rPr>
        <w:t xml:space="preserve">固生堂: 2025年业绩逆势增长，2026年内生、外延、新业务齐发力；维持买入 - 行业研究报告 - 小牛行研 — https://www.hangyan.co/reports/3866861480192247120?utm_source=openai</w:t>
      </w:r>
    </w:p>
    <w:p>
      <w:pPr>
        <w:spacing w:after="200"/>
      </w:pPr>
      <w:r>
        <w:rPr>
          <w:i/>
          <w:iCs/>
          <w:color w:val="595959"/>
          <w:sz w:val="18"/>
          <w:szCs w:val="18"/>
        </w:rPr>
        <w:t xml:space="preserve">固生堂(02273)公告及通告 - [其他-业务发展最新情况]自愿性公告 - 收购目标公司的100%股权 — https://www.cnfin.com/announ/detail/index.html?announ=hk&amp;code=02273&amp;dannoun=hkdetail&amp;id=841200154808&amp;utm_source=openai</w:t>
      </w:r>
    </w:p>
    <w:p>
      <w:pPr>
        <w:spacing w:after="200"/>
      </w:pPr>
      <w:r>
        <w:rPr>
          <w:i/>
          <w:iCs/>
          <w:color w:val="595959"/>
          <w:sz w:val="18"/>
          <w:szCs w:val="18"/>
        </w:rPr>
        <w:t xml:space="preserve">固生堂(02273)發佈中期業績 股東應占溢利2.21億元 同比增加45.54% 作者 智通財經 — https://hk.investing.com/news/stock-market-news/article-1632043?utm_source=openai</w:t>
      </w:r>
    </w:p>
    <w:p>
      <w:pPr>
        <w:spacing w:after="200"/>
      </w:pPr>
      <w:r>
        <w:rPr>
          <w:i/>
          <w:iCs/>
          <w:color w:val="595959"/>
          <w:sz w:val="18"/>
          <w:szCs w:val="18"/>
        </w:rPr>
        <w:t xml:space="preserve">股息公告 dividend announcement - etnet 經濟通|香港新聞財經資訊和生活平台 — https://www.etnet.com.hk/www/tc/stocks/ci_div_latest.php?column=2&amp;page=14&amp;utm_source=openai</w:t>
      </w:r>
    </w:p>
    <w:p>
      <w:pPr>
        <w:spacing w:after="200"/>
      </w:pPr>
      <w:r>
        <w:rPr>
          <w:i/>
          <w:iCs/>
          <w:color w:val="595959"/>
          <w:sz w:val="18"/>
          <w:szCs w:val="18"/>
        </w:rPr>
        <w:t xml:space="preserve">固生堂(02273)翌日披露报表 - [股份购回]翌日披露报表_新浪财经_新浪网 — https://finance.sina.com.cn/stock/aigc/hkgg/2026-08-31/doc-iniqfeam7941791.shtml?utm_source=openai</w:t>
      </w:r>
    </w:p>
    <w:p>
      <w:pPr>
        <w:spacing w:after="200"/>
      </w:pPr>
      <w:r>
        <w:rPr>
          <w:i/>
          <w:iCs/>
          <w:color w:val="595959"/>
          <w:sz w:val="18"/>
          <w:szCs w:val="18"/>
        </w:rPr>
        <w:t xml:space="preserve">固生堂(02273)回购 - 理杏仁 — https://www.lixinger.com/equity/company/detail/hk/02273/2273/repurchase?utm_source=openai</w:t>
      </w:r>
    </w:p>
    <w:p>
      <w:pPr>
        <w:spacing w:after="200"/>
      </w:pPr>
      <w:r>
        <w:rPr>
          <w:i/>
          <w:iCs/>
          <w:color w:val="595959"/>
          <w:sz w:val="18"/>
          <w:szCs w:val="18"/>
        </w:rPr>
        <w:t xml:space="preserve">https://www1.hkexnews.hk/listedco/listconews/sehk/2026/0803/2026080303034.pdf — https://www1.hkexnews.hk/listedco/listconews/sehk/2026/0803/2026080303034.pdf</w:t>
      </w:r>
    </w:p>
    <w:p>
      <w:pPr>
        <w:spacing w:after="200"/>
      </w:pPr>
      <w:r>
        <w:rPr>
          <w:i/>
          <w:iCs/>
          <w:color w:val="595959"/>
          <w:sz w:val="18"/>
          <w:szCs w:val="18"/>
        </w:rPr>
        <w:t xml:space="preserve">睿遠基金增持固生堂(02273)12萬股 每股作價約27.29港元 作者 智通財經 — https://hk.investing.com/news/stock-market-news/article-1639508?utm_source=openai</w:t>
      </w:r>
    </w:p>
    <w:p>
      <w:pPr>
        <w:spacing w:after="200"/>
      </w:pPr>
      <w:r>
        <w:rPr>
          <w:i/>
          <w:iCs/>
          <w:color w:val="595959"/>
          <w:sz w:val="18"/>
          <w:szCs w:val="18"/>
        </w:rPr>
        <w:t xml:space="preserve">https://www1.hkexnews.hk/listedco/listconews/sehk/2026/0818/2026081800992.pdf — https://www1.hkexnews.hk/listedco/listconews/sehk/2026/0818/2026081800992.pdf</w:t>
      </w:r>
    </w:p>
    <w:p>
      <w:pPr>
        <w:spacing w:after="200"/>
      </w:pPr>
      <w:r>
        <w:rPr>
          <w:i/>
          <w:iCs/>
          <w:color w:val="595959"/>
          <w:sz w:val="18"/>
          <w:szCs w:val="18"/>
        </w:rPr>
        <w:t xml:space="preserve">02273 - Stock Quotes for Gushengtang Holdings，HKEX:02273 Stock Price, Charting, News - Webull — https://www.webull.hk/en/quote/hkg-02273/releases?utm_source=openai</w:t>
      </w:r>
    </w:p>
    <w:p>
      <w:pPr>
        <w:spacing w:after="200"/>
      </w:pPr>
      <w:r>
        <w:rPr>
          <w:i/>
          <w:iCs/>
          <w:color w:val="595959"/>
          <w:sz w:val="18"/>
          <w:szCs w:val="18"/>
        </w:rPr>
        <w:t xml:space="preserve">Gushengtang Holdings Ltd (2273)歷史價格 - Investing.com — https://hk.investing.com/equities/gushengtang-holdings-historical-data?utm_source=openai</w:t>
      </w:r>
    </w:p>
    <w:p>
      <w:pPr>
        <w:spacing w:after="200"/>
      </w:pPr>
      <w:r>
        <w:rPr>
          <w:i/>
          <w:iCs/>
          <w:color w:val="595959"/>
          <w:sz w:val="18"/>
          <w:szCs w:val="18"/>
        </w:rPr>
        <w:t xml:space="preserve">2273 | Gushengtang Holdings Ltd股市 - Investing.com — https://hk.investing.com/equities/gushengtang-holdings?utm_source=openai</w:t>
      </w:r>
    </w:p>
    <w:p>
      <w:pPr>
        <w:spacing w:after="200"/>
      </w:pPr>
      <w:r>
        <w:rPr>
          <w:i/>
          <w:iCs/>
          <w:color w:val="595959"/>
          <w:sz w:val="18"/>
          <w:szCs w:val="18"/>
        </w:rPr>
        <w:t xml:space="preserve">Gushengtang Holdings Ltd股票技術分析 (2273) — https://hk.investing.com/equities/gushengtang-holdings-technical?utm_source=openai</w:t>
      </w:r>
    </w:p>
    <w:p>
      <w:pPr>
        <w:spacing w:after="200"/>
      </w:pPr>
      <w:r>
        <w:rPr>
          <w:i/>
          <w:iCs/>
          <w:color w:val="595959"/>
          <w:sz w:val="18"/>
          <w:szCs w:val="18"/>
        </w:rPr>
        <w:t xml:space="preserve">GUSHENGTANG (02273.HK) - Detail Quote — https://www.aastocks.com/en/stocks/quote/detail-quote.aspx?symbol=02273&amp;utm_source=openai</w:t>
      </w:r>
    </w:p>
    <w:p>
      <w:pPr>
        <w:spacing w:after="200"/>
      </w:pPr>
      <w:r>
        <w:rPr>
          <w:i/>
          <w:iCs/>
          <w:color w:val="595959"/>
          <w:sz w:val="18"/>
          <w:szCs w:val="18"/>
        </w:rPr>
        <w:t xml:space="preserve">本报告由AI基于公开渠道信息自动检索、整理并生成，信息截至 数据截至2026年9月11日港股收市；2026年9月13日为星期日，未有新的港股收市数据。计价货币：港元（HKD）。，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2026-09-13T11:37:23.947Z</dcterms:created>
  <dcterms:modified xsi:type="dcterms:W3CDTF">2026-09-13T11:37:23.947Z</dcterms:modified>
</cp:coreProperties>
</file>

<file path=docProps/custom.xml><?xml version="1.0" encoding="utf-8"?>
<Properties xmlns="http://schemas.openxmlformats.org/officeDocument/2006/custom-properties" xmlns:vt="http://schemas.openxmlformats.org/officeDocument/2006/docPropsVTypes"/>
</file>