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申洲国际集团控股有限公司（Shenzhou International Group Holdings Limited） (02313)</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行业：针织服装垂直一体化ODM/OEM制造</w:t>
      </w:r>
    </w:p>
    <w:p>
      <w:pPr>
        <w:jc w:val="center"/>
      </w:pPr>
      <w:r>
        <w:rPr>
          <w:color w:val="595959"/>
          <w:sz w:val="22"/>
          <w:szCs w:val="22"/>
        </w:rPr>
        <w:t xml:space="preserve">报告日期：2026年9月13日</w:t>
      </w:r>
    </w:p>
    <w:p>
      <w:pPr>
        <w:jc w:val="center"/>
      </w:pPr>
      <w:r>
        <w:rPr>
          <w:color w:val="595959"/>
          <w:sz w:val="20"/>
          <w:szCs w:val="20"/>
        </w:rPr>
        <w:t xml:space="preserve">主要价格数据截至2026年9月11日港股收市；移动平均线、RSI及MACD等部分技术指标截至2026年9月10日；股东权益及港股通、沽空数据存在披露时滞，分别截至2026年9月7日、9月8日及8月28日。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申洲国际截至2026年上半年收入为人民币141.792亿元，同比下降5.3%；归母净利润为人民币19.046亿元，同比下降40.0%，毛利率由2025年上半年的27.1%降至22.6%。盈利下滑明显快于收入，主要受人民币兑美元升值、人工及原材料成本上升、越南及柬埔寨新产能效率爬坡、美国关税成本分担，以及净汇兑收益转为人民币5.062亿元净汇兑损失等因素影响，显示当前核心矛盾由订单规模转向利润率修复。</w:t>
      </w:r>
    </w:p>
    <w:p>
      <w:pPr>
        <w:spacing w:after="160" w:line="300"/>
      </w:pPr>
      <w:r>
        <w:rPr>
          <w:sz w:val="22"/>
          <w:szCs w:val="22"/>
        </w:rPr>
        <w:t xml:space="preserve">公司仍具备面料、织造、染整及成衣制造一体化能力，并拥有中国内地、越南及柬埔寨生产布局；2025年收入增长8.1%至人民币309.937亿元，其中运动服收入人民币209.666亿元，占67.7%，但2026年上半年运动类产品收入同比下降10.7%，美国及欧盟收入分别同比下降约11.7%及8.9%。休闲服和内衣收入则分别增长4.5%及6.1%，业务表现出现明显分化。</w:t>
      </w:r>
    </w:p>
    <w:p>
      <w:pPr>
        <w:spacing w:after="160" w:line="300"/>
      </w:pPr>
      <w:r>
        <w:rPr>
          <w:sz w:val="22"/>
          <w:szCs w:val="22"/>
        </w:rPr>
        <w:t xml:space="preserve">公司客户集中度较高，2025年前五大客户占销售额86.48%，截至2025年末前五大客户占贸易及票据应收款93%；应收款为人民币69.438亿元、存货为人民币70.740亿元，营运资金占用较重。公司于2026年上半年宣派中期股息每股0.88港元（HKD），同比下降36.2%，但派息率仍约为61.5%；控股股东于9月1日至9月7日合计增持1,378万股，权益比例升至43.50%，反映其对长期竞争力可能仍有信心，但不能据此确认业绩已经反转。</w:t>
      </w:r>
    </w:p>
    <w:p>
      <w:pPr>
        <w:spacing w:after="160" w:line="300"/>
      </w:pPr>
      <w:r>
        <w:rPr>
          <w:sz w:val="22"/>
          <w:szCs w:val="22"/>
        </w:rPr>
        <w:t xml:space="preserve">截至2026年9月11日，股价收于36.04港元（HKD），接近52周低点约34.94港元（HKD），较8月11日约43.38港元（HKD）回落约17%。估值按不同口径约为8至10倍市盈率，处于所列历史偏低水平；不过股价仍低于50日、100日及200日均线，MACD位于零轴下方，9月11日反弹成交量约567万股，低于近期放量交易日，当前更接近低位技术性反抽，尚未形成中期趋势反转确认。</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研究对象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申洲国际集团控股有限公司（Shenzhou International Group Holdings Limited）</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研究截至</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2026年9月13日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核心经营数据截至</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2025年12月31日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主要财报来源</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申洲国际《2025年年报》，经港交所披露易确认</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计价与披露货币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港股市场计价货币为港元（HKD）；研究纪要中的财务金额均按公司原披露币种人民币（RMB）列示，未进行汇率换算</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业务模式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垂直一体化针织服装制造，覆盖面料生产、织造、染整、辅料配套及成衣制造，主要为国际运动服、休闲服及内衣品牌提供ODM/OEM服务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主要生产基地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中国内地、越南及柬埔寨；公司计划进一步建设印度尼西亚成衣生产基地，但截至2025年年报披露时仍处于规划阶段</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员工及产能</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截至2025年12月31日约108,680名员工；年面料产能超过280,000吨，年成衣产能超过600,000,000件。上述为集团总体设计或年化产能，不等同于实际产量或利用率</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2025年销售收入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人民币30,993.732百万元，较2024年人民币28,662.938百万元增长8.1%</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2025年主要产品收入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运动服人民币20,966.573百万元，占67.7%；休闲服人民币8,410.981百万元，占27.1%；内衣人民币1,403.026百万元，占4.5%；其他针织品人民币213.152百万元，占0.7%</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2025年销售市场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国际市场收入人民币23,606.544百万元，占76.2%；中国内地收入人民币7,387.188百万元，占23.8%。其中欧洲占20.2%、美国占18.0%、日本占16.6%、其他海外市场占21.4%</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核心竞争资源</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面料、染整及成衣一体化产能，客户认证体系，生产管理能力，自动化及工艺研发能力，以及中国—越南—柬埔寨全球生产基地布局</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运动服：2025年收入人民币20,966.573百万元，占总收入67.7%，同比增长5.9%，仍为最大业务，主要受欧洲及美国市场需求带动</w:t>
      </w:r>
    </w:p>
    <w:p>
      <w:pPr>
        <w:pStyle w:val="ListParagraph"/>
        <w:numPr>
          <w:ilvl w:val="0"/>
          <w:numId w:val="2"/>
        </w:numPr>
        <w:spacing w:after="80" w:line="280"/>
      </w:pPr>
      <w:r>
        <w:rPr>
          <w:sz w:val="22"/>
          <w:szCs w:val="22"/>
        </w:rPr>
        <w:t xml:space="preserve">休闲服：2025年收入人民币8,410.981百万元，占总收入27.1%，同比增长16.7%，增长主要来自日本及其他海外市场采购需求</w:t>
      </w:r>
    </w:p>
    <w:p>
      <w:pPr>
        <w:pStyle w:val="ListParagraph"/>
        <w:numPr>
          <w:ilvl w:val="0"/>
          <w:numId w:val="2"/>
        </w:numPr>
        <w:spacing w:after="80" w:line="280"/>
      </w:pPr>
      <w:r>
        <w:rPr>
          <w:sz w:val="22"/>
          <w:szCs w:val="22"/>
        </w:rPr>
        <w:t xml:space="preserve">内衣：2025年收入人民币1,403.026百万元，占总收入4.5%，同比下降2.3%，主要受到日本市场采购需求下降影响</w:t>
      </w:r>
    </w:p>
    <w:p>
      <w:pPr>
        <w:pStyle w:val="ListParagraph"/>
        <w:numPr>
          <w:ilvl w:val="0"/>
          <w:numId w:val="2"/>
        </w:numPr>
        <w:spacing w:after="80" w:line="280"/>
      </w:pPr>
      <w:r>
        <w:rPr>
          <w:sz w:val="22"/>
          <w:szCs w:val="22"/>
        </w:rPr>
        <w:t xml:space="preserve">其他针织品：2025年收入人民币213.152百万元，占总收入0.7%，同比下降3.4%</w:t>
      </w:r>
    </w:p>
    <w:p>
      <w:pPr>
        <w:pStyle w:val="ListParagraph"/>
        <w:numPr>
          <w:ilvl w:val="0"/>
          <w:numId w:val="2"/>
        </w:numPr>
        <w:spacing w:after="80" w:line="280"/>
      </w:pPr>
      <w:r>
        <w:rPr>
          <w:sz w:val="22"/>
          <w:szCs w:val="22"/>
        </w:rPr>
        <w:t xml:space="preserve">生产与配套：覆盖面料生产、织造、染整、辅料配套及成衣制造；越南第二面料工厂规划日均面料产能约200吨，截至2025年末仍在设备安装调试阶段</w:t>
      </w:r>
    </w:p>
    <w:p>
      <w:pPr>
        <w:pStyle w:val="ListParagraph"/>
        <w:numPr>
          <w:ilvl w:val="0"/>
          <w:numId w:val="2"/>
        </w:numPr>
        <w:spacing w:after="80" w:line="280"/>
      </w:pPr>
      <w:r>
        <w:rPr>
          <w:sz w:val="22"/>
          <w:szCs w:val="22"/>
        </w:rPr>
        <w:t xml:space="preserve">区域生产：国内基地偏向高端制造、工艺研发、自动化及供应链管理；越南、柬埔寨基地更多承担新增成衣产能及区域化交付功能</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申洲国际位于纺织服装产业链的中游制造及纵向一体化环节。相较单纯成衣加工厂，公司通过面料、织造、染整、辅料到成衣的纵向整合提高供应链协同能力，但其收入主要来自国际品牌采购订单，并不拥有终端品牌零售的品牌溢价。</w:t>
      </w:r>
    </w:p>
    <w:p>
      <w:pPr>
        <w:pStyle w:val="ListParagraph"/>
        <w:numPr>
          <w:ilvl w:val="0"/>
          <w:numId w:val="2"/>
        </w:numPr>
        <w:spacing w:after="80" w:line="280"/>
      </w:pPr>
      <w:r>
        <w:rPr>
          <w:sz w:val="22"/>
          <w:szCs w:val="22"/>
        </w:rPr>
        <w:t xml:space="preserve">主要采购及成本项目包括棉花及棉纱、化学纤维及相关纱线、坯布和面料、染色及后整理辅助材料、成衣辅料，以及人工、能源、折旧、物流和环保处理等生产成本。</w:t>
      </w:r>
    </w:p>
    <w:p>
      <w:pPr>
        <w:pStyle w:val="ListParagraph"/>
        <w:numPr>
          <w:ilvl w:val="0"/>
          <w:numId w:val="2"/>
        </w:numPr>
        <w:spacing w:after="80" w:line="280"/>
      </w:pPr>
      <w:r>
        <w:rPr>
          <w:sz w:val="22"/>
          <w:szCs w:val="22"/>
        </w:rPr>
        <w:t xml:space="preserve">2025年末原材料余额为人民币1,430.541百万元，在产品为人民币3,673.162百万元，产成品为人民币1,970.306百万元，存货合计人民币7,074.009百万元。</w:t>
      </w:r>
    </w:p>
    <w:p>
      <w:pPr>
        <w:pStyle w:val="ListParagraph"/>
        <w:numPr>
          <w:ilvl w:val="0"/>
          <w:numId w:val="2"/>
        </w:numPr>
        <w:spacing w:after="80" w:line="280"/>
      </w:pPr>
      <w:r>
        <w:rPr>
          <w:sz w:val="22"/>
          <w:szCs w:val="22"/>
        </w:rPr>
        <w:t xml:space="preserve">2025年度最大供应商占集团采购额17.39%，前五大供应商合计占30.65%。该数据对应2025年度；研究纪要未说明其他年度数据，具体以最新年报为准。</w:t>
      </w:r>
    </w:p>
    <w:p>
      <w:pPr>
        <w:pStyle w:val="ListParagraph"/>
        <w:numPr>
          <w:ilvl w:val="0"/>
          <w:numId w:val="2"/>
        </w:numPr>
        <w:spacing w:after="80" w:line="280"/>
      </w:pPr>
      <w:r>
        <w:rPr>
          <w:sz w:val="22"/>
          <w:szCs w:val="22"/>
        </w:rPr>
        <w:t xml:space="preserve">公司通过集中采购、供应商管理、原材料源头采购及生产过程中的材料定额管理控制成本。由于棉花、化纤及纱线等价格受市场影响，公司仍是部分原材料成本的接受者，不能完全将成本转嫁给客户。</w:t>
      </w:r>
    </w:p>
    <w:p>
      <w:pPr>
        <w:pStyle w:val="ListParagraph"/>
        <w:numPr>
          <w:ilvl w:val="0"/>
          <w:numId w:val="2"/>
        </w:numPr>
        <w:spacing w:after="80" w:line="280"/>
      </w:pPr>
      <w:r>
        <w:rPr>
          <w:sz w:val="22"/>
          <w:szCs w:val="22"/>
        </w:rPr>
        <w:t xml:space="preserve">主要上游压力包括棉花及化纤价格波动、原油价格对化纤成本的影响、越南及柬埔寨人工成本上升、美元销售与人民币采购之间的汇率错配，以及海运、物流和贸易政策变化。</w:t>
      </w:r>
    </w:p>
    <w:p>
      <w:pPr>
        <w:pStyle w:val="ListParagraph"/>
        <w:numPr>
          <w:ilvl w:val="0"/>
          <w:numId w:val="2"/>
        </w:numPr>
        <w:spacing w:after="80" w:line="280"/>
      </w:pPr>
      <w:r>
        <w:rPr>
          <w:sz w:val="22"/>
          <w:szCs w:val="22"/>
        </w:rPr>
        <w:t xml:space="preserve">下游客户主要为全球运动服、休闲服及内衣品牌；2025年年报以Customer A、Customer B、Customer C等匿名方式披露，无法仅凭官方年报逐一对应具体品牌名称。</w:t>
      </w:r>
    </w:p>
    <w:p>
      <w:pPr>
        <w:pStyle w:val="ListParagraph"/>
        <w:numPr>
          <w:ilvl w:val="0"/>
          <w:numId w:val="2"/>
        </w:numPr>
        <w:spacing w:after="80" w:line="280"/>
      </w:pPr>
      <w:r>
        <w:rPr>
          <w:sz w:val="22"/>
          <w:szCs w:val="22"/>
        </w:rPr>
        <w:t xml:space="preserve">2025年度最大客户收入为人民币9,080.179百万元，占总收入约29.3%；第二大客户收入人民币7,532.045百万元，占约24.3%；第三大客户收入人民币6,434.424百万元，占约20.8%；前三大客户合计约74.4%，前五大客户合计占销售额86.48%。上述集中度数据为2025年度年报口径，研究纪要未提供其他年度数据，具体以最新年报为准。</w:t>
      </w:r>
    </w:p>
    <w:p>
      <w:pPr>
        <w:pStyle w:val="ListParagraph"/>
        <w:numPr>
          <w:ilvl w:val="0"/>
          <w:numId w:val="2"/>
        </w:numPr>
        <w:spacing w:after="80" w:line="280"/>
      </w:pPr>
      <w:r>
        <w:rPr>
          <w:sz w:val="22"/>
          <w:szCs w:val="22"/>
        </w:rPr>
        <w:t xml:space="preserve">2025年末最大客户占贸易及票据应收款42%，前五大客户占93%，显示应收账款及信用风险高度集中于主要客户。公司认为主要客户为世界知名品牌且拥有长期合作关系，因此相关信用风险总体可控。</w:t>
      </w:r>
    </w:p>
    <w:p>
      <w:pPr>
        <w:pStyle w:val="ListParagraph"/>
        <w:numPr>
          <w:ilvl w:val="0"/>
          <w:numId w:val="2"/>
        </w:numPr>
        <w:spacing w:after="80" w:line="280"/>
      </w:pPr>
      <w:r>
        <w:rPr>
          <w:sz w:val="22"/>
          <w:szCs w:val="22"/>
        </w:rPr>
        <w:t xml:space="preserve">国际品牌客户订单规模大、信用质量较好，有利于维持产能利用率和持续订单；但品牌商在设计、营销、渠道及终端定价上话语权更强，供应商可能面临年度降价、成本分摊、质量认证和供应链合规要求。</w:t>
      </w:r>
    </w:p>
    <w:p>
      <w:pPr>
        <w:pStyle w:val="ListParagraph"/>
        <w:numPr>
          <w:ilvl w:val="0"/>
          <w:numId w:val="2"/>
        </w:numPr>
        <w:spacing w:after="80" w:line="280"/>
      </w:pPr>
      <w:r>
        <w:rPr>
          <w:sz w:val="22"/>
          <w:szCs w:val="22"/>
        </w:rPr>
        <w:t xml:space="preserve">2025年美国市场部分关税成本由公司及客户共同承担，说明公司不具备完全的成本转嫁能力。研究纪要提及Nike、Uniqlo、Adidas及Puma为2024年主要客户，但该名称及四大客户约占销售额80.7%的比例来自单一券商资料，并非2025年年报直接披露，不能替代官方匿名客户数据。</w:t>
      </w:r>
    </w:p>
    <w:p>
      <w:pPr>
        <w:pStyle w:val="ListParagraph"/>
        <w:numPr>
          <w:ilvl w:val="0"/>
          <w:numId w:val="2"/>
        </w:numPr>
        <w:spacing w:after="80" w:line="280"/>
      </w:pPr>
      <w:r>
        <w:rPr>
          <w:sz w:val="22"/>
          <w:szCs w:val="22"/>
        </w:rPr>
        <w:t xml:space="preserve">截至2025年12月31日，贸易及票据应收款为人民币6,943.819百万元，相当于全年收入人民币30,993.732百万元的约22.4%；按年末余额静态估算，应收账款周转天数约82天，主要信用期为六个月以内。存货为人民币7,074.009百万元，按销售成本人民币22,828.372百万元计算约对应113天销售成本；贸易应付款为人民币1,382.544百万元，约对应22天采购或销售成本。应收账款明显高于贸易应付款，说明营运资金更多被下游品牌客户占用，公司未能依靠上游供应商信用完全对冲下游账期。上述82天、113天及22天均为基于年末余额的静态估算，不能替代按平均余额计算的正式周转指标。</w:t>
      </w:r>
    </w:p>
    <w:p>
      <w:pPr>
        <w:pStyle w:val="ListParagraph"/>
        <w:numPr>
          <w:ilvl w:val="0"/>
          <w:numId w:val="2"/>
        </w:numPr>
        <w:spacing w:after="80" w:line="280"/>
      </w:pPr>
      <w:r>
        <w:rPr>
          <w:sz w:val="22"/>
          <w:szCs w:val="22"/>
        </w:rPr>
        <w:t xml:space="preserve">客户集中度明显高于供应商集中度：2025年度前五大客户占销售额86.48%，前五大供应商占采购额30.65%；截至2025年末前五大客户占贸易及票据应收款93%。客户名称主要以匿名方式披露，相关比例为2025年度年报口径；研究纪要未提供可交叉核实的其他年度集中度数据，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24.3%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14.1%</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疫情后全球服装供应链及需求环境仍有波动，盈利水平处于近年相对低位；研究纪要未将该年度变化归因于单一因素。</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16.4%</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毛利率进一步承压，可能与需求、产能利用率、原材料及人工成本压力共同有关；具体影响因素需结合2022年年报逐项核对，不能简单归因于单一因素。</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24.3%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18.3%</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市场需求下降曾导致产能利用率不足，公司通过拓展新类别、开发新产品及提高战略客户采购比例改善经营表现，利润率随之修复。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21.8%</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订单需求改善、产能利用率提升，以及越南和柬埔寨海外工厂生产效率改善，推动毛利率明显修复。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26.3%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18.8%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收入继续增长，但员工平均薪酬上涨、柬埔寨新成衣工厂仍处效率爬坡期，以及美国市场关税成本分担，对毛利率形成压力。</w:t>
            </w:r>
          </w:p>
        </w:tc>
      </w:tr>
    </w:tbl>
    <w:p>
      <w:pPr>
        <w:spacing w:before="200"/>
      </w:pPr>
    </w:p>
    <w:p>
      <w:pPr>
        <w:spacing w:after="160" w:line="300"/>
      </w:pPr>
      <w:r>
        <w:rPr>
          <w:sz w:val="22"/>
          <w:szCs w:val="22"/>
        </w:rPr>
        <w:t xml:space="preserve">申洲国际处于纺织服装产业链中游制造及纵向一体化位置，既不是拥有品牌溢价的终端品牌商，也不是单纯低端成衣代工厂。其利润改善主要取决于越南及柬埔寨新产能利用率和生产效率提升、国内自动化改造、功能性面料及高附加值产品占比提升、采购与原材料成本控制，以及全球生产布局对关税、原产地和物流风险的缓释，而非单纯提高产品售价。</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2026年上半年（截至2026年6月30日，未经审核）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人民币141.792亿元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同比下降5.3%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归属于母公司股东的净利润：人民币19.046亿元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同比下降40.0%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2025年上半年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人民币149.664亿元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基准期</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归属于母公司股东的净利润：人民币31.768亿元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基准期</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2025年度（截至2025年12月31日）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人民币309.937亿元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同比增长8.1%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归属于母公司股东的净利润：人民币58.253亿元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同比下降6.7%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人民币286.629亿元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基准期</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归属于母公司股东的净利润：人民币62.406亿元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基准期</w:t>
            </w:r>
          </w:p>
        </w:tc>
      </w:tr>
    </w:tbl>
    <w:p>
      <w:pPr>
        <w:spacing w:after="200"/>
      </w:pPr>
      <w:r>
        <w:rPr>
          <w:i/>
          <w:iCs/>
          <w:color w:val="595959"/>
          <w:sz w:val="18"/>
          <w:szCs w:val="18"/>
        </w:rPr>
        <w:t xml:space="preserve">最新一期为截至2026年6月30日止六个月的未经审核中期业绩，公告日期为2026年8月25日；中期财务报表已经公司审计委员会审阅。财报金额主要以人民币列示，港股股息及估值数据以港元（HKD）列示。</w:t>
      </w:r>
    </w:p>
    <w:p>
      <w:pPr>
        <w:spacing w:after="160" w:line="300"/>
      </w:pPr>
      <w:r>
        <w:rPr>
          <w:sz w:val="22"/>
          <w:szCs w:val="22"/>
        </w:rPr>
        <w:t xml:space="preserve">2026年上半年收入下降幅度相对有限，但盈利显著承压。毛利为人民币31.975亿元，同比下降21.2%，毛利率由2025年上半年的27.1%降至22.6%。期内税前利润为人民币20.399亿元，同比下降约43.9%。利润下滑主要受到人工成本、原材料、关税承担及人民币升值导致的毛利率压缩，以及净汇兑损失由2025年上半年的人民币1.264亿元收益转为2026年上半年的人民币5.062亿元损失影响；政府激励收入亦由人民币2.743亿元降至人民币1.120亿元。2026年上半年其他费用及收益净额为亏损人民币4.971亿元。按产品看，运动类产品收入约占63.8%，同比下降10.7%；休闲类约占27.9%，同比增长4.5%；内衣类约占7.0%，同比增长6.1%。公司宣派中期股息每股0.88港元（HKD），同比下降36.2%，中期股息总额约13.225亿港元（HKD），约折合人民币11.487亿元，UOB Kay Hian估算派息率约为61.5%。2025年度收入增长但归母净利润下降；若剔除2024年出售附属公司股权带来的约人民币3.306亿元一次性收益，2025年可比口径归母净利润同比约下降1.4%。</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预测数据来自经济通综合预测、StockAnalysis引用的S&amp;P Global Market Intelligence及TipRanks数据、DBS/Analec单一机构预测、招商证券报告及部分券商观点。所有盈利预测金额均按研究纪要原口径以人民币列示；目标价及股价以港元（HKD）列示。不同来源的样本、更新日期、净利润口径及汇率假设不同，不能视为统一市场共识。经济通综合预测包含16份券商评级，但部分报告早于2026年中期业绩，未必完全反映最新盈利下修。StockAnalysis尚未提供完整的2027年及2028年收入、EPS数字。</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2025年实际</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人民币309.94亿元（DBS数据）</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人民币58.25亿元（DBS数据）</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实际数据；较2024年同比下降6.7%</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基本每股收益人民币3.88元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经济通综合预测：未提供；StockAnalysis平均预测人民币305亿元；DBS预测人民币299.08亿元；招商证券预测人民币326.7亿元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经济通综合预测人民币49.21亿元；DBS预测人民币44.46亿元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经济通综合预测较2025年下降约15.5%；DBS预测同比下降23.7%</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经济通综合预测人民币3.275元；StockAnalysis平均预测人民币3.11元，区间人民币2.85至3.68元；中金预测人民币3.13元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DBS预测人民币311.99亿元；招商证券预测人民币346.7亿元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经济通综合预测人民币57.415亿元；DBS预测人民币50.03亿元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经济通综合预测同比增长约16.7%；DBS预测同比增长12.5%</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经济通综合预测人民币3.819元；中金预测人民币3.94元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招商证券预测人民币369.0亿元；经济通及其他来源未提供完整收入预测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经济通综合预测人民币63.72亿元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经济通综合预测同比增长约11.0%</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经济通综合预测人民币4.2365元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经济通综合评级</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平均评级2.06；强烈买入1份、买入13份、持有2份、沽出及强烈沽出0份</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截至经济通网页最近更新，具体日期未提供</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整体偏正面，但部分样本早于2026年中期业绩。</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UOB Kay Hian</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2026年8月26日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目标价由61.40港元（HKD）下调至55.80港元（HKD）。</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DBS</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2026年8月31日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目标价54.30港元（HKD）；预测2026年净利润人民币44.46亿元。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2026年8月10日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目标价由约62.07港元（HKD）下调至52.76港元（HKD）；下调2026/2027年EPS预测至人民币3.13元/3.94元。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花旗</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2026年8月底至9月初，具体日期未提供</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目标价由75港元（HKD）下调至62港元（HKD）；将2026至2028年盈利预测下调约15%至17%。</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摩根大通</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2026年8月9日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目标价70港元（HKD）；较早期资料显示2026年净利润预测约人民币52亿元。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野村</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2026年8月25日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目标价63.80港元（HKD）；预测2026年净利润人民币55.28亿元。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大和</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2026年8月25日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目标价60港元（HKD）；预测2026年净利润人民币46.83亿元。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瑞银</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中性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目标价44港元（HKD）。</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中银国际</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持有</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2026年8月26日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目标价40港元（HKD）。</w:t>
            </w:r>
          </w:p>
        </w:tc>
      </w:tr>
    </w:tbl>
    <w:p>
      <w:pPr>
        <w:spacing w:before="200"/>
      </w:pPr>
    </w:p>
    <w:p>
      <w:pPr>
        <w:spacing w:after="160" w:line="300"/>
      </w:pPr>
      <w:r>
        <w:rPr>
          <w:sz w:val="22"/>
          <w:szCs w:val="22"/>
        </w:rPr>
        <w:t xml:space="preserve">截至2026年9月11日收市，股价为35.98港元（HKD），当日上涨2.04%。不同数据源估值存在差异：恒生银行数据截至当日盘中约13:32，股价35.94港元（HKD），市值约540亿港元（HKD），市盈率约8.2倍，市账率约1.3倍，股息率约5.899%；理杏仁截至2026年9月10日数据显示市盈率TTM为10.19倍、市净率1.23倍、股息率约5.90%、总市值约530.04亿港元（HKD），市盈率历史分位约6.51%，历史市盈率中位数约14.83倍、20%分位点约12.11倍。按2025年基本每股收益人民币3.88元，并按研究纪要所用人民币兑港元约1.09至1.10换算，折合约4.23至4.27港元（HKD），对应35.98港元（HKD）股价的静态市盈率约8.4至8.5倍。按经济通预测及同一汇率假设，2026年预测EPS人民币3.275元折合约3.57至3.60港元（HKD），对应预测市盈率约10.0至10.1倍；2027年预测EPS人民币3.819元折合约4.16至4.20港元（HKD），对应约8.6至8.7倍；2028年预测EPS人民币4.2365元折合约4.62至4.66港元（HKD），对应约7.7至7.8倍。目标价方面，经济通收录的2026年目标价范围约为40.00至74.10港元（HKD），若仅观察中期业绩公布后更新的机构，目标价大致集中于40至63.80港元（HKD）。总体而言，申洲国际当前估值处于历史偏低水平，但估值修复取决于下半年订单恢复、运动服装客户需求、毛利率改善、人民币汇率变化，以及关税和人工成本向客户及终端价格传导的情况。市盈率差异还受到汇率、TTM盈利口径、是否采用调整后利润及数据更新时间影响；2026年上半年财报未经审计，最终年度数据可能调整。</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2026年中期盈利预警及业绩公布：收入及盈利显著下滑</w:t>
      </w:r>
    </w:p>
    <w:p>
      <w:pPr>
        <w:spacing w:after="160" w:line="300"/>
      </w:pPr>
      <w:r>
        <w:rPr>
          <w:sz w:val="22"/>
          <w:szCs w:val="22"/>
        </w:rPr>
        <w:t xml:space="preserve">2026年8月7日，申洲国际发布盈利预警，预计截至2026年6月30日止六个月母公司拥有人应占利润同比下降约38%至43%，2025年同期基数为人民币31.76836亿元。2026年8月25日，公司公布未经审核中期业绩：销售收入约人民币141.79177亿元，同比下降5.3%；毛利约人民币31.97464亿元，同比下降21.2%；毛利率为22.6%，同比下降4.5个百分点；母公司拥有人应占利润约人民币19.04563亿元，同比下降40.0%；基本每股盈利为人民币1.27元，同比下降39.8%。</w:t>
      </w:r>
    </w:p>
    <w:p>
      <w:pPr>
        <w:pStyle w:val="Heading2"/>
        <w:spacing w:after="120" w:before="240"/>
      </w:pPr>
      <w:r>
        <w:rPr>
          <w:b/>
          <w:bCs/>
          <w:color w:val="2E74B5"/>
          <w:sz w:val="24"/>
          <w:szCs w:val="24"/>
        </w:rPr>
        <w:t xml:space="preserve">4.2 盈利下滑原因：汇率、成本、海外产能爬坡及需求疲弱</w:t>
      </w:r>
    </w:p>
    <w:p>
      <w:pPr>
        <w:spacing w:after="160" w:line="300"/>
      </w:pPr>
      <w:r>
        <w:rPr>
          <w:sz w:val="22"/>
          <w:szCs w:val="22"/>
        </w:rPr>
        <w:t xml:space="preserve">公司表示，人民币兑美元平均汇率较上年同期升值约4%，而公司出口收入主要以美元计价、财务报表以人民币列报；越南及柬埔寨扩产后新增员工及相关成本上升，部分新产能仍处于爬坡阶段；纱线等化纤原材料成本随国际油价上涨；宏观经济不确定性、关税政策及通胀风险导致品牌客户下单趋于审慎。2026年上半年公司录得净汇兑损失约人民币5.0616亿元，2025年同期为净汇兑收益约人民币1.2643亿元。</w:t>
      </w:r>
    </w:p>
    <w:p>
      <w:pPr>
        <w:pStyle w:val="Heading2"/>
        <w:spacing w:after="120" w:before="240"/>
      </w:pPr>
      <w:r>
        <w:rPr>
          <w:b/>
          <w:bCs/>
          <w:color w:val="2E74B5"/>
          <w:sz w:val="24"/>
          <w:szCs w:val="24"/>
        </w:rPr>
        <w:t xml:space="preserve">4.3 产品及地区收入表现分化</w:t>
      </w:r>
    </w:p>
    <w:p>
      <w:pPr>
        <w:spacing w:after="160" w:line="300"/>
      </w:pPr>
      <w:r>
        <w:rPr>
          <w:sz w:val="22"/>
          <w:szCs w:val="22"/>
        </w:rPr>
        <w:t xml:space="preserve">2026年上半年，运动类产品仍为最大收入来源，收入占比约63.8%，同比下降10.7%；休闲类产品占比约27.9%，收入同比增长4.5%；内衣类产品占比约7.0%，收入同比增长6.1%。按销售目的地计，来自美国的收入约人民币22.57066亿元，同比下降约11.7%；来自欧盟的收入约人民币27.60752亿元，同比下降约8.9%；中国大陆收入约人民币34.57143亿元，同比下降约5.2%。</w:t>
      </w:r>
    </w:p>
    <w:p>
      <w:pPr>
        <w:pStyle w:val="Heading2"/>
        <w:spacing w:after="120" w:before="240"/>
      </w:pPr>
      <w:r>
        <w:rPr>
          <w:b/>
          <w:bCs/>
          <w:color w:val="2E74B5"/>
          <w:sz w:val="24"/>
          <w:szCs w:val="24"/>
        </w:rPr>
        <w:t xml:space="preserve">4.4 2026年中期股息下调但维持较高派息比例</w:t>
      </w:r>
    </w:p>
    <w:p>
      <w:pPr>
        <w:spacing w:after="160" w:line="300"/>
      </w:pPr>
      <w:r>
        <w:rPr>
          <w:sz w:val="22"/>
          <w:szCs w:val="22"/>
        </w:rPr>
        <w:t xml:space="preserve">董事会于2026年8月25日宣派2026年中期股息每股0.88港元，较2025年同期每股1.38港元下降约36.2%。派息总额约13.22496亿港元，约占中期归母净利润的61.5%。中期派息比率仍然较高，但每股股息同比减少，反映公司在盈利承压阶段仍维持股东回报；派息亦可能限制现金流对扩产及营运资金的支持力度。</w:t>
      </w:r>
    </w:p>
    <w:p>
      <w:pPr>
        <w:pStyle w:val="Heading2"/>
        <w:spacing w:after="120" w:before="240"/>
      </w:pPr>
      <w:r>
        <w:rPr>
          <w:b/>
          <w:bCs/>
          <w:color w:val="2E74B5"/>
          <w:sz w:val="24"/>
          <w:szCs w:val="24"/>
        </w:rPr>
        <w:t xml:space="preserve">4.5 中期股息关键日期</w:t>
      </w:r>
    </w:p>
    <w:p>
      <w:pPr>
        <w:spacing w:after="160" w:line="300"/>
      </w:pPr>
      <w:r>
        <w:rPr>
          <w:sz w:val="22"/>
          <w:szCs w:val="22"/>
        </w:rPr>
        <w:t xml:space="preserve">2026年中期股息除净日为2026年9月8日；最后登记过户时间为2026年9月9日16:30；暂停过户期间为2026年9月10日至9月15日；记录日期为2026年9月15日；派付日期为2026年9月24日。</w:t>
      </w:r>
    </w:p>
    <w:p>
      <w:pPr>
        <w:pStyle w:val="Heading2"/>
        <w:spacing w:after="120" w:before="240"/>
      </w:pPr>
      <w:r>
        <w:rPr>
          <w:b/>
          <w:bCs/>
          <w:color w:val="2E74B5"/>
          <w:sz w:val="24"/>
          <w:szCs w:val="24"/>
        </w:rPr>
        <w:t xml:space="preserve">4.6 控股股东连续增持，持股比例升至43.50%</w:t>
      </w:r>
    </w:p>
    <w:p>
      <w:pPr>
        <w:spacing w:after="160" w:line="300"/>
      </w:pPr>
      <w:r>
        <w:rPr>
          <w:sz w:val="22"/>
          <w:szCs w:val="22"/>
        </w:rPr>
        <w:t xml:space="preserve">公司主席及主要股东马建荣通过其控制的Splendid Steed Investments Limited，于2026年9月1日至9月7日期间连续增持申洲国际股份：9月1日增持560万股、9月2日增持138万股、9月3日增持136万股、9月4日增持268万股、9月7日增持276万股，合计增持1,378万股。相关权益由约42.96%升至43.50%。9月7日披露的平均成交价为每股36.803港元，涉及金额约1.016亿港元。增持发生在盈利预警、中期利润同比下降40.0%及股息下调之后，可能反映控股股东对长期竞争力及下半年经营改善仍有信心，但不能据此确认公司经营已经反转或盈利已经见底。</w:t>
      </w:r>
    </w:p>
    <w:p>
      <w:pPr>
        <w:pStyle w:val="Heading2"/>
        <w:spacing w:after="120" w:before="240"/>
      </w:pPr>
      <w:r>
        <w:rPr>
          <w:b/>
          <w:bCs/>
          <w:color w:val="2E74B5"/>
          <w:sz w:val="24"/>
          <w:szCs w:val="24"/>
        </w:rPr>
        <w:t xml:space="preserve">4.7 机构权益变动与控股股东增持方向不一致</w:t>
      </w:r>
    </w:p>
    <w:p>
      <w:pPr>
        <w:spacing w:after="160" w:line="300"/>
      </w:pPr>
      <w:r>
        <w:rPr>
          <w:sz w:val="22"/>
          <w:szCs w:val="22"/>
        </w:rPr>
        <w:t xml:space="preserve">J.P. Morgan Chase &amp; Co.于2026年9月2日披露减持约428.53万股好仓，披露后好仓约1.194152亿股，占已发行股份约7.94%。该变动与控股股东同期持续增持形成对比，显示机构持仓变化并不一致。相关机构权益可能包含衍生权益，不能简单理解为全部为现货持仓变化。</w:t>
      </w:r>
    </w:p>
    <w:p>
      <w:pPr>
        <w:pStyle w:val="Heading2"/>
        <w:spacing w:after="120" w:before="240"/>
      </w:pPr>
      <w:r>
        <w:rPr>
          <w:b/>
          <w:bCs/>
          <w:color w:val="2E74B5"/>
          <w:sz w:val="24"/>
          <w:szCs w:val="24"/>
        </w:rPr>
        <w:t xml:space="preserve">4.8 2026年8月未见新增股份回购、注销或库存股变动</w:t>
      </w:r>
    </w:p>
    <w:p>
      <w:pPr>
        <w:spacing w:after="160" w:line="300"/>
      </w:pPr>
      <w:r>
        <w:rPr>
          <w:sz w:val="22"/>
          <w:szCs w:val="22"/>
        </w:rPr>
        <w:t xml:space="preserve">截至公司于2026年9月1日提交的截至2026年8月31日止证券变动月报表，已发行股份总数为1,503,222,397股；其中不包括库存股的已发行股份为1,502,835,997股，库存股为386,400股。2026年8月没有新增股份、注销股份或库存股变动，公司确认公众持股量要求已满足。因此，截至2026年9月1日披露的月报，未见公司于2026年8月实施新的股份回购或注销。公司最近一轮回购发生于2026年3月31日至4月2日，共计386,400股，之后作为库存股持有。</w:t>
      </w:r>
    </w:p>
    <w:p>
      <w:pPr>
        <w:pStyle w:val="Heading2"/>
        <w:spacing w:after="120" w:before="240"/>
      </w:pPr>
      <w:r>
        <w:rPr>
          <w:b/>
          <w:bCs/>
          <w:color w:val="2E74B5"/>
          <w:sz w:val="24"/>
          <w:szCs w:val="24"/>
        </w:rPr>
        <w:t xml:space="preserve">4.9 未检索到新的重大并购、资产交易或监管处罚公告</w:t>
      </w:r>
    </w:p>
    <w:p>
      <w:pPr>
        <w:spacing w:after="160" w:line="300"/>
      </w:pPr>
      <w:r>
        <w:rPr>
          <w:sz w:val="22"/>
          <w:szCs w:val="22"/>
        </w:rPr>
        <w:t xml:space="preserve">截至2026年9月13日，在香港交易所02313公司公告列表中，2026年8月至9月主要披露事项集中于盈利预警、中期业绩、股息、证券变动月报及权益披露，未检索到新的重大并购、出售资产、控制权变更或监管处罚公告。此前可追溯的关联交易公告为2025年12月的租赁协议关联交易，不属于本次2026年9月近期消息，且目前没有证据显示该事项在2026年9月出现新的重大进展。</w:t>
      </w:r>
    </w:p>
    <w:p>
      <w:pPr>
        <w:pStyle w:val="Heading2"/>
        <w:spacing w:after="120" w:before="240"/>
      </w:pPr>
      <w:r>
        <w:rPr>
          <w:b/>
          <w:bCs/>
          <w:color w:val="2E74B5"/>
          <w:sz w:val="24"/>
          <w:szCs w:val="24"/>
        </w:rPr>
        <w:t xml:space="preserve">4.10 券商观点：维持正面评级但下调目标价</w:t>
      </w:r>
    </w:p>
    <w:p>
      <w:pPr>
        <w:spacing w:after="160" w:line="300"/>
      </w:pPr>
      <w:r>
        <w:rPr>
          <w:sz w:val="22"/>
          <w:szCs w:val="22"/>
        </w:rPr>
        <w:t xml:space="preserve">摩根大通于2026年9月10日维持申洲国际“增持”评级，但将目标价由70港元下调至60港元。该行预计公司下半年收入逐步改善，盈利在2027年显著复苏前大致趋稳，但毛利率恢复速度仍是主要不确定因素。报道援引摩根大通观点称，公司现价对应2027年预测市盈率约9倍，中期派息比率约61.5%。截至2026年9月9日，经济通汇总的部分券商预测及评级显示，摩根士丹利、野村、大和、花旗、摩根大通、汇丰等机构多数维持买入或增持评级，但目标价大致介乎53港元至63.80港元。上述数据属于券商预测，并非公司正式指引，也不构成多机构一致预测的严格统计口径。</w:t>
      </w:r>
    </w:p>
    <w:p>
      <w:pPr>
        <w:pStyle w:val="Heading2"/>
        <w:spacing w:after="120" w:before="240"/>
      </w:pPr>
      <w:r>
        <w:rPr>
          <w:b/>
          <w:bCs/>
          <w:color w:val="2E74B5"/>
          <w:sz w:val="24"/>
          <w:szCs w:val="24"/>
        </w:rPr>
        <w:t xml:space="preserve">4.11 市场关注下半年订单、产能效率、汇率及关税变化</w:t>
      </w:r>
    </w:p>
    <w:p>
      <w:pPr>
        <w:spacing w:after="160" w:line="300"/>
      </w:pPr>
      <w:r>
        <w:rPr>
          <w:sz w:val="22"/>
          <w:szCs w:val="22"/>
        </w:rPr>
        <w:t xml:space="preserve">当前市场关注的核心变量包括：下半年订单能否恢复；越南及柬埔寨新产能的生产效率能否提升；人民币兑美元汇率变化；化纤原材料及油价走势；美国关税及客户分担机制；以及运动服装需求，尤其是欧美市场需求能否改善。截至2026年9月13日，公司尚未披露2026年下半年订单金额、毛利率指引或全年盈利指引，因此下半年复苏判断主要来自券商分析及公司对经营环境的定性描述，不能视为已确认的业绩趋势。</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申洲国际集团控股有限公司，港股代码02313，计价货币为HKD</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收市价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36.04 HKD</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上涨0.78 HKD，涨幅约2.21%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开市价 / 最高价 / 最低价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35.00 HKD / 36.06 HKD / 34.86 HKD</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约567万股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估算成交额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约2.04亿HKD；按收市价及公开成交量估算，不等同于交易所最终公布的成交额</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研究纪要所列平台数据约530亿至542亿HKD，受更新时间及股本口径差异影响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动态市盈率（TTM）</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不同数据源约7.8至10.0倍，建议按约8至10倍理解，不视为单一精确值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52周高点 / 52周低点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约73.00 HKD / 约34.94 HKD</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52周区间位置</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现价距离52周低点约3.1%，距离52周高点约50.6%，处于52周区间偏低位置</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近期走势</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2026年8月11日至9月11日由约43.38 HKD回落至36.04 HKD，阶段性跌幅约17%，目前属于快速下跌后的低位震荡</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 / MA10 / 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35.46 HKD / 35.63 HKD / 36.02 HKD；数据截至2026年9月10日</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股价截至9月11日收市高于上述部分短期均线，但第三方页面数据显示的均线与公开历史收市价存在一定不一致，须作为参考而非交易所独立复核值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MA50 / MA100 / MA200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36.31 HKD / 37.95 HKD / 40.40 HKD；数据截至2026年9月10日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股价仍低于50日、100日及200日均线，较长期趋势偏弱；Investing页面综合信号为“强力卖出”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约32.98；另一行情页约34.24，数据截至2026年9月10日</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处于30附近，接近技术性超卖区域，但尚未形成明确反转信号；RSI偏低不等同于股价必然反弹</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约-0.28，数据截至2026年9月10日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位于零轴下方，技术信号为卖出，短期动能偏弱；若柱体收窄并出现金叉，同时股价重新站上36.3至36.6 HKD区域，短线修复信号才可能增强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本次研究未找到截至2026年9月11日且可与收市价及历史数据交叉核实的上轨、中轨和下轨数值，因此不人为填入具体数值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成交量与价格配合</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9月11日上涨2.21%，成交量约567万股；明显低于8月26日约2,093万股、8月31日约1,530万股、9月1日约1,553万股及9月2日约1,340万股</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反弹未获明显放量确认，当前更适合定义为技术性反抽，尚不能确认中期下降趋势已经反转</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港股通及沽空背景</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截至2026年9月8日，第三方数据显示港股通持仓约占H股9.21%；截至2026年8月28日，累计沽空占H股比例约3.92%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数据存在披露时滞，且不同平台可能采用不同计算口径，仅作为资金背景参考，不等同于当日资金流向</w:t>
            </w:r>
          </w:p>
        </w:tc>
      </w:tr>
    </w:tbl>
    <w:p>
      <w:pPr>
        <w:spacing w:before="200"/>
      </w:pPr>
    </w:p>
    <w:p>
      <w:pPr>
        <w:spacing w:after="160" w:line="300"/>
      </w:pPr>
      <w:r>
        <w:rPr>
          <w:sz w:val="22"/>
          <w:szCs w:val="22"/>
        </w:rPr>
        <w:t xml:space="preserve">申洲国际股价截至2026年9月11日收于36.04 HKD，较52周低点约34.94 HKD仅高约3.1%，自2026年8月11日约43.38 HKD回落以来累计跌幅约17%。短期虽然出现反弹，但成交量约567万股，明显低于近期放量交易日，资金确认度不足。技术指标方面，股价仍低于MA50、MA100及MA200，MACD处于零轴下方，显示中期及短期动能仍偏弱；RSI约33至34，接近超卖区域，可能带来低位反复修复，但不构成反转确认。布林带具体数值缺失，短期位置主要依据近期高低点、均线及52周低位推导。</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风险提示：以下内容仅为基于截至2026年9月11日收盘数据、历史价格和公开技术指标的主观情景推演，不构成投资建议，也不构成对未来走势的确定性预测。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36.3~36.9 HKD</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依据MA50约36.31 HKD、9月7日收市价36.86 HKD及9月7日至9月10日短线成交密集区域推导。若收市价有效突破36.9 HKD，短线可关注37.3~37.8 HKD区域。</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34.8~35.3 HKD</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依据9月10日低点35.20 HKD、9月11日盘中低点34.86 HKD及9月10日收市价35.26 HKD推导。若跌穿34.8 HKD，短线将重新测试52周低位附近约34.9 HKD。</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34.0~34.9 HKD</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依据52周低点约34.94 HKD、9月1日盘中低点34.94 HKD及近期低位区域推导。若放量跌穿该区间，技术上可能打开向33 HKD附近甚至更低区间探底的空间，但仍需结合大市、行业及公司消息确认。</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低位震荡整理（相对权重较高，约六成左右；属于基于当前技术面与资金面的主观启发式权重，不是统计概率）：价格区间为34.8~36.9 HKD。触发条件为股价守住34.8~35.3 HKD支撑区，但无法有效突破36.3~36.9 HKD压力区，成交额继续维持在约1.5亿至2.5亿HKD附近。RSI处于低位可能带来反复反弹，但中期均线仍向下，形态更接近弱势区间内修复。</w:t>
      </w:r>
    </w:p>
    <w:p>
      <w:pPr>
        <w:pStyle w:val="ListParagraph"/>
        <w:numPr>
          <w:ilvl w:val="0"/>
          <w:numId w:val="2"/>
        </w:numPr>
        <w:spacing w:after="80" w:line="280"/>
      </w:pPr>
      <w:r>
        <w:rPr>
          <w:sz w:val="22"/>
          <w:szCs w:val="22"/>
        </w:rPr>
        <w:t xml:space="preserve">偏弱下行（权重中等；属于基于当前技术面与资金面的主观启发式权重，不是统计概率）：价格区间为33.5~35.0 HKD。触发条件为收市价有效跌穿34.8 HKD，并伴随成交量升至约800万股以上，或成交额连续放大至约3亿HKD以上。若放量跌穿52周低位附近，说明低位承接不足，可能进入新的探底过程。</w:t>
      </w:r>
    </w:p>
    <w:p>
      <w:pPr>
        <w:pStyle w:val="ListParagraph"/>
        <w:numPr>
          <w:ilvl w:val="0"/>
          <w:numId w:val="2"/>
        </w:numPr>
        <w:spacing w:after="80" w:line="280"/>
      </w:pPr>
      <w:r>
        <w:rPr>
          <w:sz w:val="22"/>
          <w:szCs w:val="22"/>
        </w:rPr>
        <w:t xml:space="preserve">反弹走强（权重偏低至中等；属于基于当前技术面与资金面的主观启发式权重，不是统计概率）：价格区间为36.9~38.0 HKD。触发条件为收市价重新站上36.9 HKD，并连续一至两个交易日维持其上，同时单日成交量达到约800万至1,000万股、成交额达到约3亿HKD或以上。若突破36.9 HKD并获成交量确认，短线可关注37.3~37.8 HKD；进一步突破38 HKD或代表短期下降趋势出现阶段性修复，但仍需观察能否站稳50日均线附近。</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成交量约567万股，按收市价估算成交额约2.04亿HKD。研究纪要所列近期平均成交量约567万至757万股，具体取决于数据源及统计区间；近期放量交易日成交量约1,300万至2,100万股。单日换手率方面，公开行情源显示约0.31%至0.49%，按约15.03亿股总股本及567万股成交量估算约0.38%。这属于相对中低换手水平，9月11日反弹时并未出现特别强的筹码交换。控股股东马建荣及家族成员截至2026年9月7日通过相关实体持有约653,976,650股，占已发行股份约43.50%；该股东数据存在披露时滞，可能无法完全反映9月11日实际持仓结构。公开资料显示JPMorgan等机构曾持有超过5%的权益，但本次未取得截至9月11日完整、同步更新的前十大股东名单，因此不能断言公募基金、社保或QFII当前仍在前十大股东中。较高的控股股东及家族持股比例意味着市场实际可交易筹码相对于总股本更少；但由于当日成交额仍约2.04亿HKD、换手率约0.38%，短线反弹的筹码交换程度有限。港股通持仓及沽空比例数据亦存在披露时滞，不能直接等同于当日资金流向。</w:t>
      </w:r>
    </w:p>
    <w:p>
      <w:pPr>
        <w:spacing w:after="160" w:line="300"/>
      </w:pPr>
      <w:r>
        <w:rPr>
          <w:sz w:val="22"/>
          <w:szCs w:val="22"/>
        </w:rPr>
        <w:t xml:space="preserve">可检查的成交量确认信号：若未来一周股价重新突破36.9 HKD，同时单日成交量持续达到约800万股以上、成交额达到约3亿HKD或以上，可视为短线资金参与度较当前明显增强；若上涨仍维持在约500万至600万股成交量，则反弹确认度相对有限。</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观察34.8~35.3 HKD能否继续提供短线支撑，以及34.0~34.9 HKD强支撑区是否出现放量失守。</w:t>
      </w:r>
    </w:p>
    <w:p>
      <w:pPr>
        <w:pStyle w:val="ListParagraph"/>
        <w:numPr>
          <w:ilvl w:val="0"/>
          <w:numId w:val="2"/>
        </w:numPr>
        <w:spacing w:after="80" w:line="280"/>
      </w:pPr>
      <w:r>
        <w:rPr>
          <w:sz w:val="22"/>
          <w:szCs w:val="22"/>
        </w:rPr>
        <w:t xml:space="preserve">观察36.3~36.9 HKD压力区能否被收市价有效突破，并进一步关注37.3~37.8 HKD区域。</w:t>
      </w:r>
    </w:p>
    <w:p>
      <w:pPr>
        <w:pStyle w:val="ListParagraph"/>
        <w:numPr>
          <w:ilvl w:val="0"/>
          <w:numId w:val="2"/>
        </w:numPr>
        <w:spacing w:after="80" w:line="280"/>
      </w:pPr>
      <w:r>
        <w:rPr>
          <w:sz w:val="22"/>
          <w:szCs w:val="22"/>
        </w:rPr>
        <w:t xml:space="preserve">观察上涨时成交量能否由约500万至600万股放大至800万股以上，成交额能否达到约3亿HKD或以上。</w:t>
      </w:r>
    </w:p>
    <w:p>
      <w:pPr>
        <w:pStyle w:val="ListParagraph"/>
        <w:numPr>
          <w:ilvl w:val="0"/>
          <w:numId w:val="2"/>
        </w:numPr>
        <w:spacing w:after="80" w:line="280"/>
      </w:pPr>
      <w:r>
        <w:rPr>
          <w:sz w:val="22"/>
          <w:szCs w:val="22"/>
        </w:rPr>
        <w:t xml:space="preserve">观察MACD是否由负值区间收窄、RSI是否从30附近回升至40以上。以上均为观察思路，非买入、卖出或持有指令。</w:t>
      </w:r>
    </w:p>
    <w:p>
      <w:pPr>
        <w:spacing w:after="200"/>
      </w:pPr>
      <w:r>
        <w:rPr>
          <w:i/>
          <w:iCs/>
          <w:color w:val="595959"/>
          <w:sz w:val="18"/>
          <w:szCs w:val="18"/>
        </w:rPr>
        <w:t xml:space="preserve">以上情景推演基于截至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全球针织服装制造行业总体呈现品牌集中、制造分散、供应链持续向东南亚迁移的格局。国际品牌在产品设计、营销、渠道及终端定价方面拥有较强话语权，制造商之间主要围绕成本、交付速度、质量稳定性、研发能力、环保合规和全球布局竞争。</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中国拥有完整的纺织产业链、设备、技术和供应商体系，在高端面料、工艺、自动化及供应链协同方面仍具优势。</w:t>
      </w:r>
    </w:p>
    <w:p>
      <w:pPr>
        <w:pStyle w:val="ListParagraph"/>
        <w:numPr>
          <w:ilvl w:val="0"/>
          <w:numId w:val="2"/>
        </w:numPr>
        <w:spacing w:after="80" w:line="280"/>
      </w:pPr>
      <w:r>
        <w:rPr>
          <w:sz w:val="22"/>
          <w:szCs w:val="22"/>
        </w:rPr>
        <w:t xml:space="preserve">成衣订单持续向越南、柬埔寨、孟加拉及印度尼西亚等地转移，东南亚在劳动力成本、关税及原产地安排方面更具吸引力。</w:t>
      </w:r>
    </w:p>
    <w:p>
      <w:pPr>
        <w:pStyle w:val="ListParagraph"/>
        <w:numPr>
          <w:ilvl w:val="0"/>
          <w:numId w:val="2"/>
        </w:numPr>
        <w:spacing w:after="80" w:line="280"/>
      </w:pPr>
      <w:r>
        <w:rPr>
          <w:sz w:val="22"/>
          <w:szCs w:val="22"/>
        </w:rPr>
        <w:t xml:space="preserve">行业易受品牌去库存、终端零售需求、棉花及化纤价格、汇率、关税和地缘政治影响。</w:t>
      </w:r>
    </w:p>
    <w:p>
      <w:pPr>
        <w:pStyle w:val="ListParagraph"/>
        <w:numPr>
          <w:ilvl w:val="0"/>
          <w:numId w:val="2"/>
        </w:numPr>
        <w:spacing w:after="80" w:line="280"/>
      </w:pPr>
      <w:r>
        <w:rPr>
          <w:sz w:val="22"/>
          <w:szCs w:val="22"/>
        </w:rPr>
        <w:t xml:space="preserve">运动服、户外服、功能性面料、环保材料及快速反应型供应链是相对具有结构性机会的细分领域。</w:t>
      </w:r>
    </w:p>
    <w:p>
      <w:pPr>
        <w:pStyle w:val="ListParagraph"/>
        <w:numPr>
          <w:ilvl w:val="0"/>
          <w:numId w:val="2"/>
        </w:numPr>
        <w:spacing w:after="80" w:line="280"/>
      </w:pPr>
      <w:r>
        <w:rPr>
          <w:sz w:val="22"/>
          <w:szCs w:val="22"/>
        </w:rPr>
        <w:t xml:space="preserve">申洲国际2025年年报显示，中国纺织服装出口承压，而越南纺织服装出口继续增长；行业同时面临产能向东南亚转移、劳动力成本上升、美国关税政策不确定及供应链重构等趋势。</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晶苑国际集团（02232.HK，Crystal International）</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全球服装OEM/ODM制造商，产品覆盖针织、牛仔、内衣、毛衣及其他服装，并在亚洲等地布局生产基地。</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产品类别和地区分散度相对更高；2025年继续推进全球生产基地多元化，并计划在埃及建设涵盖纤维、针织、染色、印花及成衣制造的综合纺织项目。申洲国际则更集中于针织运动服、面料及大客户深度合作。</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德永佳集团（00321.HK，Texwinca）</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业务涵盖针织布、纱线及成衣生产，同时拥有Baleno等零售品牌业务。</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与申洲国际在针织面料和成衣制造方面重叠，但业务结构更复杂；申洲国际更聚焦国际品牌服装制造，并拥有更大的运动服客户及成衣产能。</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互太纺织（01382.HK，Pacific Textiles）</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更偏向针织面料、染整及纺织材料供应商，是申洲国际上游面料环节的可比公司。</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披露年产能约90,000,000公斤，并拥有超过5,000种面料设计和规格；申洲国际进一步向下游延伸至大规模成衣制造，产业链覆盖更长。</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儒鸿企业（台湾1476，Eclat Textile）</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运动服材料、面料、服装设计及成衣制造企业，服务运动、瑜伽、休闲及时尚品牌。</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与申洲国际在功能性运动面料、针织服装及国际品牌供应链方面可比；儒鸿更强调材料研发、设计开发及高附加值运动服产品，申洲国际拥有更大的综合成衣产能及中国—越南—柬埔寨多基地布局。</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其他大型服装制造商</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包括TAL Apparel、Makalot、MAS Holdings、Crystal Group等国际服装制造商。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竞争重点通常不是单一产品，而是国际品牌供应商认证、产能配置、质量、交货周期、环保合规及产地多元化。</w:t>
            </w:r>
          </w:p>
        </w:tc>
      </w:tr>
    </w:tbl>
    <w:p>
      <w:pPr>
        <w:spacing w:before="200"/>
      </w:pPr>
    </w:p>
    <w:p>
      <w:pPr>
        <w:spacing w:after="160" w:line="300"/>
      </w:pPr>
      <w:r>
        <w:rPr>
          <w:sz w:val="22"/>
          <w:szCs w:val="22"/>
        </w:rPr>
        <w:t xml:space="preserve">申洲国际相较产品和地区更分散的综合服装制造商，优势在于针织运动服、面料—染整—成衣一体化、规模化成衣产能及与核心国际品牌的深度合作；相较偏上游面料及染整企业，其产业链覆盖更长、对成衣订单和品牌客户集中度的暴露更高。与儒鸿等运动服供应商相比，申洲国际更突出综合产能规模和中国—越南—柬埔寨多基地布局，而儒鸿更强调材料研发、设计开发及高附加值产品。</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客户集中度及应收账款集中风险较高：2025年前五大客户占销售额86.48%，截至2025年末前五大客户占贸易及票据应收款93%；若主要品牌客户削减订单、延长账期或出现信用状况变化，可能同时影响收入、现金流及应收款回收。</w:t>
      </w:r>
    </w:p>
    <w:p>
      <w:pPr>
        <w:pStyle w:val="ListParagraph"/>
        <w:numPr>
          <w:ilvl w:val="0"/>
          <w:numId w:val="2"/>
        </w:numPr>
        <w:spacing w:after="80" w:line="280"/>
      </w:pPr>
      <w:r>
        <w:rPr>
          <w:sz w:val="22"/>
          <w:szCs w:val="22"/>
        </w:rPr>
        <w:t xml:space="preserve">运动服业务及欧美市场波动风险：运动服占2025年收入67.7%，但2026年上半年收入同比下降10.7%；美国及欧盟收入分别同比下降约11.7%及8.9%，若品牌客户继续采取审慎下单策略，公司的产能利用率和利润率可能进一步承压。</w:t>
      </w:r>
    </w:p>
    <w:p>
      <w:pPr>
        <w:pStyle w:val="ListParagraph"/>
        <w:numPr>
          <w:ilvl w:val="0"/>
          <w:numId w:val="2"/>
        </w:numPr>
        <w:spacing w:after="80" w:line="280"/>
      </w:pPr>
      <w:r>
        <w:rPr>
          <w:sz w:val="22"/>
          <w:szCs w:val="22"/>
        </w:rPr>
        <w:t xml:space="preserve">毛利率持续下行风险：2026年上半年毛利率由27.1%降至22.6%，人工成本、化纤原材料成本、关税承担及海外新工厂效率爬坡均造成压力；若公司无法通过效率提升、采购管理或客户协商转嫁成本，收入恢复也未必能同步带动利润恢复。</w:t>
      </w:r>
    </w:p>
    <w:p>
      <w:pPr>
        <w:pStyle w:val="ListParagraph"/>
        <w:numPr>
          <w:ilvl w:val="0"/>
          <w:numId w:val="2"/>
        </w:numPr>
        <w:spacing w:after="80" w:line="280"/>
      </w:pPr>
      <w:r>
        <w:rPr>
          <w:sz w:val="22"/>
          <w:szCs w:val="22"/>
        </w:rPr>
        <w:t xml:space="preserve">汇率风险：公司出口收入主要以美元计价、财务报表以人民币列报，2026年上半年人民币兑美元平均汇率升值约4%，净汇兑由2025年同期人民币1.264亿元收益转为人民币5.062亿元损失；若人民币继续相对美元走强，可能继续压缩人民币口径毛利并扩大汇兑波动。</w:t>
      </w:r>
    </w:p>
    <w:p>
      <w:pPr>
        <w:pStyle w:val="ListParagraph"/>
        <w:numPr>
          <w:ilvl w:val="0"/>
          <w:numId w:val="2"/>
        </w:numPr>
        <w:spacing w:after="80" w:line="280"/>
      </w:pPr>
      <w:r>
        <w:rPr>
          <w:sz w:val="22"/>
          <w:szCs w:val="22"/>
        </w:rPr>
        <w:t xml:space="preserve">海外扩产执行风险：柬埔寨新成衣工厂仍处于效率爬坡阶段，越南第二面料工厂截至2025年末仍在设备安装调试；若设备调试、人员招聘、生产效率或质量认证进度不及预期，新增产能可能在短期内带来成本而未能贡献相应收入和利润。</w:t>
      </w:r>
    </w:p>
    <w:p>
      <w:pPr>
        <w:pStyle w:val="ListParagraph"/>
        <w:numPr>
          <w:ilvl w:val="0"/>
          <w:numId w:val="2"/>
        </w:numPr>
        <w:spacing w:after="80" w:line="280"/>
      </w:pPr>
      <w:r>
        <w:rPr>
          <w:sz w:val="22"/>
          <w:szCs w:val="22"/>
        </w:rPr>
        <w:t xml:space="preserve">营运资金占用风险：截至2025年末贸易及票据应收款为人民币69.438亿元，存货为人民币70.740亿元，按静态估算分别对应约82天应收周转和约113天销售成本；若订单节奏变化或客户交付计划调整，存货及现金流压力可能上升。</w:t>
      </w:r>
    </w:p>
    <w:p>
      <w:pPr>
        <w:pStyle w:val="ListParagraph"/>
        <w:numPr>
          <w:ilvl w:val="0"/>
          <w:numId w:val="2"/>
        </w:numPr>
        <w:spacing w:after="80" w:line="280"/>
      </w:pPr>
      <w:r>
        <w:rPr>
          <w:sz w:val="22"/>
          <w:szCs w:val="22"/>
        </w:rPr>
        <w:t xml:space="preserve">关税及成本转嫁风险：2026年上半年美国市场部分关税成本由公司及客户共同承担，显示公司无法完全将外部成本转移给客户；若关税政策继续变化或客户议价能力增强，可能进一步压缩毛利率。</w:t>
      </w:r>
    </w:p>
    <w:p>
      <w:pPr>
        <w:pStyle w:val="ListParagraph"/>
        <w:numPr>
          <w:ilvl w:val="0"/>
          <w:numId w:val="2"/>
        </w:numPr>
        <w:spacing w:after="80" w:line="280"/>
      </w:pPr>
      <w:r>
        <w:rPr>
          <w:sz w:val="22"/>
          <w:szCs w:val="22"/>
        </w:rPr>
        <w:t xml:space="preserve">盈利及估值预期下修风险：2026年多家机构在中期业绩后下调目标价或盈利预测，2026年净利润预测约为人民币44.46亿元至55.28亿元，市场预测差异明显；若下半年订单或毛利率改善弱于预期，当前约8至10倍的市盈率估值未必能迅速修复。</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申洲国际的中长期增长逻辑主要来自针织运动服及功能性产品的客户合作、垂直一体化带来的供应链协同，以及越南和柬埔寨新增产能逐步提升利用率和生产效率。休闲服及内衣在2026年上半年实现增长，亦显示产品结构并非全面恶化。若下半年欧美运动服订单恢复、海外产能爬坡改善、人工及原材料压力缓和，盈利预测所反映的2027年修复路径具有一定经营基础。</w:t>
      </w:r>
    </w:p>
    <w:p>
      <w:pPr>
        <w:spacing w:after="160" w:line="300"/>
      </w:pPr>
      <w:r>
        <w:rPr>
          <w:sz w:val="22"/>
          <w:szCs w:val="22"/>
        </w:rPr>
        <w:t xml:space="preserve">短期业绩仍处于压力阶段。2026年上半年净利润降幅显著高于收入降幅，且公司尚未披露下半年订单金额、毛利率指引或全年盈利指引；不同机构对2026年归母净利润的预测约为人民币44.46亿元至55.28亿元，差异较大。市场后续需要验证订单恢复、毛利率回升、人民币兑美元汇率、关税分担及越南和柬埔寨产能效率是否同时改善。</w:t>
      </w:r>
    </w:p>
    <w:p>
      <w:pPr>
        <w:spacing w:after="160" w:line="300"/>
      </w:pPr>
      <w:r>
        <w:rPr>
          <w:sz w:val="22"/>
          <w:szCs w:val="22"/>
        </w:rPr>
        <w:t xml:space="preserve">技术面上，34.8至35.3港元（HKD）为短线支撑参考区，36.3至36.9港元（HKD）为主要压力参考区；若未能放量突破压力区，股价可能继续处于低位震荡，若放量跌破约34.8港元（HKD）则可能重新测试52周低位附近。上述价格区间和业绩情景均为基于所给数据的观察框架，不构成买卖建议。</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https://www1.hkexnews.hk/listedco/listconews/sehk/2026/0423/2026042300646.pdf — https://www1.hkexnews.hk/listedco/listconews/sehk/2026/0423/2026042300646.pdf</w:t>
      </w:r>
    </w:p>
    <w:p>
      <w:pPr>
        <w:spacing w:after="200"/>
      </w:pPr>
      <w:r>
        <w:rPr>
          <w:i/>
          <w:iCs/>
          <w:color w:val="595959"/>
          <w:sz w:val="18"/>
          <w:szCs w:val="18"/>
        </w:rPr>
        <w:t xml:space="preserve">Shenzhou International - FY24 in-line, with share gains across key customers — https://www.dbs.com.sg/treasures/aics/templatedata/article/recentdevelopment/data/en/DBSV/032025/2313_HK_03272025.xml?utm_source=openai</w:t>
      </w:r>
    </w:p>
    <w:p>
      <w:pPr>
        <w:spacing w:after="200"/>
      </w:pPr>
      <w:r>
        <w:rPr>
          <w:i/>
          <w:iCs/>
          <w:color w:val="595959"/>
          <w:sz w:val="18"/>
          <w:szCs w:val="18"/>
        </w:rPr>
        <w:t xml:space="preserve">Crystal International Group Limited - Regulatory Filings &gt; Financial Reports — https://ir.crystalgroup.com/en/ir/reports.php?utm_source=openai</w:t>
      </w:r>
    </w:p>
    <w:p>
      <w:pPr>
        <w:spacing w:after="200"/>
      </w:pPr>
      <w:r>
        <w:rPr>
          <w:i/>
          <w:iCs/>
          <w:color w:val="595959"/>
          <w:sz w:val="18"/>
          <w:szCs w:val="18"/>
        </w:rPr>
        <w:t xml:space="preserve">Texwinca Holdings Limited — https://www.texwinca.com/en/textile-business.aspx?utm_source=openai</w:t>
      </w:r>
    </w:p>
    <w:p>
      <w:pPr>
        <w:spacing w:after="200"/>
      </w:pPr>
      <w:r>
        <w:rPr>
          <w:i/>
          <w:iCs/>
          <w:color w:val="595959"/>
          <w:sz w:val="18"/>
          <w:szCs w:val="18"/>
        </w:rPr>
        <w:t xml:space="preserve">*   
2024/25
Environmental, Social
and Governance — https://www1.hkexnews.hk/listedco/listconews/sehk/2025/0715/2025071500003.pdf?utm_source=openai</w:t>
      </w:r>
    </w:p>
    <w:p>
      <w:pPr>
        <w:spacing w:after="200"/>
      </w:pPr>
      <w:r>
        <w:rPr>
          <w:i/>
          <w:iCs/>
          <w:color w:val="595959"/>
          <w:sz w:val="18"/>
          <w:szCs w:val="18"/>
        </w:rPr>
        <w:t xml:space="preserve">Investor Relations - Eclat — https://www.eclat.com.tw/investors/?utm_source=openai</w:t>
      </w:r>
    </w:p>
    <w:p>
      <w:pPr>
        <w:spacing w:after="200"/>
      </w:pPr>
      <w:r>
        <w:rPr>
          <w:i/>
          <w:iCs/>
          <w:color w:val="595959"/>
          <w:sz w:val="18"/>
          <w:szCs w:val="18"/>
        </w:rPr>
        <w:t xml:space="preserve">https://www1.hkexnews.hk/listedco/listconews/sehk/2026/0825/2026082500356.pdf — https://www1.hkexnews.hk/listedco/listconews/sehk/2026/0825/2026082500356.pdf</w:t>
      </w:r>
    </w:p>
    <w:p>
      <w:pPr>
        <w:spacing w:after="200"/>
      </w:pPr>
      <w:r>
        <w:rPr>
          <w:i/>
          <w:iCs/>
          <w:color w:val="595959"/>
          <w:sz w:val="18"/>
          <w:szCs w:val="18"/>
        </w:rPr>
        <w:t xml:space="preserve">年報
2025 — https://www.hkexnews.hk/listedco/listconews/sehk/2026/0423/2026042300647_c.pdf?utm_source=openai</w:t>
      </w:r>
    </w:p>
    <w:p>
      <w:pPr>
        <w:spacing w:after="200"/>
      </w:pPr>
      <w:r>
        <w:rPr>
          <w:i/>
          <w:iCs/>
          <w:color w:val="595959"/>
          <w:sz w:val="18"/>
          <w:szCs w:val="18"/>
        </w:rPr>
        <w:t xml:space="preserve">申洲国际(HK2313) 业务展望_F10_同花顺金融服务网 — https://basic.10jqka.com.cn/HK2313/business.html?utm_source=openai</w:t>
      </w:r>
    </w:p>
    <w:p>
      <w:pPr>
        <w:spacing w:after="200"/>
      </w:pPr>
      <w:r>
        <w:rPr>
          <w:i/>
          <w:iCs/>
          <w:color w:val="595959"/>
          <w:sz w:val="18"/>
          <w:szCs w:val="18"/>
        </w:rPr>
        <w:t xml:space="preserve">02313 申洲国际 SHENZHOU INTL - 免费即时股票报价 - 盈利预测 - etnet 经济通|香港新闻财经资讯和生活平台 — https://www.etnet.com.hk/www/sc/stocks/realtime/quote_profit.php?code=02313</w:t>
      </w:r>
    </w:p>
    <w:p>
      <w:pPr>
        <w:spacing w:after="200"/>
      </w:pPr>
      <w:r>
        <w:rPr>
          <w:i/>
          <w:iCs/>
          <w:color w:val="595959"/>
          <w:sz w:val="18"/>
          <w:szCs w:val="18"/>
        </w:rPr>
        <w:t xml:space="preserve">Shenzhou International Group Holdings (HKG:2313) Stock Forecast &amp; Price Targets — https://stockanalysis.com/quote/hkg/2313/forecast/</w:t>
      </w:r>
    </w:p>
    <w:p>
      <w:pPr>
        <w:spacing w:after="200"/>
      </w:pPr>
      <w:r>
        <w:rPr>
          <w:i/>
          <w:iCs/>
          <w:color w:val="595959"/>
          <w:sz w:val="18"/>
          <w:szCs w:val="18"/>
        </w:rPr>
        <w:t xml:space="preserve">Shenzhou International — https://www.dbs.com.sg/treasures-private-client/aics/templatedata/article/equity/data/en/DBSV/012014/2313_HK.xml</w:t>
      </w:r>
    </w:p>
    <w:p>
      <w:pPr>
        <w:spacing w:after="200"/>
      </w:pPr>
      <w:r>
        <w:rPr>
          <w:i/>
          <w:iCs/>
          <w:color w:val="595959"/>
          <w:sz w:val="18"/>
          <w:szCs w:val="18"/>
        </w:rPr>
        <w:t xml:space="preserve">招商证券-申洲国际(02313.HK)25年盈利能力承压，稳步推进产效提升-260401 — https://www.nxny.com/report/view_6253444.html?utm_source=openai</w:t>
      </w:r>
    </w:p>
    <w:p>
      <w:pPr>
        <w:spacing w:after="200"/>
      </w:pPr>
      <w:r>
        <w:rPr>
          <w:i/>
          <w:iCs/>
          <w:color w:val="595959"/>
          <w:sz w:val="18"/>
          <w:szCs w:val="18"/>
        </w:rPr>
        <w:t xml:space="preserve">Shenzhou International Group Holdings Ltd (2313)歷史價格 - Investing.com — https://hk.investing.com/equities/shenzhou-intl-historical-data?utm_source=openai</w:t>
      </w:r>
    </w:p>
    <w:p>
      <w:pPr>
        <w:spacing w:after="200"/>
      </w:pPr>
      <w:r>
        <w:rPr>
          <w:i/>
          <w:iCs/>
          <w:color w:val="595959"/>
          <w:sz w:val="18"/>
          <w:szCs w:val="18"/>
        </w:rPr>
        <w:t xml:space="preserve">02313 SHENZHOU INTL | Underlying quotes | Hang Seng Bank — https://www.warrants.hangseng.com/en-hk/market/stock/code/02313?utm_source=openai</w:t>
      </w:r>
    </w:p>
    <w:p>
      <w:pPr>
        <w:spacing w:after="200"/>
      </w:pPr>
      <w:r>
        <w:rPr>
          <w:i/>
          <w:iCs/>
          <w:color w:val="595959"/>
          <w:sz w:val="18"/>
          <w:szCs w:val="18"/>
        </w:rPr>
        <w:t xml:space="preserve">申洲国际(02313)市盈率|估值|基本面 - 理杏仁 — https://www.lixinger.com/equity/company/detail/hk/02313/2313/fundamental/valuation/pe-ttm?utm_source=openai</w:t>
      </w:r>
    </w:p>
    <w:p>
      <w:pPr>
        <w:spacing w:after="200"/>
      </w:pPr>
      <w:r>
        <w:rPr>
          <w:i/>
          <w:iCs/>
          <w:color w:val="595959"/>
          <w:sz w:val="18"/>
          <w:szCs w:val="18"/>
        </w:rPr>
        <w:t xml:space="preserve">Listed Company Information Title Search — https://www1.hkexnews.hk/search/titlesearch.xhtml?category=0&amp;market=SEHK&amp;stockId=10132</w:t>
      </w:r>
    </w:p>
    <w:p>
      <w:pPr>
        <w:spacing w:after="200"/>
      </w:pPr>
      <w:r>
        <w:rPr>
          <w:i/>
          <w:iCs/>
          <w:color w:val="595959"/>
          <w:sz w:val="18"/>
          <w:szCs w:val="18"/>
        </w:rPr>
        <w:t xml:space="preserve">https://www1.hkexnews.hk/listedco/listconews/sehk/2026/0807/2026080700424.pdf — https://www1.hkexnews.hk/listedco/listconews/sehk/2026/0807/2026080700424.pdf</w:t>
      </w:r>
    </w:p>
    <w:p>
      <w:pPr>
        <w:spacing w:after="200"/>
      </w:pPr>
      <w:r>
        <w:rPr>
          <w:i/>
          <w:iCs/>
          <w:color w:val="595959"/>
          <w:sz w:val="18"/>
          <w:szCs w:val="18"/>
        </w:rPr>
        <w:t xml:space="preserve">https://www1.hkexnews.hk/listedco/listconews/sehk/2026/0825/2026082500370.pdf — https://www1.hkexnews.hk/listedco/listconews/sehk/2026/0825/2026082500370.pdf</w:t>
      </w:r>
    </w:p>
    <w:p>
      <w:pPr>
        <w:spacing w:after="200"/>
      </w:pPr>
      <w:r>
        <w:rPr>
          <w:i/>
          <w:iCs/>
          <w:color w:val="595959"/>
          <w:sz w:val="18"/>
          <w:szCs w:val="18"/>
        </w:rPr>
        <w:t xml:space="preserve">SHENZHOU INTL (2313) - Disclosure of Interests — https://www.aastocks.com/en/stock/InterestsDisclosure.aspx?page=1&amp;shareholder=&amp;symbol=02313&amp;utm_source=openai</w:t>
      </w:r>
    </w:p>
    <w:p>
      <w:pPr>
        <w:spacing w:after="200"/>
      </w:pPr>
      <w:r>
        <w:rPr>
          <w:i/>
          <w:iCs/>
          <w:color w:val="595959"/>
          <w:sz w:val="18"/>
          <w:szCs w:val="18"/>
        </w:rPr>
        <w:t xml:space="preserve">https://www1.hkexnews.hk/listedco/listconews/sehk/2026/0901/2026090102989.pdf — https://www1.hkexnews.hk/listedco/listconews/sehk/2026/0901/2026090102989.pdf</w:t>
      </w:r>
    </w:p>
    <w:p>
      <w:pPr>
        <w:spacing w:after="200"/>
      </w:pPr>
      <w:r>
        <w:rPr>
          <w:i/>
          <w:iCs/>
          <w:color w:val="595959"/>
          <w:sz w:val="18"/>
          <w:szCs w:val="18"/>
        </w:rPr>
        <w:t xml:space="preserve">小摩：料申洲國際(02313)下半年訂單恢復 降目標價至60港元 作者 智通財經 — https://hk.investing.com/news/stock-market-news/article-1650575</w:t>
      </w:r>
    </w:p>
    <w:p>
      <w:pPr>
        <w:spacing w:after="200"/>
      </w:pPr>
      <w:r>
        <w:rPr>
          <w:i/>
          <w:iCs/>
          <w:color w:val="595959"/>
          <w:sz w:val="18"/>
          <w:szCs w:val="18"/>
        </w:rPr>
        <w:t xml:space="preserve">02313.HK 申洲國際 | SHENZHOU INTL | 公司資料 - 盈利預測概覽 - etnet 經濟通|香港新聞財經資訊和生活平台 — https://www.etnet.com.hk/www/tc/stocks/realtime/quote_profit.php?code=02313&amp;utm_source=openai</w:t>
      </w:r>
    </w:p>
    <w:p>
      <w:pPr>
        <w:spacing w:after="200"/>
      </w:pPr>
      <w:r>
        <w:rPr>
          <w:i/>
          <w:iCs/>
          <w:color w:val="595959"/>
          <w:sz w:val="18"/>
          <w:szCs w:val="18"/>
        </w:rPr>
        <w:t xml:space="preserve">https://content.etnet.com.hk/content/cpy/eng/stock_quote.php?code=2313&amp;utm_source=openai — https://content.etnet.com.hk/content/cpy/eng/stock_quote.php?code=2313&amp;utm_source=openai</w:t>
      </w:r>
    </w:p>
    <w:p>
      <w:pPr>
        <w:spacing w:after="200"/>
      </w:pPr>
      <w:r>
        <w:rPr>
          <w:i/>
          <w:iCs/>
          <w:color w:val="595959"/>
          <w:sz w:val="18"/>
          <w:szCs w:val="18"/>
        </w:rPr>
        <w:t xml:space="preserve">申洲國際 (2313.HK) 股價、新聞、報價和記錄 - Yahoo 財經 — https://hk.finance.yahoo.com/quote/2313.HK/?utm_source=openai</w:t>
      </w:r>
    </w:p>
    <w:p>
      <w:pPr>
        <w:spacing w:after="200"/>
      </w:pPr>
      <w:r>
        <w:rPr>
          <w:i/>
          <w:iCs/>
          <w:color w:val="595959"/>
          <w:sz w:val="18"/>
          <w:szCs w:val="18"/>
        </w:rPr>
        <w:t xml:space="preserve">申洲国际(2313)股票历史数据:历史行情,价格,走势图表_英为财情Investing.com — https://cn.investing.com/equities/shenzhou-intl-historical-data?utm_source=openai</w:t>
      </w:r>
    </w:p>
    <w:p>
      <w:pPr>
        <w:spacing w:after="200"/>
      </w:pPr>
      <w:r>
        <w:rPr>
          <w:i/>
          <w:iCs/>
          <w:color w:val="595959"/>
          <w:sz w:val="18"/>
          <w:szCs w:val="18"/>
        </w:rPr>
        <w:t xml:space="preserve">申洲国际(2313)股票行情走势技术分析_未来预测_买卖操作建议_英为财情Investing.com — https://cn.investing.com/equities/shenzhou-intl-technical?utm_source=openai</w:t>
      </w:r>
    </w:p>
    <w:p>
      <w:pPr>
        <w:spacing w:after="200"/>
      </w:pPr>
      <w:r>
        <w:rPr>
          <w:i/>
          <w:iCs/>
          <w:color w:val="595959"/>
          <w:sz w:val="18"/>
          <w:szCs w:val="18"/>
        </w:rPr>
        <w:t xml:space="preserve">申洲国际(02313)公告(全部) - 理杏仁 — https://www.lixinger.com/equity/company/detail/hk/02313/2313/announcement?utm_source=openai</w:t>
      </w:r>
    </w:p>
    <w:p>
      <w:pPr>
        <w:spacing w:after="200"/>
      </w:pPr>
      <w:r>
        <w:rPr>
          <w:i/>
          <w:iCs/>
          <w:color w:val="595959"/>
          <w:sz w:val="18"/>
          <w:szCs w:val="18"/>
        </w:rPr>
        <w:t xml:space="preserve">申洲国际(HK2313) 股东持股_F10_同花顺金融服务网 — https://basic.10jqka.com.cn/HK2313/holder.html?utm_source=openai</w:t>
      </w:r>
    </w:p>
    <w:p>
      <w:pPr>
        <w:spacing w:after="200"/>
      </w:pPr>
      <w:r>
        <w:rPr>
          <w:i/>
          <w:iCs/>
          <w:color w:val="595959"/>
          <w:sz w:val="18"/>
          <w:szCs w:val="18"/>
        </w:rPr>
        <w:t xml:space="preserve">本报告由AI基于公开渠道信息自动检索、整理并生成，信息截至 主要价格数据截至2026年9月11日港股收市；移动平均线、RSI及MACD等部分技术指标截至2026年9月10日；股东权益及港股通、沽空数据存在披露时滞，分别截至2026年9月7日、9月8日及8月28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2026-09-13T11:39:22.209Z</dcterms:created>
  <dcterms:modified xsi:type="dcterms:W3CDTF">2026-09-13T11:39:22.209Z</dcterms:modified>
</cp:coreProperties>
</file>

<file path=docProps/custom.xml><?xml version="1.0" encoding="utf-8"?>
<Properties xmlns="http://schemas.openxmlformats.org/officeDocument/2006/custom-properties" xmlns:vt="http://schemas.openxmlformats.org/officeDocument/2006/docPropsVTypes"/>
</file>