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舜宇光学科技（集团）有限公司 (02382)</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行业：光学零件、摄像头模组及智能光学系统制造</w:t>
      </w:r>
    </w:p>
    <w:p>
      <w:pPr>
        <w:jc w:val="center"/>
      </w:pPr>
      <w:r>
        <w:rPr>
          <w:color w:val="595959"/>
          <w:sz w:val="22"/>
          <w:szCs w:val="22"/>
        </w:rPr>
        <w:t xml:space="preserve">报告日期：2026年9月13日</w:t>
      </w:r>
    </w:p>
    <w:p>
      <w:pPr>
        <w:jc w:val="center"/>
      </w:pPr>
      <w:r>
        <w:rPr>
          <w:color w:val="595959"/>
          <w:sz w:val="20"/>
          <w:szCs w:val="20"/>
        </w:rPr>
        <w:t xml:space="preserve">数据截至2026年9月11日港股收市；下一交易周为2026年9月14日至9月18日。货币单位均为港元（HKD）。</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舜宇光学科技（02382）2026年上半年收入为人民币219.057亿元，同比增长11.5%；公司股东应占溢利为人民币18.084亿元，同比增长9.9%，但毛利率由2025年同期的19.8%轻微下降至19.5%，且手机产品收入同比下降约0.8%。增长主要来自其他产品、汽车及XR业务，其中其他产品收入同比增长约88.5%至人民币40.394亿元，汽车产品收入同比增长约10.6%至人民币37.619亿元；手机业务仍是最大收入来源，收入为人民币131.486亿元，约占总收入60%。</w:t>
      </w:r>
    </w:p>
    <w:p>
      <w:pPr>
        <w:spacing w:after="160" w:line="300"/>
      </w:pPr>
      <w:r>
        <w:rPr>
          <w:sz w:val="22"/>
          <w:szCs w:val="22"/>
        </w:rPr>
        <w:t xml:space="preserve">公司2025年收入为人民币432.291亿元，同比增长12.9%，公司股东应占溢利为人民币46.391亿元，同比增长71.9%，毛利率约19.7%。业务结构中，手机产品收入人民币273.24亿元，占集团收入约63.2%；汽车产品收入人民币73.28亿元，同比增长21.3%；其他产品收入人民币61.84亿元，同比增长36.7%。公司具备从光学设计、光学元件、镜头到摄像头模组及车载视觉方案的纵向整合能力，汽车、泛IoT、机器人视觉、XR及AI相关光学业务构成手机以外的增长方向。</w:t>
      </w:r>
    </w:p>
    <w:p>
      <w:pPr>
        <w:spacing w:after="160" w:line="300"/>
      </w:pPr>
      <w:r>
        <w:rPr>
          <w:sz w:val="22"/>
          <w:szCs w:val="22"/>
        </w:rPr>
        <w:t xml:space="preserve">截至2026年9月11日，股价收于69.10港元，动态市盈率约14.55倍，市账率约2.33倍，股息率约1.75%；股价高于20日、50日、100日及250日移动平均线，但略低于10日均线，RSI约58至60，MACD维持正值，反映中短期趋势尚偏强但短线动能较9月初高位有所降温。技术上，70.90至74.70港元为主要压力区，67.30至68.00港元为第一支撑区，64.50至65.50港元为较强支撑区。</w:t>
      </w:r>
    </w:p>
    <w:p>
      <w:pPr>
        <w:spacing w:after="160" w:line="300"/>
      </w:pPr>
      <w:r>
        <w:rPr>
          <w:sz w:val="22"/>
          <w:szCs w:val="22"/>
        </w:rPr>
        <w:t xml:space="preserve">市场对公司未来盈利仍有分歧。经济通综合16份券商报告的2026至2028年归母净利润预测中值分别为人民币41.035亿元、人民币47.850亿元及人民币55.761亿元，但2026年预测中值低于2025年实际水平；同时，2026年上半年归母净利润为人民币18.084亿元，意味着全年预测中值隐含下半年利润约人民币22.95亿元，全年预测对下半年手机高端光学、汽车光学及其他产品兑现程度较为敏感。公司于2026年7月完成向歌尔光学进一步注资人民币5.00亿元，持股比例升至约33.27%，但尚未量化披露该投资对2026年全年净利润的贡献。</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公司英文名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Sunny Optical Technology (Group) Company Limited</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上市地点</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香港交易所主板</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最新完整年度财务资料</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截至2025年12月31日的2025年年报；纪要称年报于2026年4月披露</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主要呈报货币</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人民币（RMB）；港股价值及股息相关事项应使用港元（HKD）</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2025年总收入</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人民币432.29亿元</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2025年毛利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人民币85.16亿元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2025年毛利率</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19.7%</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2025年归属于公司股东的溢利</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人民币46.39亿元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核心资产与能力</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光学、光电、精密制造、自动化设备、客户认证能力、专利及研发平台；公司并非资源类企业，不存在矿产、油气等可比意义上的资源储备</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主要制造布局</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中国浙江余姚、广东中山、上海及河南信阳；并在印度和越南建立生产基地</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2025年资本开支</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约人民币29.31亿元，主要用于购置物业、厂房及设备，全部由内部资源拨付</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手机产品：2025年收入人民币273.24亿元，同比增长8.6%，约占集团总收入63.2%；主要包括手机镜头、手机摄像模组及相关光学产品</w:t>
      </w:r>
    </w:p>
    <w:p>
      <w:pPr>
        <w:pStyle w:val="ListParagraph"/>
        <w:numPr>
          <w:ilvl w:val="0"/>
          <w:numId w:val="2"/>
        </w:numPr>
        <w:spacing w:after="80" w:line="280"/>
      </w:pPr>
      <w:r>
        <w:rPr>
          <w:sz w:val="22"/>
          <w:szCs w:val="22"/>
        </w:rPr>
        <w:t xml:space="preserve">汽车产品：2025年收入人民币73.28亿元，同比增长21.3%，约占总收入17.0%；包括车载镜头、车载摄像头模组、智能感知解决方案、智能座舱视觉产品、激光雷达相关光学产品、HUD和智能车灯等</w:t>
      </w:r>
    </w:p>
    <w:p>
      <w:pPr>
        <w:pStyle w:val="ListParagraph"/>
        <w:numPr>
          <w:ilvl w:val="0"/>
          <w:numId w:val="2"/>
        </w:numPr>
        <w:spacing w:after="80" w:line="280"/>
      </w:pPr>
      <w:r>
        <w:rPr>
          <w:sz w:val="22"/>
          <w:szCs w:val="22"/>
        </w:rPr>
        <w:t xml:space="preserve">XR产品：2025年收入人民币23.94亿元，同比下降7.1%，约占总收入5.5%；包括AR/VR光学组件、光机及智能眼镜成像模组等</w:t>
      </w:r>
    </w:p>
    <w:p>
      <w:pPr>
        <w:pStyle w:val="ListParagraph"/>
        <w:numPr>
          <w:ilvl w:val="0"/>
          <w:numId w:val="2"/>
        </w:numPr>
        <w:spacing w:after="80" w:line="280"/>
      </w:pPr>
      <w:r>
        <w:rPr>
          <w:sz w:val="22"/>
          <w:szCs w:val="22"/>
        </w:rPr>
        <w:t xml:space="preserve">其他产品：2025年收入人民币61.84亿元，同比增长36.7%，约占总收入14.3%；包括泛IoT、机器人视觉、仓储自动化、手持摄影设备、精密光学元件、显微镜及智能检测设备等</w:t>
      </w:r>
    </w:p>
    <w:p>
      <w:pPr>
        <w:pStyle w:val="ListParagraph"/>
        <w:numPr>
          <w:ilvl w:val="0"/>
          <w:numId w:val="2"/>
        </w:numPr>
        <w:spacing w:after="80" w:line="280"/>
      </w:pPr>
      <w:r>
        <w:rPr>
          <w:sz w:val="22"/>
          <w:szCs w:val="22"/>
        </w:rPr>
        <w:t xml:space="preserve">技术与产品链条：覆盖光学设计、模具和光学零件、镜头、摄像头模组、车载视觉解决方案、XR光学、机器人视觉及部分智能硬件整机，并结合光学、电子、机械、算法、软件和人工智能技术提供解决方案</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舜宇光学处在“光学元件—镜头—摄像头模组—车载视觉及智能光学系统”的中游偏上位置，具备从光学设计、元件制造、镜头生产到模组集成及部分系统方案的纵向整合能力。公司并非拥有自然资源定价权的上游资源企业，也不是单纯低毛利的模组代工厂。</w:t>
      </w:r>
    </w:p>
    <w:p>
      <w:pPr>
        <w:pStyle w:val="ListParagraph"/>
        <w:numPr>
          <w:ilvl w:val="0"/>
          <w:numId w:val="2"/>
        </w:numPr>
        <w:spacing w:after="80" w:line="280"/>
      </w:pPr>
      <w:r>
        <w:rPr>
          <w:sz w:val="22"/>
          <w:szCs w:val="22"/>
        </w:rPr>
        <w:t xml:space="preserve">实际投入类别包括光学玻璃、塑料光学材料及玻塑混合材料，非球面玻璃镜片、棱镜、滤色片等光学元件，图像传感器及其他电子元件，音圈马达、致动器、连接器和结构件，以及镀膜、模具、自动化设备和精密检测设备。</w:t>
      </w:r>
    </w:p>
    <w:p>
      <w:pPr>
        <w:pStyle w:val="ListParagraph"/>
        <w:numPr>
          <w:ilvl w:val="0"/>
          <w:numId w:val="2"/>
        </w:numPr>
        <w:spacing w:after="80" w:line="280"/>
      </w:pPr>
      <w:r>
        <w:rPr>
          <w:sz w:val="22"/>
          <w:szCs w:val="22"/>
        </w:rPr>
        <w:t xml:space="preserve">汽车产品还涉及车规级电子元件及激光雷达相关器件。</w:t>
      </w:r>
    </w:p>
    <w:p>
      <w:pPr>
        <w:pStyle w:val="ListParagraph"/>
        <w:numPr>
          <w:ilvl w:val="0"/>
          <w:numId w:val="2"/>
        </w:numPr>
        <w:spacing w:after="80" w:line="280"/>
      </w:pPr>
      <w:r>
        <w:rPr>
          <w:sz w:val="22"/>
          <w:szCs w:val="22"/>
        </w:rPr>
        <w:t xml:space="preserve">公司未公开披露上述各类原材料分别占采购额的比例，也未披露前五大供应商采购占比；上述投入类别是根据产品构成及行业制造流程归纳，并非公司正式披露的成本结构表。</w:t>
      </w:r>
    </w:p>
    <w:p>
      <w:pPr>
        <w:pStyle w:val="ListParagraph"/>
        <w:numPr>
          <w:ilvl w:val="0"/>
          <w:numId w:val="2"/>
        </w:numPr>
        <w:spacing w:after="80" w:line="280"/>
      </w:pPr>
      <w:r>
        <w:rPr>
          <w:sz w:val="22"/>
          <w:szCs w:val="22"/>
        </w:rPr>
        <w:t xml:space="preserve">2025年年报将部分核心原材料、元器件及高端设备供应有限列为供应链风险，并表示将减少对单一供应商的依赖、建立多元化供应商体系。</w:t>
      </w:r>
    </w:p>
    <w:p>
      <w:pPr>
        <w:pStyle w:val="ListParagraph"/>
        <w:numPr>
          <w:ilvl w:val="0"/>
          <w:numId w:val="2"/>
        </w:numPr>
        <w:spacing w:after="80" w:line="280"/>
      </w:pPr>
      <w:r>
        <w:rPr>
          <w:sz w:val="22"/>
          <w:szCs w:val="22"/>
        </w:rPr>
        <w:t xml:space="preserve">对图像传感器、高端设备及部分核心电子元件，公司在一定程度上属于价格接受者；但在镜片设计、精密加工、模组集成、主动对准和量产工艺方面，技术及规模优势较强，对下游客户的产品价值贡献高于一般代工厂。</w:t>
      </w:r>
    </w:p>
    <w:p>
      <w:pPr>
        <w:pStyle w:val="ListParagraph"/>
        <w:numPr>
          <w:ilvl w:val="0"/>
          <w:numId w:val="2"/>
        </w:numPr>
        <w:spacing w:after="80" w:line="280"/>
      </w:pPr>
      <w:r>
        <w:rPr>
          <w:sz w:val="22"/>
          <w:szCs w:val="22"/>
        </w:rPr>
        <w:t xml:space="preserve">手机产品下游主要是全球智能手机品牌及其ODM/EMS供应链；汽车产品下游主要是汽车主机厂、Tier 1供应商及自动驾驶方案商。</w:t>
      </w:r>
    </w:p>
    <w:p>
      <w:pPr>
        <w:pStyle w:val="ListParagraph"/>
        <w:numPr>
          <w:ilvl w:val="0"/>
          <w:numId w:val="2"/>
        </w:numPr>
        <w:spacing w:after="80" w:line="280"/>
      </w:pPr>
      <w:r>
        <w:rPr>
          <w:sz w:val="22"/>
          <w:szCs w:val="22"/>
        </w:rPr>
        <w:t xml:space="preserve">手机行业客户认证周期较长，客户对质量、价格和交付要求较高，手机厂商通常通过年度降价、产品迭代和供应商竞价压缩成本；高端镜头、潜望式模组和复杂摄像方案的价格压力相对低于标准化中低端产品。</w:t>
      </w:r>
    </w:p>
    <w:p>
      <w:pPr>
        <w:pStyle w:val="ListParagraph"/>
        <w:numPr>
          <w:ilvl w:val="0"/>
          <w:numId w:val="2"/>
        </w:numPr>
        <w:spacing w:after="80" w:line="280"/>
      </w:pPr>
      <w:r>
        <w:rPr>
          <w:sz w:val="22"/>
          <w:szCs w:val="22"/>
        </w:rPr>
        <w:t xml:space="preserve">汽车客户认证周期长、质量体系要求高，但进入车型平台后项目生命周期通常长于手机产品；车载产品还需满足车规可靠性、环境适应性、功能安全及长期供货要求，议价关系通常较普通消费电子零部件更稳定。</w:t>
      </w:r>
    </w:p>
    <w:p>
      <w:pPr>
        <w:pStyle w:val="ListParagraph"/>
        <w:numPr>
          <w:ilvl w:val="0"/>
          <w:numId w:val="2"/>
        </w:numPr>
        <w:spacing w:after="80" w:line="280"/>
      </w:pPr>
      <w:r>
        <w:rPr>
          <w:sz w:val="22"/>
          <w:szCs w:val="22"/>
        </w:rPr>
        <w:t xml:space="preserve">客户集中度数据截至2024年12月31日：最大客户收入占集团总收入约15.8%，2023年为14.0%；前五大客户收入合计约46.2%，2023年为46.6%。</w:t>
      </w:r>
    </w:p>
    <w:p>
      <w:pPr>
        <w:pStyle w:val="ListParagraph"/>
        <w:numPr>
          <w:ilvl w:val="0"/>
          <w:numId w:val="2"/>
        </w:numPr>
        <w:spacing w:after="80" w:line="280"/>
      </w:pPr>
      <w:r>
        <w:rPr>
          <w:sz w:val="22"/>
          <w:szCs w:val="22"/>
        </w:rPr>
        <w:t xml:space="preserve">截至本次研究，尚未找到公司2025年年报公开披露的更新客户集中度数据；上述为目前找到的最新明确数据，来源为公司2024年年报，数据来源单一且不能直接替代2025年度数据，具体以最新年报为准。</w:t>
      </w:r>
    </w:p>
    <w:p>
      <w:pPr>
        <w:pStyle w:val="ListParagraph"/>
        <w:numPr>
          <w:ilvl w:val="0"/>
          <w:numId w:val="2"/>
        </w:numPr>
        <w:spacing w:after="80" w:line="280"/>
      </w:pPr>
      <w:r>
        <w:rPr>
          <w:sz w:val="22"/>
          <w:szCs w:val="22"/>
        </w:rPr>
        <w:t xml:space="preserve">公司披露的手机镜头、手机摄像模组及车载相机解决方案“全球第一”属于公司年报或业绩公告口径；本次未取得所有相关第三方市场份额原始报告，不能视为已完全独立交叉验证的市场份额数据。</w:t>
      </w:r>
    </w:p>
    <w:p>
      <w:pPr>
        <w:pStyle w:val="ListParagraph"/>
        <w:numPr>
          <w:ilvl w:val="0"/>
          <w:numId w:val="2"/>
        </w:numPr>
        <w:spacing w:after="80" w:line="280"/>
      </w:pPr>
      <w:r>
        <w:rPr>
          <w:sz w:val="22"/>
          <w:szCs w:val="22"/>
        </w:rPr>
        <w:t xml:space="preserve">公司2024年年报披露，贸易应收款周转天数由2023年的约76天下降至2024年的约70天，贸易应付款及应计采购周转天数由约86天升至约87天，存货周转天数由约66天下降至约64天。2025年二次整理数据显示，贸易应收款周转天数约72天、贸易应付款及应计采购周转天数约91天、存货周转天数约69天。2025年应收款周转天数略有上升，显示一定营运资金占用；应付款周转天数高于应收款周转天数，表明公司对部分供应商拥有较长付款周期或较强供应链管理能力。2025年数据主要来自年报二次整理，未完全以年报原始财务表格交叉复核，具体以2025年年报为准。</w:t>
      </w:r>
    </w:p>
    <w:p>
      <w:pPr>
        <w:pStyle w:val="ListParagraph"/>
        <w:numPr>
          <w:ilvl w:val="0"/>
          <w:numId w:val="2"/>
        </w:numPr>
        <w:spacing w:after="80" w:line="280"/>
      </w:pPr>
      <w:r>
        <w:rPr>
          <w:sz w:val="22"/>
          <w:szCs w:val="22"/>
        </w:rPr>
        <w:t xml:space="preserve">客户集中度：截至2024年12月31日，最大客户占收入约15.8%，前五大客户合计约46.2%；2023年分别为14.0%和46.6%。截至本次研究尚未找到2025年年报更新数据，因此该数据仅代表2024年度，且数据来源单一、未能以2025年年报交叉核实。供应商集中度：公司未披露前五大供应商采购占比。</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约23.3%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约13.3%</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手机需求、摄像头升级和规模效应较好，产品结构及产能利用率处于较高水平。</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约19.9%</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约7.3%</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智能手机需求转弱，行业出现降规降配及价格竞争，手机镜头和摄像模组盈利承压。</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约14.5%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约3.5%</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手机终端需求疲弱、摄像头规格升级放缓，产能利用率和产品价格受到压力，盈利能力降至五年低位。</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约18.3%</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约7.0%</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手机业务逐步修复、产品组合改善，汽车业务收入增长，推动整体毛利率较2023年明显回升。</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2025年</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约19.7%</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约10.7%</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高端手机镜头及模组占比提升，手机产品毛利率由2024年的约12.9%升至14.7%；汽车业务收入占比提升亦推动集团整体毛利率上升，但汽车分部毛利率由35.3%降至31.9%。</w:t>
            </w:r>
          </w:p>
        </w:tc>
      </w:tr>
    </w:tbl>
    <w:p>
      <w:pPr>
        <w:spacing w:before="200"/>
      </w:pPr>
    </w:p>
    <w:p>
      <w:pPr>
        <w:spacing w:after="160" w:line="300"/>
      </w:pPr>
      <w:r>
        <w:rPr>
          <w:sz w:val="22"/>
          <w:szCs w:val="22"/>
        </w:rPr>
        <w:t xml:space="preserve">舜宇光学位于光学产业链中游偏上，属于以技术、工艺、认证和规模驱动的制造环节，而非上游资源定价者或单纯低毛利代工厂。进一步提升利润的关键在于高端手机镜头和潜望模组产品结构升级、汽车光学业务放量、产能及良率提升、海外制造布局，以及从零部件向系统方案和整机产品延伸。</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截至2026年6月30日止六个月（未经审核）</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人民币219.057亿元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同比增长11.5%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公司股东应占溢利人民币18.084亿元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同比增长9.9%</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截至2025年6月30日止六个月</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人民币196.519亿元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基准期数据</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公司股东应占溢利人民币16.461亿元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基准期数据</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截至2025年12月31日止年度</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人民币432.291亿元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同比增长12.9%</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公司股东应占溢利人民币46.391亿元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同比增长71.9%</w:t>
            </w:r>
          </w:p>
        </w:tc>
      </w:tr>
    </w:tbl>
    <w:p>
      <w:pPr>
        <w:spacing w:after="200"/>
      </w:pPr>
      <w:r>
        <w:rPr>
          <w:i/>
          <w:iCs/>
          <w:color w:val="595959"/>
          <w:sz w:val="18"/>
          <w:szCs w:val="18"/>
        </w:rPr>
        <w:t xml:space="preserve">2026年中期业绩公告于2026年8月26日披露，数据为未经审核口径。公司财务报表以人民币列报，股票交易货币为港元（HKD）。</w:t>
      </w:r>
    </w:p>
    <w:p>
      <w:pPr>
        <w:spacing w:after="160" w:line="300"/>
      </w:pPr>
      <w:r>
        <w:rPr>
          <w:sz w:val="22"/>
          <w:szCs w:val="22"/>
        </w:rPr>
        <w:t xml:space="preserve">2026年上半年收入及归母净利润均实现增长，但利润增速低于2025年全年水平。毛利为人民币42.687亿元，同比增长约9.6%，毛利率约19.5%，低于2025年同期的19.8%；按公司股东应占溢利计算的净利率约为8.3%。分业务看，手机产品收入为人民币131.486亿元，同比下降约0.8%，仍约占总收入60%；汽车产品收入人民币37.619亿元，同比增长约10.6%；XR产品收入人民币9.557亿元，同比增长约11.0%；其他产品收入人民币40.394亿元，同比增长约88.5%。2026年上半年研发开支为人民币16.507亿元，同比增长约1.0%，行政开支为人民币5.711亿元，同比下降约3.7%。所得税开支为人民币2.522亿元，同比增长约78.8%，其中全球最低税规则下的支柱二补足税约人民币5,070万元。2025年全年归母净利润增长明显高于收入增长，且包含股权交易等较明显的非经常性收益，不宜直接外推至未来年度。经营活动现金流约人民币34.26亿元的数字未在纪要中作为核心依据，建议以公司完整中期报告现金流量表核对。</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经济通截至约2026年9月7日显示，综合16份券商报告的2026至2028年归母净利润及EPS预测中值分别为人民币41.035亿元、47.850亿元、55.761亿元，以及人民币376.05分、439.85分、512.70分。收入预测仅有可核对的单一券商资料：2026E人民币459.06亿元、2027E人民币491.31亿元，不等同于市场综合共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400"/>
        <w:gridCol w:w="2200"/>
        <w:gridCol w:w="1900"/>
        <w:gridCol w:w="19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净利润增速</w:t>
            </w:r>
          </w:p>
        </w:tc>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每股收益(EPS)</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2026E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人民币459.06亿元（单一券商预测，非综合共识）</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归母净利润预测中值人民币41.035亿元；预测范围人民币31.02亿至49.96亿元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较2025年实际归母净利润人民币46.391亿元约下降11.5%</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人民币3.7605元（每股盈利预测中值，折合人民币376.05分）</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2027E</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人民币491.31亿元（单一券商预测，非综合共识）</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归母净利润预测中值人民币47.850亿元；预测范围人民币37.68亿至60.37亿元</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较2026年预测中值约增长16.6%</w:t>
            </w:r>
          </w:p>
        </w:tc>
        <w:tc>
          <w:tcPr>
            <w:tcW w:type="dxa" w:w="1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人民币4.3985元（每股盈利预测中值，折合人民币439.85分）</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2028E</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数据缺失，纪要未提供多机构或单一券商收入预测</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归母净利润预测中值人民币55.761亿元；预测范围人民币43.74亿至75.50亿元</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较2027年预测中值约增长16.6%</w:t>
            </w:r>
          </w:p>
        </w:tc>
        <w:tc>
          <w:tcPr>
            <w:tcW w:type="dxa" w:w="1900"/>
            <w:tcMar>
              <w:top w:type="dxa" w:w="80"/>
              <w:left w:type="dxa" w:w="100"/>
              <w:bottom w:type="dxa" w:w="80"/>
              <w:right w:type="dxa" w:w="100"/>
            </w:tcMar>
            <w:vAlign w:val="center"/>
          </w:tcPr>
          <w:p>
            <w:pPr>
              <w:jc w:val="center"/>
            </w:pPr>
            <w:r>
              <w:rPr>
                <w:b w:val="false"/>
                <w:bCs w:val="false"/>
                <w:color w:val="000000"/>
                <w:sz w:val="20"/>
                <w:szCs w:val="20"/>
              </w:rPr>
              <w:t xml:space="preserve">人民币5.1270元（每股盈利预测中值，折合人民币512.70分）</w:t>
            </w:r>
          </w:p>
        </w:tc>
      </w:tr>
    </w:tbl>
    <w:p>
      <w:pPr>
        <w:spacing w:before="200"/>
      </w:pP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经济通综合统计</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综合评级：买入倾向；买入12份、持有3份、沽出1份，平均评级2.31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截至约2026年9月7日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覆盖券商报告16份；经济通评级数值越低代表评级越积极。</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星展</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目标价HKD110；采用约18倍2027年预测市盈率作为估值依据。</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大华继显</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2026年8月28日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目标价HKD106。</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华泰金融控股</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目标价HKD100。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花旗</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目标价HKD94。</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麦格理</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目标价HKD92.10。</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海通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目标价HKD90。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中银国际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目标价HKD89。</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汇丰</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2026年6月29日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目标价HKD86.90。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建银国际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2026年6月25日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目标价HKD85。</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第一上海</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2026年4月21日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目标价HKD83.60。</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招银国际</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买入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2026年4月1日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目标价HKD82.99。</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大和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优于大市</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2026年8月27日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目标价HKD73；由HKD72上调至HKD73，并将2026至2027年盈利预测上调约21%至27%。</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美银</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2026年6月26日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目标价HKD69。</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摩根大通</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中性</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2026年3月31日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目标价HKD63。</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摩根士丹利</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大市同步</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2026年8月26日</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目标价HKD62。</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瑞银</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沽出</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2026年5月29日</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目标价HKD57。</w:t>
            </w:r>
          </w:p>
        </w:tc>
      </w:tr>
    </w:tbl>
    <w:p>
      <w:pPr>
        <w:spacing w:before="200"/>
      </w:pPr>
    </w:p>
    <w:p>
      <w:pPr>
        <w:spacing w:after="160" w:line="300"/>
      </w:pPr>
      <w:r>
        <w:rPr>
          <w:sz w:val="22"/>
          <w:szCs w:val="22"/>
        </w:rPr>
        <w:t xml:space="preserve">截至2026年9月11日港股收市，股价为HKD69.10，较前一日上涨HKD0.30或0.44%。按理杏仁截至2026年9月10日、股价HKD68.80时的数据，市盈率（TTM）约13.82倍、市净率约2.26倍、股息率约1.75%，总市值约HKD753.23亿元；按股价升至HKD69.10、其他因素不变进行近似调整，TTM PE约13.9倍、PB约2.27倍。上述9月11日估值为按前一交易日比例推算，并非数据平台正式更新值。16个目标价简单算术平均约HKD83.97，较HKD69.10对应约21.5%的潜在升幅，但目标价区间为HKD57至HKD110，受高目标价影响较大，且不同报告日期、盈利预测及估值方法不一致，不应视为统一目标价。以人民币兑港元约1.09的示意汇率计算，市场综合EPS预测对应的远期PE约为：2026E 16.9倍、2027E 14.4倍、2028E 12.4倍；由于公司EPS以人民币列报、股价以港元计价，远期PE对汇率敏感。整体看，02382当前TTM估值约14倍PE、约2.3倍PB；若2027至2028年汽车光学、AI相关光学、泛IoT及其他新产品增长兑现，盈利增长可能逐步消化估值；若手机业务持续疲弱或新业务利润率低于预期，盈利预测及目标价存在下修风险。2026年中期归母净利润为人民币18.084亿元，而全年预测中值为人民币41.035亿元，隐含下半年归母净利润约人民币22.95亿元，明显高于上半年，显示全年预测对下半年手机产品、高端光学规格、汽车光学及其他产品业务兑现程度较为敏感。</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公司身份及研究时点</w:t>
      </w:r>
    </w:p>
    <w:p>
      <w:pPr>
        <w:spacing w:after="160" w:line="300"/>
      </w:pPr>
      <w:r>
        <w:rPr>
          <w:sz w:val="22"/>
          <w:szCs w:val="22"/>
        </w:rPr>
        <w:t xml:space="preserve">港股代码02382对应舜宇光学科技（集团）有限公司（Sunny Optical Technology），上市地点为香港交易所主板，股票简称为SUNNY OPTICAL。研究截至2026年9月13日；由于当日为星期日，港股最近交易日主要截至2026年9月11日，公司公告记录主要截至2026年9月2日。</w:t>
      </w:r>
    </w:p>
    <w:p>
      <w:pPr>
        <w:pStyle w:val="Heading2"/>
        <w:spacing w:after="120" w:before="240"/>
      </w:pPr>
      <w:r>
        <w:rPr>
          <w:b/>
          <w:bCs/>
          <w:color w:val="2E74B5"/>
          <w:sz w:val="24"/>
          <w:szCs w:val="24"/>
        </w:rPr>
        <w:t xml:space="preserve">4.2 2026年8月证券变动月报表：股份数量维持不变</w:t>
      </w:r>
    </w:p>
    <w:p>
      <w:pPr>
        <w:spacing w:after="160" w:line="300"/>
      </w:pPr>
      <w:r>
        <w:rPr>
          <w:sz w:val="22"/>
          <w:szCs w:val="22"/>
        </w:rPr>
        <w:t xml:space="preserve">公司于2026年9月2日披露截至2026年8月31日的证券变动月报表。已发行但不包括库存股份的普通股为1,078,964,800股，库存股份为15,840,000股，已发行股份总数为1,094,804,800股；上述数量较2026年7月底均没有变化。2026年8月未披露股份期权、认股权证、可换股证券或其他发行股份安排的变动。公司确认截至2026年8月底符合最低公众持股量要求，适用门槛为已发行股份扣除库存股份后数量的25%。截至2026年8月31日，未发现公司在8月份进行新股发行、注销股份或新增股份回购入库。来源：香港交易所披露易。</w:t>
      </w:r>
    </w:p>
    <w:p>
      <w:pPr>
        <w:pStyle w:val="Heading2"/>
        <w:spacing w:after="120" w:before="240"/>
      </w:pPr>
      <w:r>
        <w:rPr>
          <w:b/>
          <w:bCs/>
          <w:color w:val="2E74B5"/>
          <w:sz w:val="24"/>
          <w:szCs w:val="24"/>
        </w:rPr>
        <w:t xml:space="preserve">4.3 2026年上半年中期业绩：收入及股东应占溢利同比增长</w:t>
      </w:r>
    </w:p>
    <w:p>
      <w:pPr>
        <w:spacing w:after="160" w:line="300"/>
      </w:pPr>
      <w:r>
        <w:rPr>
          <w:sz w:val="22"/>
          <w:szCs w:val="22"/>
        </w:rPr>
        <w:t xml:space="preserve">公司于2026年8月26日公布截至2026年6月30日止六个月中期业绩。收入为人民币21,905.7百万元，同比增长约11.5%；毛利为人民币4,268.7百万元，同比增长约9.6%；公司股东应占期内溢利为人民币1,808.4百万元，同比增长约9.9%；基本每股盈利为人民币168.03分，2025年同期为人民币151.56分。毛利率约为19.5%，较去年同期约19.8%略有下降。董事会没有建议派发中期股息。上述中期业绩为公司官方披露的未经审计数据，公司没有另行披露2026年全年正式盈利预测或利润预警。来源：香港交易所披露易。</w:t>
      </w:r>
    </w:p>
    <w:p>
      <w:pPr>
        <w:pStyle w:val="Heading2"/>
        <w:spacing w:after="120" w:before="240"/>
      </w:pPr>
      <w:r>
        <w:rPr>
          <w:b/>
          <w:bCs/>
          <w:color w:val="2E74B5"/>
          <w:sz w:val="24"/>
          <w:szCs w:val="24"/>
        </w:rPr>
        <w:t xml:space="preserve">4.4 分部表现：汽车、XR及其他产品收入增长</w:t>
      </w:r>
    </w:p>
    <w:p>
      <w:pPr>
        <w:spacing w:after="160" w:line="300"/>
      </w:pPr>
      <w:r>
        <w:rPr>
          <w:sz w:val="22"/>
          <w:szCs w:val="22"/>
        </w:rPr>
        <w:t xml:space="preserve">截至2026年6月30日止六个月，手机产品收入为人民币13,148.6百万元，同比约下降0.8%；汽车产品收入为人民币3,761.9百万元，同比增长约10.6%；XR产品收入为人民币955.7百万元，同比增长约11.0%；其他产品收入为人民币4,039.4百万元，同比增长约88.5%。手机业务仍是最大收入来源，但收入和分部利润承压；汽车、XR及其他产品继续增长，其中其他产品增长主要涉及机器人、智能影像、泛IoT等新业务扩张。</w:t>
      </w:r>
    </w:p>
    <w:p>
      <w:pPr>
        <w:pStyle w:val="Heading2"/>
        <w:spacing w:after="120" w:before="240"/>
      </w:pPr>
      <w:r>
        <w:rPr>
          <w:b/>
          <w:bCs/>
          <w:color w:val="2E74B5"/>
          <w:sz w:val="24"/>
          <w:szCs w:val="24"/>
        </w:rPr>
        <w:t xml:space="preserve">4.5 回购及库存股份动态</w:t>
      </w:r>
    </w:p>
    <w:p>
      <w:pPr>
        <w:spacing w:after="160" w:line="300"/>
      </w:pPr>
      <w:r>
        <w:rPr>
          <w:sz w:val="22"/>
          <w:szCs w:val="22"/>
        </w:rPr>
        <w:t xml:space="preserve">截至2026年8月31日，公司库存股份为15,840,000股，较2026年7月底没有变化，未见2026年8月份新增回购或库存股注销记录。公司2026年较早时候曾进行市场回购，2026年1月披露的翌日披露报表显示回购数量合计约1,540,000股，回购所得股份计入库存股份。截至研究时点，未找到2026年9月新增回购公告；但截至8月底的月报表不能排除2026年9月1日至9月13日期间发生但尚未披露的交易。</w:t>
      </w:r>
    </w:p>
    <w:p>
      <w:pPr>
        <w:pStyle w:val="Heading2"/>
        <w:spacing w:after="120" w:before="240"/>
      </w:pPr>
      <w:r>
        <w:rPr>
          <w:b/>
          <w:bCs/>
          <w:color w:val="2E74B5"/>
          <w:sz w:val="24"/>
          <w:szCs w:val="24"/>
        </w:rPr>
        <w:t xml:space="preserve">4.6 JPMorgan权益披露出现较大变动</w:t>
      </w:r>
    </w:p>
    <w:p>
      <w:pPr>
        <w:spacing w:after="160" w:line="300"/>
      </w:pPr>
      <w:r>
        <w:rPr>
          <w:sz w:val="22"/>
          <w:szCs w:val="22"/>
        </w:rPr>
        <w:t xml:space="preserve">根据经济通整理的香港交易所权益披露资料，JPMorgan Chase &amp; Co.于2026年9月3日披露好仓增加6,022,298股、淡仓增加9,455,609股；好仓平均价格为每股HKD70.703，披露后好仓为55,831,983股，占已发行股本约5.09%；披露后淡仓为39,981,699股，占约3.65%；可供借出股份权益约19,884,616股，占约1.81%。JPMorgan于2026年9月2日披露好仓减少7,772,930股，平均价格为每股HKD71.438，披露后好仓约49,809,685股，占约4.54%。相关变动可能与投资管理、证券借贷或托管等身份有关，不能直接等同于单纯看多或看空交易。</w:t>
      </w:r>
    </w:p>
    <w:p>
      <w:pPr>
        <w:pStyle w:val="Heading2"/>
        <w:spacing w:after="120" w:before="240"/>
      </w:pPr>
      <w:r>
        <w:rPr>
          <w:b/>
          <w:bCs/>
          <w:color w:val="2E74B5"/>
          <w:sz w:val="24"/>
          <w:szCs w:val="24"/>
        </w:rPr>
        <w:t xml:space="preserve">4.7 控股股东相关实体权益披露变动</w:t>
      </w:r>
    </w:p>
    <w:p>
      <w:pPr>
        <w:spacing w:after="160" w:line="300"/>
      </w:pPr>
      <w:r>
        <w:rPr>
          <w:sz w:val="22"/>
          <w:szCs w:val="22"/>
        </w:rPr>
        <w:t xml:space="preserve">Sun Xu Limited于2026年8月27日披露好仓及淡仓均减少4,952,095股，披露后好仓约379,907,737股，占约34.70%。谷建英、王文鉴、王文杰、倪文军及TMF Trust（HK）Limited等相关权益披露中也出现相同数量的变动。相关披露使用了权益类别代码1710/1503等披露原因，较可能涉及相关实体之间的权益重组、信托安排或其他非公开市场性质的转移，不能仅凭该披露认定为实际减持套现。截至研究时点，未发现舜宇光学主要控股股东于2026年9月进行明确的公开市场增持或减持公告。</w:t>
      </w:r>
    </w:p>
    <w:p>
      <w:pPr>
        <w:pStyle w:val="Heading2"/>
        <w:spacing w:after="120" w:before="240"/>
      </w:pPr>
      <w:r>
        <w:rPr>
          <w:b/>
          <w:bCs/>
          <w:color w:val="2E74B5"/>
          <w:sz w:val="24"/>
          <w:szCs w:val="24"/>
        </w:rPr>
        <w:t xml:space="preserve">4.8 进一步认购歌尔光学已完成</w:t>
      </w:r>
    </w:p>
    <w:p>
      <w:pPr>
        <w:spacing w:after="160" w:line="300"/>
      </w:pPr>
      <w:r>
        <w:rPr>
          <w:sz w:val="22"/>
          <w:szCs w:val="22"/>
        </w:rPr>
        <w:t xml:space="preserve">舜宇旗下宁波奥来于2026年6月25日公布拟向歌尔光学注资人民币500.0百万元，认购歌尔光学新增注册资本约人民币109.76百万元。交易完成后，宁波奥来在扩大后的歌尔光学中持股约33.27%，继续作为第二大股东；持股比例由约31.12%提高至约33.27%。2026年8月26日中期业绩公告披露，相关认购协议的先决条件已于2026年7月31日全部达成，认购协议亦于同日完成。公司认为，该投资有助于加强歌尔光学在光波导及晶圆级微纳光学器件，尤其是AI及AR产品相关领域的竞争力。公司未披露该投资对2026年全年净利润的量化贡献预测。</w:t>
      </w:r>
    </w:p>
    <w:p>
      <w:pPr>
        <w:pStyle w:val="Heading2"/>
        <w:spacing w:after="120" w:before="240"/>
      </w:pPr>
      <w:r>
        <w:rPr>
          <w:b/>
          <w:bCs/>
          <w:color w:val="2E74B5"/>
          <w:sz w:val="24"/>
          <w:szCs w:val="24"/>
        </w:rPr>
        <w:t xml:space="preserve">4.9 人民币债券融资及债务情况</w:t>
      </w:r>
    </w:p>
    <w:p>
      <w:pPr>
        <w:spacing w:after="160" w:line="300"/>
      </w:pPr>
      <w:r>
        <w:rPr>
          <w:sz w:val="22"/>
          <w:szCs w:val="22"/>
        </w:rPr>
        <w:t xml:space="preserve">2026年7月，舜宇光学科技集团完成一项人民币计价债券上市及发行文件披露，债券规模为人民币2,700.0百万元，票面利率为2.15%，到期日为2031年。该事项并非2026年9月新公告，但属于近期融资安排，可能为汽车光学、XR、AI及其他新业务提供资金支持。截至2026年6月30日，公司银行借款约为人民币3,089.9百万元，债券负债约为人民币2,798.0百万元，资产负债率约为11.0%。</w:t>
      </w:r>
    </w:p>
    <w:p>
      <w:pPr>
        <w:pStyle w:val="Heading2"/>
        <w:spacing w:after="120" w:before="240"/>
      </w:pPr>
      <w:r>
        <w:rPr>
          <w:b/>
          <w:bCs/>
          <w:color w:val="2E74B5"/>
          <w:sz w:val="24"/>
          <w:szCs w:val="24"/>
        </w:rPr>
        <w:t xml:space="preserve">4.10 监管及会计准则披露</w:t>
      </w:r>
    </w:p>
    <w:p>
      <w:pPr>
        <w:spacing w:after="160" w:line="300"/>
      </w:pPr>
      <w:r>
        <w:rPr>
          <w:sz w:val="22"/>
          <w:szCs w:val="22"/>
        </w:rPr>
        <w:t xml:space="preserve">截至2026年9月13日，在香港交易所披露易针对02382的公告记录中，未发现2026年9月新增的监管处罚、上市规则违规、重大诉讼或其他负面监管公告。最新公司公告主要为2026年9月2日证券变动月报表。公司2026年中期业绩公告披露，中期财务报表按照香港会计准则HKAS 34及香港财务报告准则编制；报告期内采用部分2026年生效的HKFRS修订，除新增披露外，相关会计准则变更对当期及比较期间财务状况和经营业绩没有重大影响。</w:t>
      </w:r>
    </w:p>
    <w:p>
      <w:pPr>
        <w:pStyle w:val="Heading2"/>
        <w:spacing w:after="120" w:before="240"/>
      </w:pPr>
      <w:r>
        <w:rPr>
          <w:b/>
          <w:bCs/>
          <w:color w:val="2E74B5"/>
          <w:sz w:val="24"/>
          <w:szCs w:val="24"/>
        </w:rPr>
        <w:t xml:space="preserve">4.11 近期消息综合判断</w:t>
      </w:r>
    </w:p>
    <w:p>
      <w:pPr>
        <w:spacing w:after="160" w:line="300"/>
      </w:pPr>
      <w:r>
        <w:rPr>
          <w:sz w:val="22"/>
          <w:szCs w:val="22"/>
        </w:rPr>
        <w:t xml:space="preserve">截至2026年9月13日，舜宇光学近期消息面整体偏正面，但9月新增催化剂有限。正面因素包括2026年上半年收入同比增长约11.5%、公司股东应占溢利同比增长约9.9%，汽车、XR及其他产品收入增长，以及歌尔光学进一步认购已于2026年7月31日完成。需关注因素包括公司没有派发2026年中期股息、手机产品收入同比下降约0.8%、毛利率轻微下降，以及JPMorgan好仓、淡仓及可供借出股份权益出现较大变动。主要风险包括手机市场需求及客户产品周期变化、AI眼镜、AR、光波导及机器人等新业务商业化兑现程度，以及歌尔光学投资未来回报的不确定性。</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股票</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02382 舜宇光学科技（Sunny Optical Technology Group），香港交易所主板上市</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最新收市价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69.10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日涨跌</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上涨0.30 HKD，涨幅约0.44%；港股涨跌颜色惯例为红涨绿跌</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开市价</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68.75 HKD</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日内高低位</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最高70.95 HKD，最低67.45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约1,380.83万股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成交金额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约9.61亿HKD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约745.56亿HKD；不同平台数据存在约1%至2%的差异</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52周高位91.40 HKD，52周低位51.50 HKD</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估值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每股盈利4.748 HKD；动态市盈率14.55倍；市账率约2.33倍；股息率约1.75%</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近期价格结构</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股价自2026年7月中旬至8月底由约54至60 HKD区域反弹，9月1日盘中最高74.10 HKD；9月2日至9月10日在67至72 HKD附近回落震荡，9月11日收于69.10 HKD</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10日移动平均线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69.73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现价略低于10日均线，显示短线动能较9月初高位有所降温</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20日移动平均线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65.16 HKD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现价明显高于20日均线，中短期趋势尚未明显转弱</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50日移动平均线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60.52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现价明显高于50日均线，中期反弹结构仍在</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100日移动平均线</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65.35 HKD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现价高于100日均线，整体价格结构仍偏强</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250日移动平均线</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66.69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接近近期价格下方的中期趋势支撑；若放量跌破，短期技术形态可能明显转弱</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RSI（10日）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59.88</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处于偏强但未达到传统超买区间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RSI（14日）</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60.15</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处于偏强但未达到传统超买区间</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RSI（20日）</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58.41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处于偏强但未出现明显极端超买信号</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8/17日MACD</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2.02</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MACD为正，说明中短期趋势动能仍偏多方；需继续观察柱体是否收窄</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12/25日MACD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2.51</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MACD为正，反弹动能仍在，但自74.10 HKD回落后需留意动能衰减</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布林带估算</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中轨约65.16 HKD；上轨约74.68 HKD；下轨约55.64 HKD</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根据最近20个交易日收市价及总体标准差约4.76 HKD估算，并非行情平台直接披露值；现价位于中轨上方、上轨下方，处于布林带偏强区域</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近5日平均成交金额</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约7.1亿HKD</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9月11日成交额约9.61亿HKD，明显高于近5日平均，资金活跃度回升，但尚不足以单独确认趋势性突破</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约1.26%</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数据来自Webull，受不同平台自由流通股本口径影响，需谨慎比较</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沽空占当日成交比例</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2026年9月11日约34.09%；9月10日约39.98%；9月9日约30.93%</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近期沽空成交比例较高，显示市场多空分歧较明显，可能放大短线波动</w:t>
            </w:r>
          </w:p>
        </w:tc>
      </w:tr>
    </w:tbl>
    <w:p>
      <w:pPr>
        <w:spacing w:before="200"/>
      </w:pPr>
    </w:p>
    <w:p>
      <w:pPr>
        <w:spacing w:after="160" w:line="300"/>
      </w:pPr>
      <w:r>
        <w:rPr>
          <w:sz w:val="22"/>
          <w:szCs w:val="22"/>
        </w:rPr>
        <w:t xml:space="preserve">截至2026年9月11日，舜宇光学科技股价收于69.10 HKD，仍高于20日、50日、100日及250日均线，但略低于10日均线，反映快速反弹后短线动能有所降温。RSI约58至60，处于偏强但未超买；MACD维持正值，中短期趋势尚未明显转弱。股价在9月1日触及74.10 HKD后回落，目前处于67至72 HKD附近的高位震荡阶段。估算布林带显示70.90至74.70 HKD为重要压力带，64.50至65.50 HKD则接近20日均线及突破后回踩区域。9月11日成交金额约9.61亿HKD，高于近5日平均约7.1亿HKD，但沽空占比约34.09%，说明资金活跃度回升的同时，多空分歧仍然较高。</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风险提示：以下内容仅为基于截至2026年9月11日收盘数据的主观情景推演，不构成投资建议，也不是单点价格预测。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70.90~74.70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70.90~71.90 HKD对应近期反复成交区域及9月初价格密集区；74.10~74.70 HKD对应近期高位74.10 HKD及估算布林上轨。若有效突破并伴随成交额明显放大，技术上才可能打开更高价格区间。</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67.30~68.00 HKD</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对应9月8日收市价67.30 HKD附近、9月11日盘中低位67.45 HKD及近期反复交易区域。若获得承接，短线可能继续维持67~72 HKD附近震荡；若有效失守，价格可能向更低支撑区间移动。</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64.50~65.50 HKD</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接近20日均线65.16 HKD，并靠近8月27日至8月28日突破后的回踩区域。若放量跌破，下一观察区域可能下移至60.00~62.00 HKD。</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震荡整理（相对权重较高，约六成左右；为基于当前技术和资金流设置的主观启发式权重，不是统计概率）：价格区间约67.30~72.00 HKD。触发条件包括股价守住67.30~68.00 HKD、成交额维持约5亿~8亿HKD附近、没有明显行业利空或公司负面消息，以及RSI保持在50以上、MACD继续为正。若情景成立，股价可能在67~72 HKD之间反复，反弹至70.90~72.00 HKD时面临一定抛压。</w:t>
      </w:r>
    </w:p>
    <w:p>
      <w:pPr>
        <w:pStyle w:val="ListParagraph"/>
        <w:numPr>
          <w:ilvl w:val="0"/>
          <w:numId w:val="2"/>
        </w:numPr>
        <w:spacing w:after="80" w:line="280"/>
      </w:pPr>
      <w:r>
        <w:rPr>
          <w:sz w:val="22"/>
          <w:szCs w:val="22"/>
        </w:rPr>
        <w:t xml:space="preserve">偏弱下行（权重中等；为基于当前技术和资金流设置的主观启发式判断，不是统计概率）：价格区间约62.00~67.30 HKD。触发条件包括收市价有效跌破67.30 HKD、下跌日成交额持续超过近期平均水平、沽空比例继续维持在约30%或以上，以及手机设备或科技股板块同步走弱。若进一步跌破64.50~65.50 HKD强支撑区，短期可能向60.00~62.00 HKD区域寻找支撑。</w:t>
      </w:r>
    </w:p>
    <w:p>
      <w:pPr>
        <w:pStyle w:val="ListParagraph"/>
        <w:numPr>
          <w:ilvl w:val="0"/>
          <w:numId w:val="2"/>
        </w:numPr>
        <w:spacing w:after="80" w:line="280"/>
      </w:pPr>
      <w:r>
        <w:rPr>
          <w:sz w:val="22"/>
          <w:szCs w:val="22"/>
        </w:rPr>
        <w:t xml:space="preserve">反弹走强（权重偏低至中等；为基于当前技术和资金流设置的主观启发式判断，不是统计概率）：价格区间约71.00~75.00 HKD。触发条件包括股价重新站稳70.95~71.90 HKD、单日成交额放大至约10亿HKD或以上、成交量明显高于近期5日均值，并同时突破74.10 HKD近期高位。若上述条件同时出现，技术上可能测试估算布林上轨约74.70 HKD；但74~75 HKD附近仍属较强压力区，突破前的反弹不能直接视为趋势反转已经确认。</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单日成交金额约9.61亿HKD，前一交易日约5.46亿HKD，近5个交易日成交金额分别约为5.47亿、8.08亿、6.81亿、5.46亿及9.61亿HKD，近5日平均约7.1亿HKD；平台数据显示换手率约1.26%，该数据来自Webull，可能受自由流通股本口径影响。整体而言，舜宇光学为港股中成交较活跃的中大型科技股，正常交易下流动性相对充足，但较高的沽空成交占比可能加大日内波动。股东结构方面，根据2025年年报（截至2025年12月31日），Sun Xu及相关控制股东持股约35.61%，王文鉴约3.05%，JPMorgan Chase &amp; Co.披露好仓约5.11%，UBS Group AG披露好仓约7.30%，BOCI Trustee约0.42%，其他公众股东合计约48.31%。较新的权益披露显示，截至2026年7月28日，Sun Xu Limited约34.70%，谷建英好仓约34.73%；截至2026年9月3日，JPMorgan披露好仓约5.09%、淡仓约3.65%、可供借出股份约1.81%；截至2026年7月23日，BlackRock披露好仓约5.32%。上述股东数据存在报告滞后，不代表2026年9月11日当日的完整持仓结构；部分机构权益也可能涉及衍生工具、借贷池或对冲安排，不能简单等同于方向性长期持仓。实际观察上，控股股东持股约三成以上、公众流通筹码相对集中，叠加机构权益披露及较高沽空参与度，重大消息或资金集中交易时股价弹性和日内波动可能较大。</w:t>
      </w:r>
    </w:p>
    <w:p>
      <w:pPr>
        <w:spacing w:after="160" w:line="300"/>
      </w:pPr>
      <w:r>
        <w:rPr>
          <w:sz w:val="22"/>
          <w:szCs w:val="22"/>
        </w:rPr>
        <w:t xml:space="preserve">可检查的成交确认信号：若未来一周出现单日成交金额连续达到约10亿HKD或以上，并且股价同时收于71.90 HKD上方，可视为短线资金参与度增强的确认信号；若成交额放大但股价无法站稳70.90~71.90 HKD，则更可能反映高位换手或多空分歧扩大，而非单纯的向上突破。</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观察股价能否守住67.30~68.00 HKD第一支撑区域。</w:t>
      </w:r>
    </w:p>
    <w:p>
      <w:pPr>
        <w:pStyle w:val="ListParagraph"/>
        <w:numPr>
          <w:ilvl w:val="0"/>
          <w:numId w:val="2"/>
        </w:numPr>
        <w:spacing w:after="80" w:line="280"/>
      </w:pPr>
      <w:r>
        <w:rPr>
          <w:sz w:val="22"/>
          <w:szCs w:val="22"/>
        </w:rPr>
        <w:t xml:space="preserve">观察64.50~65.50 HKD强支撑是否出现放量失守，并留意60.00~62.00 HKD下一观察区域。</w:t>
      </w:r>
    </w:p>
    <w:p>
      <w:pPr>
        <w:pStyle w:val="ListParagraph"/>
        <w:numPr>
          <w:ilvl w:val="0"/>
          <w:numId w:val="2"/>
        </w:numPr>
        <w:spacing w:after="80" w:line="280"/>
      </w:pPr>
      <w:r>
        <w:rPr>
          <w:sz w:val="22"/>
          <w:szCs w:val="22"/>
        </w:rPr>
        <w:t xml:space="preserve">观察70.90~74.70 HKD压力区是否出现有效突破，尤其是能否突破74.10 HKD近期高位。</w:t>
      </w:r>
    </w:p>
    <w:p>
      <w:pPr>
        <w:pStyle w:val="ListParagraph"/>
        <w:numPr>
          <w:ilvl w:val="0"/>
          <w:numId w:val="2"/>
        </w:numPr>
        <w:spacing w:after="80" w:line="280"/>
      </w:pPr>
      <w:r>
        <w:rPr>
          <w:sz w:val="22"/>
          <w:szCs w:val="22"/>
        </w:rPr>
        <w:t xml:space="preserve">观察成交金额能否连续达到约10亿HKD或以上，并配合收市价站上71.90 HKD。以上均为观察思路，非操作指令。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科技股板块表现及沽空交易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舜宇光学所在核心行业可拆分为手机镜头、手机摄像模组、车载摄像头及智能视觉三个细分市场。行业竞争壁垒主要包括光学及结构设计、良率与精密制造、客户认证、车规可靠性、系统集成、规模化交付及海外本地化制造能力。</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手机镜头行业集中度相对较高。根据引用TSR数据的行业披露，2024年手机镜头出货量前三名为舜宇光学约13.28亿颗、市场份额约30.0%；大立光约8.67亿颗、约19.6%；瑞声科技约6.47亿颗、约14.6%，前三名合计约64.2%，2023年约为62%。</w:t>
      </w:r>
    </w:p>
    <w:p>
      <w:pPr>
        <w:pStyle w:val="ListParagraph"/>
        <w:numPr>
          <w:ilvl w:val="0"/>
          <w:numId w:val="2"/>
        </w:numPr>
        <w:spacing w:after="80" w:line="280"/>
      </w:pPr>
      <w:r>
        <w:rPr>
          <w:sz w:val="22"/>
          <w:szCs w:val="22"/>
        </w:rPr>
        <w:t xml:space="preserve">上述手机镜头市场数据来自其他上市公司申报材料对TSR报告的引用，而非舜宇自行披露；本次未取得TSR原始报告，因此属于第三方行业数据，不能视为完全独立核验的官方统计。</w:t>
      </w:r>
    </w:p>
    <w:p>
      <w:pPr>
        <w:pStyle w:val="ListParagraph"/>
        <w:numPr>
          <w:ilvl w:val="0"/>
          <w:numId w:val="2"/>
        </w:numPr>
        <w:spacing w:after="80" w:line="280"/>
      </w:pPr>
      <w:r>
        <w:rPr>
          <w:sz w:val="22"/>
          <w:szCs w:val="22"/>
        </w:rPr>
        <w:t xml:space="preserve">手机镜头竞争焦点包括高像素、大底传感器适配、潜望式及多摄模组、复杂光学结构、超薄化、低肩高、规模化良率和客户认证能力。</w:t>
      </w:r>
    </w:p>
    <w:p>
      <w:pPr>
        <w:pStyle w:val="ListParagraph"/>
        <w:numPr>
          <w:ilvl w:val="0"/>
          <w:numId w:val="2"/>
        </w:numPr>
        <w:spacing w:after="80" w:line="280"/>
      </w:pPr>
      <w:r>
        <w:rPr>
          <w:sz w:val="22"/>
          <w:szCs w:val="22"/>
        </w:rPr>
        <w:t xml:space="preserve">手机摄像模组市场主要竞争者包括舜宇光学、丘钛科技、欧菲光，以及部分瑞声科技、信利国际和立景创新等厂商。模组业务更接近制造和系统组装环节，客户价格压力通常大于高端镜头业务。</w:t>
      </w:r>
    </w:p>
    <w:p>
      <w:pPr>
        <w:pStyle w:val="ListParagraph"/>
        <w:numPr>
          <w:ilvl w:val="0"/>
          <w:numId w:val="2"/>
        </w:numPr>
        <w:spacing w:after="80" w:line="280"/>
      </w:pPr>
      <w:r>
        <w:rPr>
          <w:sz w:val="22"/>
          <w:szCs w:val="22"/>
        </w:rPr>
        <w:t xml:space="preserve">车载摄像头及智能视觉行业仍处于智能驾驶渗透阶段，竞争者包括传统汽车零部件及Tier 1供应商、手机光学和摄像头模组企业，以及激光雷达企业。主要壁垒包括车规认证、长期可靠性、算法及系统集成、主机厂定点和量产经验。</w:t>
      </w:r>
    </w:p>
    <w:p>
      <w:pPr>
        <w:pStyle w:val="ListParagraph"/>
        <w:numPr>
          <w:ilvl w:val="0"/>
          <w:numId w:val="2"/>
        </w:numPr>
        <w:spacing w:after="80" w:line="280"/>
      </w:pPr>
      <w:r>
        <w:rPr>
          <w:sz w:val="22"/>
          <w:szCs w:val="22"/>
        </w:rPr>
        <w:t xml:space="preserve">相较手机业务，车载业务客户导入时间更长，但项目生命周期和单车摄像头搭载数量具有增长潜力。舜宇在镜头、模组、智能座舱和激光雷达相关光学方面的纵向整合，是其相对一般镜头厂商的差异化优势。</w:t>
      </w:r>
    </w:p>
    <w:p>
      <w:pPr>
        <w:pStyle w:val="ListParagraph"/>
        <w:numPr>
          <w:ilvl w:val="0"/>
          <w:numId w:val="2"/>
        </w:numPr>
        <w:spacing w:after="80" w:line="280"/>
      </w:pPr>
      <w:r>
        <w:rPr>
          <w:sz w:val="22"/>
          <w:szCs w:val="22"/>
        </w:rPr>
        <w:t xml:space="preserve">2025年分部毛利率：手机产品14.7%，2024年为12.9%；汽车产品31.9%，2024年为35.3%；XR产品19.6%，2024年为11.8%；其他产品27.5%，2024年为29.3%。汽车收入快速增长但分部毛利率下降，集团毛利率上升并非所有业务分部毛利率同步改善。</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丘钛科技（01478.HK）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手机及其他智能终端摄像头模组、生物识别模组，并拓展汽车及IoT摄像头模组</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是舜宇在手机摄像头模组领域较直接的港股可比公司，优势在模组规模化制造、成本控制、COB工艺和中高端手机模组；光学镜头自主设计及镜头与模组一体化程度相对舜宇较弱。</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瑞声科技（02018.HK）</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声学、触觉、精密结构件及光学业务</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光学业务包括塑料镜头、玻塑混合镜头、摄像头模组及相关光学元件；优势在精密制造、消费电子客户基础和多元零部件协同，是手机镜头领域的重要竞争者。</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大立光（台湾上市：3008.TW）</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高端手机镜头</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优势集中在高端塑料镜头、复杂镜头设计、光学技术及高端客户供应链；业务相对更集中于手机镜头，而舜宇业务覆盖手机镜头、手机模组、车载光学及智能光学系统。</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欧菲光（002456.SZ）</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光学摄像头模组、光学镜头、指纹识别、智能汽车及XR</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优势在模组规模、客户覆盖和光学光电一站式能力，当前也推进高端镜头、摄像头模组、智能汽车及XR业务；历史上业务结构和客户结构经历较大调整。</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信利国际（00732.HK）</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显示器、触控、摄像头模组、指纹识别及汽车电子</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产品覆盖面较广，是手机及车载电子供应链中的综合型厂商；在手机镜头全球市场份额、光学设计能力及高端镜头品牌影响力方面，通常不被视为舜宇和大立光的同等级直接竞争者。</w:t>
            </w:r>
          </w:p>
        </w:tc>
      </w:tr>
    </w:tbl>
    <w:p>
      <w:pPr>
        <w:spacing w:before="200"/>
      </w:pPr>
    </w:p>
    <w:p>
      <w:pPr>
        <w:spacing w:after="160" w:line="300"/>
      </w:pPr>
      <w:r>
        <w:rPr>
          <w:sz w:val="22"/>
          <w:szCs w:val="22"/>
        </w:rPr>
        <w:t xml:space="preserve">舜宇相较丘钛科技、欧菲光和信利国际，具备更完整的光学设计、镜头制造、摄像头模组及车载视觉纵向整合能力；相较大立光，其业务更加多元，覆盖手机模组、汽车光学和智能光学系统；相较瑞声科技，舜宇的核心优势更集中于光学镜头、模组和车载视觉，而瑞声科技在声学、触觉及精密结构件方面基础更强。</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手机业务仍占集团收入约60%以上，2026年上半年手机产品收入同比下降约0.8%；若智能手机需求、客户产品周期或摄像头规格升级不及预期，可能对集团收入、产能利用率及手机镜头和模组利润造成压力。</w:t>
      </w:r>
    </w:p>
    <w:p>
      <w:pPr>
        <w:pStyle w:val="ListParagraph"/>
        <w:numPr>
          <w:ilvl w:val="0"/>
          <w:numId w:val="2"/>
        </w:numPr>
        <w:spacing w:after="80" w:line="280"/>
      </w:pPr>
      <w:r>
        <w:rPr>
          <w:sz w:val="22"/>
          <w:szCs w:val="22"/>
        </w:rPr>
        <w:t xml:space="preserve">手机摄像头模组业务相较高端镜头更接近制造及系统组装环节，客户通常通过年度降价、产品迭代和供应商竞价压缩成本；即使手机收入保持增长，价格压力也可能限制利润率改善。</w:t>
      </w:r>
    </w:p>
    <w:p>
      <w:pPr>
        <w:pStyle w:val="ListParagraph"/>
        <w:numPr>
          <w:ilvl w:val="0"/>
          <w:numId w:val="2"/>
        </w:numPr>
        <w:spacing w:after="80" w:line="280"/>
      </w:pPr>
      <w:r>
        <w:rPr>
          <w:sz w:val="22"/>
          <w:szCs w:val="22"/>
        </w:rPr>
        <w:t xml:space="preserve">汽车产品收入增长较快，但其分部毛利率已由2024年的35.3%降至2025年的31.9%；若汽车项目放量伴随价格下降、产品组合变化或初期量产成本较高，汽车业务可能出现收入增长但利润贡献低于预期的情况。</w:t>
      </w:r>
    </w:p>
    <w:p>
      <w:pPr>
        <w:pStyle w:val="ListParagraph"/>
        <w:numPr>
          <w:ilvl w:val="0"/>
          <w:numId w:val="2"/>
        </w:numPr>
        <w:spacing w:after="80" w:line="280"/>
      </w:pPr>
      <w:r>
        <w:rPr>
          <w:sz w:val="22"/>
          <w:szCs w:val="22"/>
        </w:rPr>
        <w:t xml:space="preserve">公司对汽车光学、XR、AI相关光学、机器人视觉及泛IoT等新业务投入较大，但现有数据尚未量化披露这些业务未来的利润贡献。若AI眼镜、AR、光波导、机器人或其他智能硬件的商业化进度不及预期，相关资本开支、研发投入及产能布局的回报可能低于预期。</w:t>
      </w:r>
    </w:p>
    <w:p>
      <w:pPr>
        <w:pStyle w:val="ListParagraph"/>
        <w:numPr>
          <w:ilvl w:val="0"/>
          <w:numId w:val="2"/>
        </w:numPr>
        <w:spacing w:after="80" w:line="280"/>
      </w:pPr>
      <w:r>
        <w:rPr>
          <w:sz w:val="22"/>
          <w:szCs w:val="22"/>
        </w:rPr>
        <w:t xml:space="preserve">舜宇旗下宁波奥来已向歌尔光学进一步注资人民币5.00亿元，并将持股比例提高至约33.27%；该投资有助于布局光波导及晶圆级微纳光学器件，但公司尚未披露其对2026年全年净利润的量化贡献，投资回报和协同效应存在不确定性。</w:t>
      </w:r>
    </w:p>
    <w:p>
      <w:pPr>
        <w:pStyle w:val="ListParagraph"/>
        <w:numPr>
          <w:ilvl w:val="0"/>
          <w:numId w:val="2"/>
        </w:numPr>
        <w:spacing w:after="80" w:line="280"/>
      </w:pPr>
      <w:r>
        <w:rPr>
          <w:sz w:val="22"/>
          <w:szCs w:val="22"/>
        </w:rPr>
        <w:t xml:space="preserve">部分核心原材料、电子元件及高端设备供应有限，公司未披露各类投入的采购占比，也未披露前五大供应商采购占比；若图像传感器、高端设备或其他核心元件供应受限，可能影响生产交付、成本和产品良率。</w:t>
      </w:r>
    </w:p>
    <w:p>
      <w:pPr>
        <w:pStyle w:val="ListParagraph"/>
        <w:numPr>
          <w:ilvl w:val="0"/>
          <w:numId w:val="2"/>
        </w:numPr>
        <w:spacing w:after="80" w:line="280"/>
      </w:pPr>
      <w:r>
        <w:rPr>
          <w:sz w:val="22"/>
          <w:szCs w:val="22"/>
        </w:rPr>
        <w:t xml:space="preserve">公司客户集中度的最新明确数据截至2024年：最大客户收入占比约15.8%，前五大客户合计约46.2%，而2025年年报更新数据尚未在本次资料中确认。若主要客户订单、认证结果或供应商份额发生变化，收入波动可能高于业务表面多元化程度。</w:t>
      </w:r>
    </w:p>
    <w:p>
      <w:pPr>
        <w:pStyle w:val="ListParagraph"/>
        <w:numPr>
          <w:ilvl w:val="0"/>
          <w:numId w:val="2"/>
        </w:numPr>
        <w:spacing w:after="80" w:line="280"/>
      </w:pPr>
      <w:r>
        <w:rPr>
          <w:sz w:val="22"/>
          <w:szCs w:val="22"/>
        </w:rPr>
        <w:t xml:space="preserve">2026年上半年毛利率约19.5%，低于2025年同期的19.8%；同时，2026年预测全年归母净利润中值为人民币41.035亿元，低于2025年实际的人民币46.391亿元，且隐含下半年利润约人民币22.95亿元。若下半年手机高端光学、汽车光学及其他产品未达到预期，市场盈利预测和估值可能面临下修。</w:t>
      </w:r>
    </w:p>
    <w:p>
      <w:pPr>
        <w:pStyle w:val="ListParagraph"/>
        <w:numPr>
          <w:ilvl w:val="0"/>
          <w:numId w:val="2"/>
        </w:numPr>
        <w:spacing w:after="80" w:line="280"/>
      </w:pPr>
      <w:r>
        <w:rPr>
          <w:sz w:val="22"/>
          <w:szCs w:val="22"/>
        </w:rPr>
        <w:t xml:space="preserve">截至2026年9月11日，股价为69.10港元，距离70.90至74.70港元压力区较近，但9月11日沽空成交占比约34.09%，且JPMorgan披露好仓、淡仓及可供借出股份均出现较大变动。相关权益可能涉及证券借贷、托管、衍生工具或对冲安排，无法简单视为方向性交易，但可能加大短期股价波动。</w:t>
      </w:r>
    </w:p>
    <w:p>
      <w:pPr>
        <w:pStyle w:val="ListParagraph"/>
        <w:numPr>
          <w:ilvl w:val="0"/>
          <w:numId w:val="2"/>
        </w:numPr>
        <w:spacing w:after="80" w:line="280"/>
      </w:pPr>
      <w:r>
        <w:rPr>
          <w:sz w:val="22"/>
          <w:szCs w:val="22"/>
        </w:rPr>
        <w:t xml:space="preserve">公司股票以港元交易，财务报表及盈利预测主要以人民币列报；人民币兑港元汇率变化会影响港元口径的市盈率、每股盈利换算及投资回报比较。公司2026年上半年亦未建议派发中期股息，股息回报对投资者的支持有限。</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公司的核心增长逻辑正在由手机镜头及模组的产品升级，逐步扩展至汽车光学、车载视觉、机器人视觉、泛IoT以及XR和AI相关光学。2026年上半年其他产品收入快速增长，汽车及XR收入亦保持增长；同时，公司在镜头设计、精密制造、客户认证、模组集成及车规产品方面的能力，为其拓展更长生命周期的汽车项目和系统方案提供基础。2026年上半年资产负债率约11.0%，银行借款约人民币30.899亿元、债券负债约人民币27.980亿元，且2025年资本开支约人民币29.31亿元全部由内部资源拨付，整体扩张仍需关注资金使用效率和新产能回报。</w:t>
      </w:r>
    </w:p>
    <w:p>
      <w:pPr>
        <w:spacing w:after="160" w:line="300"/>
      </w:pPr>
      <w:r>
        <w:rPr>
          <w:sz w:val="22"/>
          <w:szCs w:val="22"/>
        </w:rPr>
        <w:t xml:space="preserve">盈利改善的持续性取决于手机业务能否维持高端镜头及模组的产品结构升级，以及汽车、XR、AI、机器人和泛IoT等新业务能否在收入增长的同时保持合理利润率。2025年汽车产品分部毛利率由35.3%下降至31.9%，显示收入扩张并不等同于利润率同步提升；2026年上半年集团毛利率亦较去年同期略有下降。因此，未来应重点观察新业务放量、良率提升、客户定点转量产及高端产品占比对综合毛利率和净利润的实际贡献。</w:t>
      </w:r>
    </w:p>
    <w:p>
      <w:pPr>
        <w:spacing w:after="160" w:line="300"/>
      </w:pPr>
      <w:r>
        <w:rPr>
          <w:sz w:val="22"/>
          <w:szCs w:val="22"/>
        </w:rPr>
        <w:t xml:space="preserve">从技术面看，股价在2026年7月中旬至8月底由约54至60港元区域反弹后，于9月1日触及74.10港元并回落至69.10港元，当前仍处于中短期均线之上，但高位沽空成交比例约30.93%至39.98%，多空分歧较明显。后续价格表现可能取决于能否稳守67.30至68.00港元，并在成交金额持续达到约10亿港元或以上的情况下突破70.90至74.70港元压力区；上述仅为基于既有数据的情景观察，不构成买卖建议。</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https://www.sunnyoptical.com/webfile//temps/202604317462754261.pdf — https://www.sunnyoptical.com/webfile//temps/202604317462754261.pdf</w:t>
      </w:r>
    </w:p>
    <w:p>
      <w:pPr>
        <w:spacing w:after="200"/>
      </w:pPr>
      <w:r>
        <w:rPr>
          <w:i/>
          <w:iCs/>
          <w:color w:val="595959"/>
          <w:sz w:val="18"/>
          <w:szCs w:val="18"/>
        </w:rPr>
        <w:t xml:space="preserve">舜宇光学科技(HK2382) 业务展望_F10_同花顺金融服务网 — https://basic.10jqka.com.cn/HK2382/business.html</w:t>
      </w:r>
    </w:p>
    <w:p>
      <w:pPr>
        <w:spacing w:after="200"/>
      </w:pPr>
      <w:r>
        <w:rPr>
          <w:i/>
          <w:iCs/>
          <w:color w:val="595959"/>
          <w:sz w:val="18"/>
          <w:szCs w:val="18"/>
        </w:rPr>
        <w:t xml:space="preserve">Annual Report 2025 — https://www.irasia.com/listco/hk/sunnyoptical/onlinereport/2025/e_annual/17/?utm_source=openai</w:t>
      </w:r>
    </w:p>
    <w:p>
      <w:pPr>
        <w:spacing w:after="200"/>
      </w:pPr>
      <w:r>
        <w:rPr>
          <w:i/>
          <w:iCs/>
          <w:color w:val="595959"/>
          <w:sz w:val="18"/>
          <w:szCs w:val="18"/>
        </w:rPr>
        <w:t xml:space="preserve">Annual Report 2025 — https://www.irasia.com/listco/hk/sunnyoptical/onlinereport/2025/e_annual/21/?utm_source=openai</w:t>
      </w:r>
    </w:p>
    <w:p>
      <w:pPr>
        <w:spacing w:after="200"/>
      </w:pPr>
      <w:r>
        <w:rPr>
          <w:i/>
          <w:iCs/>
          <w:color w:val="595959"/>
          <w:sz w:val="18"/>
          <w:szCs w:val="18"/>
        </w:rPr>
        <w:t xml:space="preserve">Management Discussion and Analysis — https://doc.irasia.com/listco/hk/sunnyoptical/annual/2021/car2021.pdf?utm_source=openai</w:t>
      </w:r>
    </w:p>
    <w:p>
      <w:pPr>
        <w:spacing w:after="200"/>
      </w:pPr>
      <w:r>
        <w:rPr>
          <w:i/>
          <w:iCs/>
          <w:color w:val="595959"/>
          <w:sz w:val="18"/>
          <w:szCs w:val="18"/>
        </w:rPr>
        <w:t xml:space="preserve">Annual Report 2025 — https://www.irasia.com/listco/hk/sunnyoptical/onlinereport/2025/e_annual/27/?utm_source=openai</w:t>
      </w:r>
    </w:p>
    <w:p>
      <w:pPr>
        <w:spacing w:after="200"/>
      </w:pPr>
      <w:r>
        <w:rPr>
          <w:i/>
          <w:iCs/>
          <w:color w:val="595959"/>
          <w:sz w:val="18"/>
          <w:szCs w:val="18"/>
        </w:rPr>
        <w:t xml:space="preserve">Annual Report 2025 — https://www.irasia.com/listco/hk/sunnyoptical/onlinereport/2025/e_annual/110/?utm_source=openai</w:t>
      </w:r>
    </w:p>
    <w:p>
      <w:pPr>
        <w:spacing w:after="200"/>
      </w:pPr>
      <w:r>
        <w:rPr>
          <w:i/>
          <w:iCs/>
          <w:color w:val="595959"/>
          <w:sz w:val="18"/>
          <w:szCs w:val="18"/>
        </w:rPr>
        <w:t xml:space="preserve">Annual Report 2024 — https://www.irasia.com/listco/hk/sunnyoptical/onlinereport/2024/c_annual/107/?utm_source=openai</w:t>
      </w:r>
    </w:p>
    <w:p>
      <w:pPr>
        <w:spacing w:after="200"/>
      </w:pPr>
      <w:r>
        <w:rPr>
          <w:i/>
          <w:iCs/>
          <w:color w:val="595959"/>
          <w:sz w:val="18"/>
          <w:szCs w:val="18"/>
        </w:rPr>
        <w:t xml:space="preserve">Hong Kong Exchanges and Clearing Limited and The Stock Exchange of Hong Kong Limited take no responsibility — https://doc.irasia.com/listco/hk/sunnyoptical/annual/2024/res.pdf?utm_source=openai</w:t>
      </w:r>
    </w:p>
    <w:p>
      <w:pPr>
        <w:spacing w:after="200"/>
      </w:pPr>
      <w:r>
        <w:rPr>
          <w:i/>
          <w:iCs/>
          <w:color w:val="595959"/>
          <w:sz w:val="18"/>
          <w:szCs w:val="18"/>
        </w:rPr>
        <w:t xml:space="preserve">Annual Report 2025 — https://www.irasia.com/listco/hk/sunnyoptical/onlinereport/2025/e_annual/23/?utm_source=openai</w:t>
      </w:r>
    </w:p>
    <w:p>
      <w:pPr>
        <w:spacing w:after="200"/>
      </w:pPr>
      <w:r>
        <w:rPr>
          <w:i/>
          <w:iCs/>
          <w:color w:val="595959"/>
          <w:sz w:val="18"/>
          <w:szCs w:val="18"/>
        </w:rPr>
        <w:t xml:space="preserve">在手机镜头领域，根据 TSR 研究报告，2024 年年度销量前三的厂商分别为舜宇光学、大立光、瑞声科技，出货量分别为 13.28 亿颗、8.67 亿颗和 6.47 亿颗，占比分别为 30%、19.6%和 14.6%，前三名厂商的市占率为 64.2%，2023 年为 62%。与 2023 年相比，2024 年前三名厂商市场份额有所提升。 — https://disc.static.szse.cn/download/disc/disk03/finalpage/2026-02-13/22eef672-8596-46e8-a388-5e4c668523ad.PDF?utm_source=openai</w:t>
      </w:r>
    </w:p>
    <w:p>
      <w:pPr>
        <w:spacing w:after="200"/>
      </w:pPr>
      <w:r>
        <w:rPr>
          <w:i/>
          <w:iCs/>
          <w:color w:val="595959"/>
          <w:sz w:val="18"/>
          <w:szCs w:val="18"/>
        </w:rPr>
        <w:t xml:space="preserve">丘钛科技（集团）有限公司 公布2025年全年业绩-公司新闻-关于丘钛-〖丘钛科技〗摄像头模组-指纹识别模组制造商-1478.HK — https://www.qtechsmartvision.com/article255/detail1736.html?utm_source=openai</w:t>
      </w:r>
    </w:p>
    <w:p>
      <w:pPr>
        <w:spacing w:after="200"/>
      </w:pPr>
      <w:r>
        <w:rPr>
          <w:i/>
          <w:iCs/>
          <w:color w:val="595959"/>
          <w:sz w:val="18"/>
          <w:szCs w:val="18"/>
        </w:rPr>
        <w:t xml:space="preserve">瑞声科技（02018.HK）2025年度管理层讨论与分析_股票频道_证券之星 — https://stock.stockstar.com/RB2026032000005795.shtml?utm_source=openai</w:t>
      </w:r>
    </w:p>
    <w:p>
      <w:pPr>
        <w:spacing w:after="200"/>
      </w:pPr>
      <w:r>
        <w:rPr>
          <w:i/>
          <w:iCs/>
          <w:color w:val="595959"/>
          <w:sz w:val="18"/>
          <w:szCs w:val="18"/>
        </w:rPr>
        <w:t xml:space="preserve">欧菲光集团股份有限公司 2025 年半年度报告全文 — https://static.cninfo.com.cn/finalpage/2025-08-19/1224503659.pdf?utm_source=openai</w:t>
      </w:r>
    </w:p>
    <w:p>
      <w:pPr>
        <w:spacing w:after="200"/>
      </w:pPr>
      <w:r>
        <w:rPr>
          <w:i/>
          <w:iCs/>
          <w:color w:val="595959"/>
          <w:sz w:val="18"/>
          <w:szCs w:val="18"/>
        </w:rPr>
        <w:t xml:space="preserve">https://www1.hkexnews.hk/listedco/listconews/sehk/2026/0330/2026033003334.pdf — https://www1.hkexnews.hk/listedco/listconews/sehk/2026/0330/2026033003334.pdf</w:t>
      </w:r>
    </w:p>
    <w:p>
      <w:pPr>
        <w:spacing w:after="200"/>
      </w:pPr>
      <w:r>
        <w:rPr>
          <w:i/>
          <w:iCs/>
          <w:color w:val="595959"/>
          <w:sz w:val="18"/>
          <w:szCs w:val="18"/>
        </w:rPr>
        <w:t xml:space="preserve">https://www1.hkexnews.hk/listedco/listconews/sehk/2026/0826/2026082601115.pdf — https://www1.hkexnews.hk/listedco/listconews/sehk/2026/0826/2026082601115.pdf</w:t>
      </w:r>
    </w:p>
    <w:p>
      <w:pPr>
        <w:spacing w:after="200"/>
      </w:pPr>
      <w:r>
        <w:rPr>
          <w:i/>
          <w:iCs/>
          <w:color w:val="595959"/>
          <w:sz w:val="18"/>
          <w:szCs w:val="18"/>
        </w:rPr>
        <w:t xml:space="preserve">02382.HK 舜宇光學科技 | SUNNY OPTICAL | 公司資料 - 盈利預測概覽 - etnet 經濟通|香港新聞財經資訊和生活平台 — https://www.etnet.com.hk/www/tc/stocks/realtime/quote_profit.php?code=02382</w:t>
      </w:r>
    </w:p>
    <w:p>
      <w:pPr>
        <w:spacing w:after="200"/>
      </w:pPr>
      <w:r>
        <w:rPr>
          <w:i/>
          <w:iCs/>
          <w:color w:val="595959"/>
          <w:sz w:val="18"/>
          <w:szCs w:val="18"/>
        </w:rPr>
        <w:t xml:space="preserve">https://reportify.cn/reports/1236720999152619520?utm_source=openai — https://reportify.cn/reports/1236720999152619520?utm_source=openai</w:t>
      </w:r>
    </w:p>
    <w:p>
      <w:pPr>
        <w:spacing w:after="200"/>
      </w:pPr>
      <w:r>
        <w:rPr>
          <w:i/>
          <w:iCs/>
          <w:color w:val="595959"/>
          <w:sz w:val="18"/>
          <w:szCs w:val="18"/>
        </w:rPr>
        <w:t xml:space="preserve">GMT EIGHT - Daiwa: Raises target price for SUNNY OPTICAL (02382) to HKD 73, reiterates "Outperform" rating. — https://gmteight.com/content/detail/426747</w:t>
      </w:r>
    </w:p>
    <w:p>
      <w:pPr>
        <w:spacing w:after="200"/>
      </w:pPr>
      <w:r>
        <w:rPr>
          <w:i/>
          <w:iCs/>
          <w:color w:val="595959"/>
          <w:sz w:val="18"/>
          <w:szCs w:val="18"/>
        </w:rPr>
        <w:t xml:space="preserve">Sunny Optical Technology - Pan-IoT cushions Android drag; Apple aperture sets up FY27 growth — https://www.dbs.com.hk/treasures/aics/templatedata/article/recentdevelopment/data/en/DBSV/082026/2382_HK_08282026.xml?utm_source=openai</w:t>
      </w:r>
    </w:p>
    <w:p>
      <w:pPr>
        <w:spacing w:after="200"/>
      </w:pPr>
      <w:r>
        <w:rPr>
          <w:i/>
          <w:iCs/>
          <w:color w:val="595959"/>
          <w:sz w:val="18"/>
          <w:szCs w:val="18"/>
        </w:rPr>
        <w:t xml:space="preserve">Sunny Optical Technology (Group) Company Limited (HKG:2382) Historical Stock Price Data — https://stockanalysis.com/quote/hkg/2382/history/</w:t>
      </w:r>
    </w:p>
    <w:p>
      <w:pPr>
        <w:spacing w:after="200"/>
      </w:pPr>
      <w:r>
        <w:rPr>
          <w:i/>
          <w:iCs/>
          <w:color w:val="595959"/>
          <w:sz w:val="18"/>
          <w:szCs w:val="18"/>
        </w:rPr>
        <w:t xml:space="preserve">舜宇光学科技(02382)市盈率|估值|基本面 - 理杏仁 — https://www.lixinger.com/equity/company/detail/hk/02382/2382/fundamental/valuation/pe-ttm</w:t>
      </w:r>
    </w:p>
    <w:p>
      <w:pPr>
        <w:spacing w:after="200"/>
      </w:pPr>
      <w:r>
        <w:rPr>
          <w:i/>
          <w:iCs/>
          <w:color w:val="595959"/>
          <w:sz w:val="18"/>
          <w:szCs w:val="18"/>
        </w:rPr>
        <w:t xml:space="preserve">Listed Company Information Title Search — https://www1.hkexnews.hk/search/titlesearch.xhtml?category=0&amp;market=SEHK&amp;stockId=15785</w:t>
      </w:r>
    </w:p>
    <w:p>
      <w:pPr>
        <w:spacing w:after="200"/>
      </w:pPr>
      <w:r>
        <w:rPr>
          <w:i/>
          <w:iCs/>
          <w:color w:val="595959"/>
          <w:sz w:val="18"/>
          <w:szCs w:val="18"/>
        </w:rPr>
        <w:t xml:space="preserve">https://www1.hkexnews.hk/listedco/listconews/sehk/2026/0902/2026090200467.pdf — https://www1.hkexnews.hk/listedco/listconews/sehk/2026/0902/2026090200467.pdf</w:t>
      </w:r>
    </w:p>
    <w:p>
      <w:pPr>
        <w:spacing w:after="200"/>
      </w:pPr>
      <w:r>
        <w:rPr>
          <w:i/>
          <w:iCs/>
          <w:color w:val="595959"/>
          <w:sz w:val="18"/>
          <w:szCs w:val="18"/>
        </w:rPr>
        <w:t xml:space="preserve">02382 舜宇光学科技 SUNNY OPTICAL - 免费即时股票报价 - 股权披露变动 - etnet 经济通|香港新闻财经资讯和生活平台 — https://www.etnet.com.hk/www/sc/stocks/realtime/quote_ca_sdi.php?code=2382&amp;page=1&amp;utm_source=openai</w:t>
      </w:r>
    </w:p>
    <w:p>
      <w:pPr>
        <w:spacing w:after="200"/>
      </w:pPr>
      <w:r>
        <w:rPr>
          <w:i/>
          <w:iCs/>
          <w:color w:val="595959"/>
          <w:sz w:val="18"/>
          <w:szCs w:val="18"/>
        </w:rPr>
        <w:t xml:space="preserve">02382 舜宇光学科技 SUNNY OPTICAL - 免费即时股票报价 - 股权披露变动 - etnet 经济通|香港新闻财经资讯和生活平台 — https://www.etnet.com.hk/www/sc/stocks/realtime/quote_ca_sdi.php?code=2382&amp;page=1</w:t>
      </w:r>
    </w:p>
    <w:p>
      <w:pPr>
        <w:spacing w:after="200"/>
      </w:pPr>
      <w:r>
        <w:rPr>
          <w:i/>
          <w:iCs/>
          <w:color w:val="595959"/>
          <w:sz w:val="18"/>
          <w:szCs w:val="18"/>
        </w:rPr>
        <w:t xml:space="preserve">https://www1.hkexnews.hk/listedco/listconews/sehk/2026/0625/2026062500753_c.pdf — https://www1.hkexnews.hk/listedco/listconews/sehk/2026/0625/2026062500753_c.pdf</w:t>
      </w:r>
    </w:p>
    <w:p>
      <w:pPr>
        <w:spacing w:after="200"/>
      </w:pPr>
      <w:r>
        <w:rPr>
          <w:i/>
          <w:iCs/>
          <w:color w:val="595959"/>
          <w:sz w:val="18"/>
          <w:szCs w:val="18"/>
        </w:rPr>
        <w:t xml:space="preserve">個股研究-公司資料-報價資料 -- AASTOCKS.com — https://www.aastocks.com/pkages/web/taishing/chi/stockquote/dsnapshot.asp?symbol=2382&amp;utm_source=openai</w:t>
      </w:r>
    </w:p>
    <w:p>
      <w:pPr>
        <w:spacing w:after="200"/>
      </w:pPr>
      <w:r>
        <w:rPr>
          <w:i/>
          <w:iCs/>
          <w:color w:val="595959"/>
          <w:sz w:val="18"/>
          <w:szCs w:val="18"/>
        </w:rPr>
        <w:t xml:space="preserve">02382 舜宇光學科技 個股報價 | 股票 - now.com 財經 Now finance — https://finance.now.com/stock/?s=02382&amp;utm_source=openai</w:t>
      </w:r>
    </w:p>
    <w:p>
      <w:pPr>
        <w:spacing w:after="200"/>
      </w:pPr>
      <w:r>
        <w:rPr>
          <w:i/>
          <w:iCs/>
          <w:color w:val="595959"/>
          <w:sz w:val="18"/>
          <w:szCs w:val="18"/>
        </w:rPr>
        <w:t xml:space="preserve">沽空记录 _ 东方财富网 — https://hk.eastmoney.com/sellshort_1.html?code=02382&amp;edate=&amp;sdate=&amp;utm_source=openai</w:t>
      </w:r>
    </w:p>
    <w:p>
      <w:pPr>
        <w:spacing w:after="200"/>
      </w:pPr>
      <w:r>
        <w:rPr>
          <w:i/>
          <w:iCs/>
          <w:color w:val="595959"/>
          <w:sz w:val="18"/>
          <w:szCs w:val="18"/>
        </w:rPr>
        <w:t xml:space="preserve">Annual Report 2025 — https://www.irasia.com/listco/hk/sunnyoptical/onlinereport/2025/e_annual/155/?utm_source=openai</w:t>
      </w:r>
    </w:p>
    <w:p>
      <w:pPr>
        <w:spacing w:after="200"/>
      </w:pPr>
      <w:r>
        <w:rPr>
          <w:i/>
          <w:iCs/>
          <w:color w:val="595959"/>
          <w:sz w:val="18"/>
          <w:szCs w:val="18"/>
        </w:rPr>
        <w:t xml:space="preserve">本报告由AI基于公开渠道信息自动检索、整理并生成，信息截至 数据截至2026年9月11日港股收市；下一交易周为2026年9月14日至9月18日。货币单位均为港元（HKD）。，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2026-09-13T11:34:58.257Z</dcterms:created>
  <dcterms:modified xsi:type="dcterms:W3CDTF">2026-09-13T11:34:58.257Z</dcterms:modified>
</cp:coreProperties>
</file>

<file path=docProps/custom.xml><?xml version="1.0" encoding="utf-8"?>
<Properties xmlns="http://schemas.openxmlformats.org/officeDocument/2006/custom-properties" xmlns:vt="http://schemas.openxmlformats.org/officeDocument/2006/docPropsVTypes"/>
</file>