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中际旭创股份有限公司（ZJ INNOLIGHT） (03308)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行业：高速光通信光模块与光互连解决方案</w:t>
      </w:r>
    </w:p>
    <w:p>
      <w:pPr>
        <w:jc w:val="center"/>
      </w:pPr>
      <w:r>
        <w:rPr>
          <w:color w:val="595959"/>
          <w:sz w:val="22"/>
          <w:szCs w:val="22"/>
        </w:rPr>
        <w:t xml:space="preserve">报告日期：2026年9月13日</w:t>
      </w:r>
    </w:p>
    <w:p>
      <w:pPr>
        <w:jc w:val="center"/>
      </w:pPr>
      <w:r>
        <w:rPr>
          <w:color w:val="595959"/>
          <w:sz w:val="20"/>
          <w:szCs w:val="20"/>
        </w:rPr>
        <w:t xml:space="preserve">截至2026年9月11日港股收市；价格及金额均以港元（HKD）计。03308于2026年7月30日在香港主板上市，发行价为980.00港元。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际旭创（03308）2026年上半年实现营业收入人民币417.78亿元，同比增长182.49%；归属于公司拥有人利润人民币136.51亿元，同比增长241.70%，净利润增速高于收入增速，增长主要由AI基础设施投入增加、800G及1.6T高速光模块出货增长、产品结构升级及运营效率提升推动。同期光模块收入人民币413.55亿元，占总收入约99.0%；中国内地以外收入人民币396.15亿元，占比约94.8%，显示公司当前业绩高度集中于高速光模块及海外市场。</w:t>
      </w:r>
    </w:p>
    <w:p>
      <w:pPr>
        <w:spacing w:after="160" w:line="300"/>
      </w:pPr>
      <w:r>
        <w:rPr>
          <w:sz w:val="22"/>
          <w:szCs w:val="22"/>
        </w:rPr>
        <w:t xml:space="preserve">公司2025年全年收入为人民币382.40亿元，归母净利润人民币107.97亿元；2025年光通信收发模块业务收入约人民币373.74亿元，业务毛利率为42.61%。从2022年至2025年，公司毛利率由约29.31%提升至约42.04%，反映800G及1.6T产品占比提升、硅光方案渗透、良率改善和规模效应对盈利能力的推动，但利润改善仍依赖高端产品持续放量及行业供需维持有利状态。</w:t>
      </w:r>
    </w:p>
    <w:p>
      <w:pPr>
        <w:spacing w:after="160" w:line="300"/>
      </w:pPr>
      <w:r>
        <w:rPr>
          <w:sz w:val="22"/>
          <w:szCs w:val="22"/>
        </w:rPr>
        <w:t xml:space="preserve">截至2026年9月11日，03308收报1,170.00港元，较港股发行价980.00港元上涨约19.39%；股价高于MA5、MA10及MA20，RSI约67，短线动能偏强，但仍未有效突破1,200至1,240港元压力区，且上市时间不足两个月，历史交易样本有限、急升急跌特征明显。当天成交额约37.87亿港元，沽空金额约1.65亿港元，占成交额约4.34%，较此前约16%至18%的水平下降，短线情绪有所改善，但多空博弈仍较激烈。</w:t>
      </w:r>
    </w:p>
    <w:p>
      <w:pPr>
        <w:spacing w:after="160" w:line="300"/>
      </w:pPr>
      <w:r>
        <w:rPr>
          <w:sz w:val="22"/>
          <w:szCs w:val="22"/>
        </w:rPr>
        <w:t xml:space="preserve">公司近期在深圳证券交易所持续回购A股，截至2026年9月10日累计回购2,926,917股，支付金额约人民币25.22亿元；回购股份暂作为库存股份，短期对每股收益的增厚作用有限，且港股H股本身未出现回购交易。估值方面，平台显示的PE约56至57倍、约102至103倍及约106.1倍等数据存在明显口径差异；以约1,161至1,173港元股价和2025年实际盈利参照，估值约在100倍左右，市场已隐含对800G、1.6T、硅光及后续高速产品持续增长的较高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03308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300308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2026年7月30日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山东省龙口市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高速光通信收发模块及光互连解决方案，应用于云计算数据中心、AI算力基础设施、数据通信、5G无线网络、电信传输及固网接入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截至2026年7月共有5个生产基地，其中3个位于中国内地，另有1个位于台湾、1个位于泰国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人民币382.40亿元，同比增长60.25%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2025年核心业务收入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光通信收发模块收入人民币374.57亿元，占总收入约97.95%，业务毛利率42.61%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2025年光通信模块产能及产销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产能约2,806万只、产量2,376万只、销量2,109万只；按研究纪要计算，产能利用率约84.7%，产销率约88.8%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港股募集资金规划</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约35%用于光互连产品研发，约30%用于扩充全球产能，约10%用于供应链韧性及商业化能力，约15%用于战略收购和投资，约10%用于营运资金</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高速数通光模块：主要包括400G、800G及1.6T，是当前收入和利润的核心来源</w:t>
      </w:r>
    </w:p>
    <w:p>
      <w:pPr>
        <w:pStyle w:val="ListParagraph"/>
        <w:numPr>
          <w:ilvl w:val="0"/>
          <w:numId w:val="2"/>
        </w:numPr>
        <w:spacing w:after="80" w:line="280"/>
      </w:pPr>
      <w:r>
        <w:rPr>
          <w:sz w:val="22"/>
          <w:szCs w:val="22"/>
        </w:rPr>
        <w:t xml:space="preserve">中低速光模块：主要包括200G、100G及以下产品</w:t>
      </w:r>
    </w:p>
    <w:p>
      <w:pPr>
        <w:pStyle w:val="ListParagraph"/>
        <w:numPr>
          <w:ilvl w:val="0"/>
          <w:numId w:val="2"/>
        </w:numPr>
        <w:spacing w:after="80" w:line="280"/>
      </w:pPr>
      <w:r>
        <w:rPr>
          <w:sz w:val="22"/>
          <w:szCs w:val="22"/>
        </w:rPr>
        <w:t xml:space="preserve">电信光模块：用于5G前传、中传、回传，以及城域网、骨干网和核心网传输</w:t>
      </w:r>
    </w:p>
    <w:p>
      <w:pPr>
        <w:pStyle w:val="ListParagraph"/>
        <w:numPr>
          <w:ilvl w:val="0"/>
          <w:numId w:val="2"/>
        </w:numPr>
        <w:spacing w:after="80" w:line="280"/>
      </w:pPr>
      <w:r>
        <w:rPr>
          <w:sz w:val="22"/>
          <w:szCs w:val="22"/>
        </w:rPr>
        <w:t xml:space="preserve">光组件：包括光器件、光学子组件及晶体管外形金属罐封装组件</w:t>
      </w:r>
    </w:p>
    <w:p>
      <w:pPr>
        <w:pStyle w:val="ListParagraph"/>
        <w:numPr>
          <w:ilvl w:val="0"/>
          <w:numId w:val="2"/>
        </w:numPr>
        <w:spacing w:after="80" w:line="280"/>
      </w:pPr>
      <w:r>
        <w:rPr>
          <w:sz w:val="22"/>
          <w:szCs w:val="22"/>
        </w:rPr>
        <w:t xml:space="preserve">汽车光电子：主要用于车载光传输及光纤到车相关解决方案</w:t>
      </w:r>
    </w:p>
    <w:p>
      <w:pPr>
        <w:pStyle w:val="ListParagraph"/>
        <w:numPr>
          <w:ilvl w:val="0"/>
          <w:numId w:val="2"/>
        </w:numPr>
        <w:spacing w:after="80" w:line="280"/>
      </w:pPr>
      <w:r>
        <w:rPr>
          <w:sz w:val="22"/>
          <w:szCs w:val="22"/>
        </w:rPr>
        <w:t xml:space="preserve">下一代技术储备：硅光、相干光通信、XPO、LPO、LRO，并继续布局CPO和NPO等技术路线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际旭创位于光通信产业链中游，核心业务是光芯片、电子芯片、光器件和结构件等上游投入品的模块集成、封装、测试及规模化制造，向全球云服务商、AI基础设施客户、电信设备商及数据中心客户提供高速光通信收发模块和光互连解决方案。</w:t>
      </w:r>
    </w:p>
    <w:p>
      <w:pPr>
        <w:pStyle w:val="ListParagraph"/>
        <w:numPr>
          <w:ilvl w:val="0"/>
          <w:numId w:val="2"/>
        </w:numPr>
        <w:spacing w:after="80" w:line="280"/>
      </w:pPr>
      <w:r>
        <w:rPr>
          <w:sz w:val="22"/>
          <w:szCs w:val="22"/>
        </w:rPr>
        <w:t xml:space="preserve">主要采购类别包括光器件、集成电路芯片及结构件；其中光器件和芯片包括光发射器件、光接收器件、激光器、探测器、DSP及相关驱动芯片，结构件包括模块外壳、散热部件和连接器等。</w:t>
      </w:r>
    </w:p>
    <w:p>
      <w:pPr>
        <w:pStyle w:val="ListParagraph"/>
        <w:numPr>
          <w:ilvl w:val="0"/>
          <w:numId w:val="2"/>
        </w:numPr>
        <w:spacing w:after="80" w:line="280"/>
      </w:pPr>
      <w:r>
        <w:rPr>
          <w:sz w:val="22"/>
          <w:szCs w:val="22"/>
        </w:rPr>
        <w:t xml:space="preserve">主要原材料由第三方供应商提供，部分关键原材料来自海外采购。公司并非上游光芯片或电子芯片资源垄断者，在高端光芯片、DSP及部分关键器件供给偏紧时，具有一定价格接受者特征。</w:t>
      </w:r>
    </w:p>
    <w:p>
      <w:pPr>
        <w:pStyle w:val="ListParagraph"/>
        <w:numPr>
          <w:ilvl w:val="0"/>
          <w:numId w:val="2"/>
        </w:numPr>
        <w:spacing w:after="80" w:line="280"/>
      </w:pPr>
      <w:r>
        <w:rPr>
          <w:sz w:val="22"/>
          <w:szCs w:val="22"/>
        </w:rPr>
        <w:t xml:space="preserve">2025年度前五大供应商采购金额约人民币127.97亿元，占年度采购总额51.50%；第一大供应商采购金额约人民币88.86亿元，占采购总额35.76%。供应商名称经客户保密处理，无法据公开年报确认具体企业。</w:t>
      </w:r>
    </w:p>
    <w:p>
      <w:pPr>
        <w:pStyle w:val="ListParagraph"/>
        <w:numPr>
          <w:ilvl w:val="0"/>
          <w:numId w:val="2"/>
        </w:numPr>
        <w:spacing w:after="80" w:line="280"/>
      </w:pPr>
      <w:r>
        <w:rPr>
          <w:sz w:val="22"/>
          <w:szCs w:val="22"/>
        </w:rPr>
        <w:t xml:space="preserve">公司仍具备一定反向议价能力，来源包括全球采购规模、长期客户订单、较高产品出货量、供应商认证体系及中国内地、台湾和泰国的多地区产能布局。公司计划建立原材料多元化采购体系，以降低单一供应商和单一区域采购风险。</w:t>
      </w:r>
    </w:p>
    <w:p>
      <w:pPr>
        <w:pStyle w:val="ListParagraph"/>
        <w:numPr>
          <w:ilvl w:val="0"/>
          <w:numId w:val="2"/>
        </w:numPr>
        <w:spacing w:after="80" w:line="280"/>
      </w:pPr>
      <w:r>
        <w:rPr>
          <w:sz w:val="22"/>
          <w:szCs w:val="22"/>
        </w:rPr>
        <w:t xml:space="preserve">主要客户包括全球头部云服务厂商、AI计算解决方案提供商、电信设备商及数据中心客户。2025年度境外收入约人民币346.37亿元，占全年收入约90.6%，收入主要来自北美及其他海外市场。</w:t>
      </w:r>
    </w:p>
    <w:p>
      <w:pPr>
        <w:pStyle w:val="ListParagraph"/>
        <w:numPr>
          <w:ilvl w:val="0"/>
          <w:numId w:val="2"/>
        </w:numPr>
        <w:spacing w:after="80" w:line="280"/>
      </w:pPr>
      <w:r>
        <w:rPr>
          <w:sz w:val="22"/>
          <w:szCs w:val="22"/>
        </w:rPr>
        <w:t xml:space="preserve">公司以直销为主。2025年度直销收入约人民币377.39亿元，占总收入约98.7%。前五大客户销售额约人民币290.56亿元，占年度销售总额75.98%；第一大客户占比24.06%，第二至第五大客户占比分别为18.26%、14.22%、11.34%和8.10%。</w:t>
      </w:r>
    </w:p>
    <w:p>
      <w:pPr>
        <w:pStyle w:val="ListParagraph"/>
        <w:numPr>
          <w:ilvl w:val="0"/>
          <w:numId w:val="2"/>
        </w:numPr>
        <w:spacing w:after="80" w:line="280"/>
      </w:pPr>
      <w:r>
        <w:rPr>
          <w:sz w:val="22"/>
          <w:szCs w:val="22"/>
        </w:rPr>
        <w:t xml:space="preserve">上述客户集中度数据对应2025年度，客户在年报中以客户A至客户E代称，无法仅凭年报确认其具体对应企业；该数据来源主要为公司年报披露，未提供其他独立来源交叉核实，具体以最新年报为准。</w:t>
      </w:r>
    </w:p>
    <w:p>
      <w:pPr>
        <w:pStyle w:val="ListParagraph"/>
        <w:numPr>
          <w:ilvl w:val="0"/>
          <w:numId w:val="2"/>
        </w:numPr>
        <w:spacing w:after="80" w:line="280"/>
      </w:pPr>
      <w:r>
        <w:rPr>
          <w:sz w:val="22"/>
          <w:szCs w:val="22"/>
        </w:rPr>
        <w:t xml:space="preserve">下游大型云服务商和AI基础设施客户具有较强采购规模、认证能力和供应链管理能力，可能通过年度降价、供应商竞价、产品迭代及多供应商策略压制模块价格，公司不存在完全意义上的下游定价权。</w:t>
      </w:r>
    </w:p>
    <w:p>
      <w:pPr>
        <w:pStyle w:val="ListParagraph"/>
        <w:numPr>
          <w:ilvl w:val="0"/>
          <w:numId w:val="2"/>
        </w:numPr>
        <w:spacing w:after="80" w:line="280"/>
      </w:pPr>
      <w:r>
        <w:rPr>
          <w:sz w:val="22"/>
          <w:szCs w:val="22"/>
        </w:rPr>
        <w:t xml:space="preserve">高速光模块具有较高客户认证、交付速度、良率和稳定性门槛。800G及1.6T产品在AI算力基础设施快速扩张、合格供应商产能阶段性不足时，公司凭借大规模量产、长期认证和全球交付能力，具备一定供给侧议价能力。</w:t>
      </w:r>
    </w:p>
    <w:p>
      <w:pPr>
        <w:pStyle w:val="ListParagraph"/>
        <w:numPr>
          <w:ilvl w:val="0"/>
          <w:numId w:val="2"/>
        </w:numPr>
        <w:spacing w:after="80" w:line="280"/>
      </w:pPr>
      <w:r>
        <w:rPr>
          <w:sz w:val="22"/>
          <w:szCs w:val="22"/>
        </w:rPr>
        <w:t xml:space="preserve">营运资金证据显示，2024年应收账款周转率为6.64次，对应周转天数约55天；2023年为5.24次，对应约70天，2024年收款效率有所改善。2025年经营活动产生的现金流量净额约人民币108.96亿元，接近同期归属于母公司股东的净利润人民币107.97亿元；2025年海外光通信收发模块销售约人民币346.14亿元，回款率披露为98%。这些数据支持目前大客户信用质量和回款能力较强，但客户及供应商双向集中仍可能在客户资本开支放缓、客户导入替代供应商或核心器件供应受限时推高库存和营运资金压力。</w:t>
      </w:r>
    </w:p>
    <w:p>
      <w:pPr>
        <w:pStyle w:val="ListParagraph"/>
        <w:numPr>
          <w:ilvl w:val="0"/>
          <w:numId w:val="2"/>
        </w:numPr>
        <w:spacing w:after="80" w:line="280"/>
      </w:pPr>
      <w:r>
        <w:rPr>
          <w:sz w:val="22"/>
          <w:szCs w:val="22"/>
        </w:rPr>
        <w:t xml:space="preserve">公司存在明显的“双向集中”：上游2025年度前五大供应商占采购额51.50%、第一大供应商占35.76%；下游2025年度前五大客户占销售额75.98%、第一大客户占24.06%。供应商和客户名称均存在匿名化处理，集中度数据主要来自公司年报，未能以其他独立来源交叉核实，具体以最新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约12.80%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公司仍处于传统通信及数据中心光模块业务阶段，高速产品占比和AI算力需求尚未全面释放，利润率相对较低。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约20.60%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400G及更高速产品出货增加，产品结构改善，规模效应增强，带动毛利率和净利率明显提升。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约33.80%至33.81%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约22.51%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高端数通光模块持续放量，光通信收发模块收入达到人民币228.86亿元、业务毛利率34.65%，海外收入占比约86.81%，产品结构和规模效应继续改善。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约42.04%；光通信收发模块业务毛利率42.61%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约28.2%至30.28%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800G及1.6T等高端产品占比提升、硅光方案渗透、良率改善、规模效应及海外产能效率提升共同推动利润率上升；不同数据库的净利率存在口径差异，具体以经审计年报为准。</w:t>
            </w:r>
          </w:p>
        </w:tc>
      </w:tr>
    </w:tbl>
    <w:p>
      <w:pPr>
        <w:spacing w:before="200"/>
      </w:pPr>
    </w:p>
    <w:p>
      <w:pPr>
        <w:spacing w:after="160" w:line="300"/>
      </w:pPr>
      <w:r>
        <w:rPr>
          <w:sz w:val="22"/>
          <w:szCs w:val="22"/>
        </w:rPr>
        <w:t xml:space="preserve">公司处于光通信产业链中游，属于以高速光模块研发、封装、测试和规模制造为核心的高端制造商，既不是上游光芯片资源垄断者，也不是拥有终端品牌溢价的下游企业。当前利润改善主要依赖800G及1.6T产品升级、客户认证和份额提升、规模化量产、良率改善、硅光渗透及全球化产能布局；若产品价格下降、1.6T放量不及预期或行业扩产导致供需重新平衡，毛利率存在回落风险。</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人民币417.78亿元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同比增长182.49%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归母净利润人民币136.51亿元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同比增长241.70%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2025年全年（截至2025年12月31日）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人民币382.40亿元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归母净利润人民币107.97亿元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同比增长108.78%</w:t>
            </w:r>
          </w:p>
        </w:tc>
      </w:tr>
    </w:tbl>
    <w:p>
      <w:pPr>
        <w:spacing w:after="200"/>
      </w:pPr>
      <w:r>
        <w:rPr>
          <w:i/>
          <w:iCs/>
          <w:color w:val="595959"/>
          <w:sz w:val="18"/>
          <w:szCs w:val="18"/>
        </w:rPr>
        <w:t xml:space="preserve">2026年上半年数据来自公司2026年半年度报告；2025年全年数据来自公司2025年年度报告。金额以人民币计价。2026年上半年扣非归母净利润为人民币130.92亿元，同比增长229.32%；营业利润为人民币172.31亿元，同比增长253.30%；经营活动现金流量净额为人民币18.00亿元，同比增长44.08%；基本每股收益为人民币12.31元。2025年扣非归母净利润为人民币107.10亿元，同比增长111.31%；经营活动现金流量净额为人民币108.96亿元，同比增长244.31%；基本每股收益为人民币9.80元。</w:t>
      </w:r>
    </w:p>
    <w:p>
      <w:pPr>
        <w:spacing w:after="160" w:line="300"/>
      </w:pPr>
      <w:r>
        <w:rPr>
          <w:sz w:val="22"/>
          <w:szCs w:val="22"/>
        </w:rPr>
        <w:t xml:space="preserve">公司2026年上半年收入和归母净利润均实现大幅增长，且净利润增速高于收入增速。公司解释，增长主要受AI大客户持续增加算力基础设施投入、800G及1.6T产品出货快速增长、产品结构升级及运营效率提升推动。该趋势可能反映高端产品占比、毛利率或经营杠杆改善，但完整利润率拆分并未在纪要中单独披露。2025年光通信收发模块及器件主营业务收入约人民币381.55亿元，其中光通信收发模块收入约人民币373.74亿元，仍为绝对核心业务。</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页面显示，净利润及EPS汇总主要由高盛和野村两家机构构成，不代表覆盖面广泛的港股卖方一致预期。高盛分机构预测的2026年至2028年归母净利润分别为人民币404.32亿元、869.03亿元和1,371.10亿元，EPS分别为人民币35.15元、74.29元和117.21元；野村分机构预测分别为人民币358.44亿元、763.41亿元和1,141.72亿元，EPS分别为人民币30.74元、65.47元和97.91元。高盛收入预测为单一机构数据，可靠性低于净利润汇总。此前针对A股的收入预测与港股覆盖版本存在差异，不应简单混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人民币约1,319亿元（高盛单一机构预测）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人民币381.38亿元（经济通少数机构汇总；预测区间人民币358.44亿至404.32亿元）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人民币32.945元（汇总；预测区间人民币30.74至35.15元）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人民币约2,767亿元（高盛单一机构预测）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人民币816.22亿元（经济通少数机构汇总；预测区间人民币763.41亿至869.03亿元）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人民币69.88元（汇总；预测区间人民币65.47至74.29元）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人民币约4,178亿元（高盛单一机构预测）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人民币1,256.41亿元（经济通少数机构汇总；预测区间人民币1,141.72亿至1,371.10亿元）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人民币107.56元（汇总；预测区间人民币97.91至117.21元）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港股目标价为每股3,267港元；预测2026年至2028年归母净利润分别为人民币404.32亿元、869.03亿元和1,371.10亿元，属于相对乐观情景。</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野村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港股目标价为每股1,595港元；预测2026年至2028年归母净利润分别为人民币358.44亿元、763.41亿元和1,141.72亿元，相对高盛更为保守。</w:t>
            </w:r>
          </w:p>
        </w:tc>
      </w:tr>
    </w:tbl>
    <w:p>
      <w:pPr>
        <w:spacing w:before="200"/>
      </w:pPr>
    </w:p>
    <w:p>
      <w:pPr>
        <w:spacing w:after="160" w:line="300"/>
      </w:pPr>
      <w:r>
        <w:rPr>
          <w:sz w:val="22"/>
          <w:szCs w:val="22"/>
        </w:rPr>
        <w:t xml:space="preserve">截至2026年9月上旬，经济通显示03308报价约1,161港元，港股市值约753.98亿港元；理杏仁以2026年9月9日收盘价1,173港元计，总市值约1.38万亿港元、H股市值约735.18亿港元。两者统计口径不同，不能直接比较。估值数据亦存在明显差异：经济通全年口径市盈率约106.1倍，理杏仁显示2026年9月9日市盈率约59.01倍、市净率约29.99倍、股息率约0.12%，微牛显示市盈率TTM约57.823倍。差异可能来自静态PE、TTM PE、中期年化口径、盈利更新时间、A+H股本换算及人民币兑港元汇率等因素。以股价约1,161至1,173港元参照，按2025年实际盈利计算的PE约在100倍左右；若采用2026年至2028年机构预测EPS并进行人民币兑港元换算，远期PE将明显下降，但前提是高增长预测能够兑现。当前估值已包含800G、1.6T、硅光及后续更高速率产品持续放量的较高预期，主要风险包括AI数据中心资本开支放缓、1.6T放量低于预期、产品价格下降、客户集中度风险及行业供给增加导致的价格竞争。</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股份回购持续实施：截至9月10日累计回购A股2,926,917股</w:t>
      </w:r>
    </w:p>
    <w:p>
      <w:pPr>
        <w:spacing w:after="160" w:line="300"/>
      </w:pPr>
      <w:r>
        <w:rPr>
          <w:sz w:val="22"/>
          <w:szCs w:val="22"/>
        </w:rPr>
        <w:t xml:space="preserve">中际旭创于2026年9月1日启动此前公布的股份回购计划，回购地点为深圳证券交易所，回购股份为A股，暂作为库存股份，尚未注销。截至2026年9月10日，公司连续7个交易日实施回购，累计回购A股2,926,917股，约占公司总股本0.26%，累计支付金额约人民币25.22亿元。各交易日回购情况为：2026年9月1日回购374,100股，价格区间为每股人民币838.16元至870.00元，支付金额约人民币3.184亿元；9月2日回购358,400股，价格区间为每股人民币818.04元至829.36元，支付金额约人民币2.950亿元；9月3日回购233,100股，价格区间为每股人民币806.93元至819.00元，支付金额约人民币1.900亿元；9月4日回购619,600股，价格区间为每股人民币815.68元至832.00元，支付金额约人民币5.100亿元；9月8日回购436,500股，价格区间为每股人民币898.00元至918.00元，支付金额约人民币3.950亿元；9月9日回购239,022股，价格区间为每股人民币903.51元至913.59元，支付金额约人民币2.170亿元；9月10日回购666,195股，价格区间为每股人民币889.08元至904.36元，支付金额约人民币5.970亿元。回购计划规模为不低于人民币40亿元且不超过人民币80亿元，最高回购价格为每股人民币1,200元，回购股份拟用于股权激励计划或员工持股计划，资金来源为自有资金或自筹资金。由于回购股份主要作为库存股份，短期对每股收益的增厚作用有限，主要作用偏向于稳定市场预期及支持后续股权激励或员工持股安排。港交所披露易同步披露相关翌日股份变动报告，港股H股市场本身未出现回购交易。</w:t>
      </w:r>
    </w:p>
    <w:p>
      <w:pPr>
        <w:pStyle w:val="Heading2"/>
        <w:spacing w:after="120" w:before="240"/>
      </w:pPr>
      <w:r>
        <w:rPr>
          <w:b/>
          <w:bCs/>
          <w:color w:val="2E74B5"/>
          <w:sz w:val="24"/>
          <w:szCs w:val="24"/>
        </w:rPr>
        <w:t xml:space="preserve">4.2 2026年中期报告：收入及归母利润保持高速增长</w:t>
      </w:r>
    </w:p>
    <w:p>
      <w:pPr>
        <w:spacing w:after="160" w:line="300"/>
      </w:pPr>
      <w:r>
        <w:rPr>
          <w:sz w:val="22"/>
          <w:szCs w:val="22"/>
        </w:rPr>
        <w:t xml:space="preserve">港交所于2026年9月11日披露中际旭创截至2026年6月30日止六个月的2026年中期报告，数据未经审计。期内营业收入为人民币417.77862亿元，2025年同期为人民币147.89075亿元，同比增长约182.5%；归属于公司拥有人利润为人民币136.51150亿元，2025年同期为人民币39.95115亿元，同比增长约241.7%；期内利润合计为人民币147.33426亿元，其中归属于公司拥有人部分为人民币136.51150亿元，非控股权益应占人民币10.82276亿元。基本每股收益为人民币12.31元，2025年同期为人民币3.64元；摊薄每股收益为人民币12.19元，2025年同期为人民币3.60元。公司称，业绩增长主要受主要客户加大AI基础设施投资，以及800G、1.6T等高速光模块需求增长带动。</w:t>
      </w:r>
    </w:p>
    <w:p>
      <w:pPr>
        <w:pStyle w:val="Heading2"/>
        <w:spacing w:after="120" w:before="240"/>
      </w:pPr>
      <w:r>
        <w:rPr>
          <w:b/>
          <w:bCs/>
          <w:color w:val="2E74B5"/>
          <w:sz w:val="24"/>
          <w:szCs w:val="24"/>
        </w:rPr>
        <w:t xml:space="preserve">4.3 业务及地区收入结构：光模块和海外业务占比较高</w:t>
      </w:r>
    </w:p>
    <w:p>
      <w:pPr>
        <w:spacing w:after="160" w:line="300"/>
      </w:pPr>
      <w:r>
        <w:rPr>
          <w:sz w:val="22"/>
          <w:szCs w:val="22"/>
        </w:rPr>
        <w:t xml:space="preserve">2026年上半年，公司光模块收入为人民币413.55212亿元，占总收入约99.0%；其他业务收入为人民币4.22650亿元，占比约1.0%。按地区划分，中国内地收入为人民币21.63201亿元，占总收入约5.2%；中国内地以外地区及其他国家收入为人民币396.14661亿元，占比约94.8%。公司在中期报告中表示，2021年至2025年连续五年位居全球光互连解决方案市场收入规模第一，但该排名为公司引用灼识咨询资料作出的表述，并非本次港交所公告中的独立监管认定。业务高度集中于光模块，海外收入占比较高，后续业绩可能受到AI数据中心资本开支、产品迭代、供应链、海外贸易政策及汇率波动影响。</w:t>
      </w:r>
    </w:p>
    <w:p>
      <w:pPr>
        <w:pStyle w:val="Heading2"/>
        <w:spacing w:after="120" w:before="240"/>
      </w:pPr>
      <w:r>
        <w:rPr>
          <w:b/>
          <w:bCs/>
          <w:color w:val="2E74B5"/>
          <w:sz w:val="24"/>
          <w:szCs w:val="24"/>
        </w:rPr>
        <w:t xml:space="preserve">4.4 实际控制人新增质押72.8万股</w:t>
      </w:r>
    </w:p>
    <w:p>
      <w:pPr>
        <w:spacing w:after="160" w:line="300"/>
      </w:pPr>
      <w:r>
        <w:rPr>
          <w:sz w:val="22"/>
          <w:szCs w:val="22"/>
        </w:rPr>
        <w:t xml:space="preserve">公司于2026年9月2日披露，实际控制人王伟修近期合计质押股份72.8万股，主要用于偿还债务。其中，2026年8月31日质押55.3万股，质押期限至2027年8月31日；2026年9月1日质押17.5万股，质押期限至2027年8月3日。合计质押股份占王伟修所持股份约1.04%，占公司总股本约0.06%。截至2026年9月1日，王伟修及其一致行动人合计持股约1.9334亿股，占公司总股本约16.41%；累计质押股份约667.8万股，占公司总股本约0.57%。</w:t>
      </w:r>
    </w:p>
    <w:p>
      <w:pPr>
        <w:pStyle w:val="Heading2"/>
        <w:spacing w:after="120" w:before="240"/>
      </w:pPr>
      <w:r>
        <w:rPr>
          <w:b/>
          <w:bCs/>
          <w:color w:val="2E74B5"/>
          <w:sz w:val="24"/>
          <w:szCs w:val="24"/>
        </w:rPr>
        <w:t xml:space="preserve">4.5 实际控制人及控股股东部分解除质押</w:t>
      </w:r>
    </w:p>
    <w:p>
      <w:pPr>
        <w:spacing w:after="160" w:line="300"/>
      </w:pPr>
      <w:r>
        <w:rPr>
          <w:sz w:val="22"/>
          <w:szCs w:val="22"/>
        </w:rPr>
        <w:t xml:space="preserve">公司于2026年9月4日披露，王伟修于2026年9月3日解除质押135万股，占其所持股份约1.94%，占公司总股本约0.11%。截至相关公告日，王伟修及其一致行动人合计质押股份约532.8万股，占其合计持股约0.45%。公司于2026年9月8日披露，控股股东山东中际投资控股有限公司于2026年9月7日解除质押200万股，占其所持股份约1.65%，占公司总股本约0.17%。截至公告日，中际控股及其一致行动人合计持股约1.9334亿股，占公司总股本约16.41%；累计质押股份约332.8万股，占其合计持股约1.72%，占公司总股本约0.28%。</w:t>
      </w:r>
    </w:p>
    <w:p>
      <w:pPr>
        <w:pStyle w:val="Heading2"/>
        <w:spacing w:after="120" w:before="240"/>
      </w:pPr>
      <w:r>
        <w:rPr>
          <w:b/>
          <w:bCs/>
          <w:color w:val="2E74B5"/>
          <w:sz w:val="24"/>
          <w:szCs w:val="24"/>
        </w:rPr>
        <w:t xml:space="preserve">4.6 特定股东苏州益兴福新增及解除质押</w:t>
      </w:r>
    </w:p>
    <w:p>
      <w:pPr>
        <w:spacing w:after="160" w:line="300"/>
      </w:pPr>
      <w:r>
        <w:rPr>
          <w:sz w:val="22"/>
          <w:szCs w:val="22"/>
        </w:rPr>
        <w:t xml:space="preserve">公司于2026年9月8日披露，特定股东苏州益兴福企业管理中心（有限合伙）新增质押合计104.8万股，同时解除质押20万股。其中，向中信证券质押70万股，期限为2026年9月7日至2028年9月7日，用途为偿还债务；向华泰证券质押34.8万股，期限为2026年9月8日至2027年9月8日，用途为股权投资。截至相关公告日，益兴福及其一致行动人合计持股约9541.2万股，占公司总股本约8.10%；累计质押股份约1243.2万股，占其合计持股约13.03%，占公司总股本约1.06%。</w:t>
      </w:r>
    </w:p>
    <w:p>
      <w:pPr>
        <w:pStyle w:val="Heading2"/>
        <w:spacing w:after="120" w:before="240"/>
      </w:pPr>
      <w:r>
        <w:rPr>
          <w:b/>
          <w:bCs/>
          <w:color w:val="2E74B5"/>
          <w:sz w:val="24"/>
          <w:szCs w:val="24"/>
        </w:rPr>
        <w:t xml:space="preserve">4.7 向控股子公司提供不超过人民币5,100万元财务资助</w:t>
      </w:r>
    </w:p>
    <w:p>
      <w:pPr>
        <w:spacing w:after="160" w:line="300"/>
      </w:pPr>
      <w:r>
        <w:rPr>
          <w:sz w:val="22"/>
          <w:szCs w:val="22"/>
        </w:rPr>
        <w:t xml:space="preserve">公司于2026年9月4日披露，拟向控股子公司广东深度智冷科技有限公司提供不超过人民币5,100万元财务资助，年利率为2.70%，期限为12个月，资金来源为自有资金或自筹资金，用于深度智冷生产经营，不得挪作他用，到期一次性还本付息。深度智冷注册资本为人民币1亿元，公司持有其51%股权，并纳入合并报表范围。该事项金额相对公司整体资产及经营规模较小，主要属于对子公司的经营性资金支持。</w:t>
      </w:r>
    </w:p>
    <w:p>
      <w:pPr>
        <w:pStyle w:val="Heading2"/>
        <w:spacing w:after="120" w:before="240"/>
      </w:pPr>
      <w:r>
        <w:rPr>
          <w:b/>
          <w:bCs/>
          <w:color w:val="2E74B5"/>
          <w:sz w:val="24"/>
          <w:szCs w:val="24"/>
        </w:rPr>
        <w:t xml:space="preserve">4.8 中期股息进入除息及登记阶段</w:t>
      </w:r>
    </w:p>
    <w:p>
      <w:pPr>
        <w:spacing w:after="160" w:line="300"/>
      </w:pPr>
      <w:r>
        <w:rPr>
          <w:sz w:val="22"/>
          <w:szCs w:val="22"/>
        </w:rPr>
        <w:t xml:space="preserve">公司中期股息公告虽于2026年8月21日发布，但相关除息及登记安排发生在9月。中期股息为每10股人民币12元，港股派付金额为每10股港币13.8766元，采用汇率人民币1元兑港币1.15639元。除息日为2026年9月3日，记录日期为2026年9月10日，派付日期为2026年10月9日。</w:t>
      </w:r>
    </w:p>
    <w:p>
      <w:pPr>
        <w:pStyle w:val="Heading2"/>
        <w:spacing w:after="120" w:before="240"/>
      </w:pPr>
      <w:r>
        <w:rPr>
          <w:b/>
          <w:bCs/>
          <w:color w:val="2E74B5"/>
          <w:sz w:val="24"/>
          <w:szCs w:val="24"/>
        </w:rPr>
        <w:t xml:space="preserve">4.9 其他公告核查及综合判断</w:t>
      </w:r>
    </w:p>
    <w:p>
      <w:pPr>
        <w:spacing w:after="160" w:line="300"/>
      </w:pPr>
      <w:r>
        <w:rPr>
          <w:sz w:val="22"/>
          <w:szCs w:val="22"/>
        </w:rPr>
        <w:t xml:space="preserve">截至2026年9月13日，研究纪要所述2026年9月港交所披露易及公司公告中，未发现新的重大并购、资产重组或发行股份收购事项，未发现新的业绩预警、业绩下修或盈利预警公告，未发现公司层面的重大监管处罚或停牌事项。近期公告主要集中于A股回购、2026年中期报告、股东质押及解除质押、向控股子公司提供财务资助，以及中期股息登记安排。综合来看，截至2026年9月13日，03308中际旭创消息面偏正面，主要催化包括截至9月10日累计约人民币25.22亿元的大额回购，以及2026年上半年收入同比增长约182.5%、归属于公司拥有人利润同比增长约241.7%。潜在风险包括AI数据中心资本开支和1.6T光模块放量的不确定性、业务高度集中于光模块、海外收入占比约94.8%、海外客户及贸易政策风险、股东新增质押，以及中期报告未经审计可能带来的后续审计调整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收市价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1,170.00港元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上涨49.00港元，涨幅4.37%；按港股惯例为红涨</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开市价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1,121.00港元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日内高低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1,118.00至1,203.00港元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约325.5万股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约37.87亿港元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已发行股份</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约11.779亿股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约1.378万亿港元；按收市价乘以公开股本估算，平台显示约1.32万亿至1.43万亿港元，存在口径差异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相对港股上市发行价表现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较980.00港元上涨约19.39%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上市以来高低点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高点1,319.00港元，见于2026年8月18日；低点约880.00港元，但不同数据源亦显示约980.00港元，低点数据存在不确定性</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约1,165.6港元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收市价1,170.00港元，高于MA5约4.4港元，短线价格重新站上5日均线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约1,088.9港元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收市价高于MA10约81.1港元，短线动能偏强，但后续仍需观察能否维持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约1,092.1港元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收市价高于MA20约77.9港元，价格处于20日均线之上</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中轨约1,092港元；上轨约1,259港元；下轨约925港元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收市价位于中轨与上轨之间，属于中轨上方偏强位置，但尚未形成对上轨的明显突破；近期波动率较高，布林带区间较宽，单独使用的判断可靠性有限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短线动能偏强，已接近70但尚未明显超过70；若价格不能继续创新高而RSI维持高位，需留意动能钝化或顶背离风险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截至2026年9月11日缺乏可直接复核的DIF、DEA及柱状图数值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价格重新站上MA10及MA20，显示短线指标可能处于修复或重新向上阶段，但不能据此确认金叉或持续性牛差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上市以来走势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2026年9月7日上涨19.58%至1,203.00港元，成交量约395.7万股；9月10日收于1,121.00港元，下跌4.43%；9月11日反弹4.37%至1,170.00港元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上市后呈现急升急跌及宽幅震荡特征；9月11日反弹尚未重新突破1,203至1,239港元压力区，距离上市以来高点1,319.00港元仍低约11.3%</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港股H股口径换手率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约5.19%；以约325.5万股成交量及约6,267.5万股H股计算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较整体股本口径约0.28%更能反映港股交易活跃度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整体股本口径换手率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约0.28%；以约11.779亿股已发行股份计算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与H股口径不同，不宜直接混用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沽空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2026年9月11日沽空股数约14.13万股，沽空金额约1.65亿港元，占当日成交额约4.34%；9月8日至9月10日分别约为16.95%、15.98%及18.38%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9月11日反弹同时沽空比例下降，短线情绪有所改善；此前较高比例显示多空博弈仍然激烈</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港股通持仓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截至2026年9月7日约占H股5.64%；另一页面显示截至9月8日约为6.01%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数据存在更新时间差异；03308自2026年8月27日起纳入沪港通及深港通标的，南向资金可能提高交易活跃度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部分平台按TTM口径显示动态PE约56至57倍；另有平台显示约102.8至103.4倍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不同平台在TTM、年化中期盈利、A/H股本、汇率及更新时间等方面存在口径差异，不宜使用单一PE数字作估值结论</w:t>
            </w:r>
          </w:p>
        </w:tc>
      </w:tr>
    </w:tbl>
    <w:p>
      <w:pPr>
        <w:spacing w:before="200"/>
      </w:pPr>
    </w:p>
    <w:p>
      <w:pPr>
        <w:spacing w:after="160" w:line="300"/>
      </w:pPr>
      <w:r>
        <w:rPr>
          <w:sz w:val="22"/>
          <w:szCs w:val="22"/>
        </w:rPr>
        <w:t xml:space="preserve">03308于2026年7月30日在港股上市，历史交易样本不足两个月，技术指标稳定性低于具有多年交易历史的股票。2026年9月11日收市价为1,170.00港元，重新站上MA5、MA10及MA20，且位于布林中轨上方，短线技术动能偏强；但RSI约67、股价仍未突破1,203至1,239港元压力区，且上市后经历较大幅度急升急跌，暂不能据此确认新一轮单边上升。成交额由9月8日至10日的约18.36亿至24.12亿港元，回升至9月11日约37.87亿港元；沽空占比则由此前约16%至18%降至约4.34%，反映当日反弹伴随短线情绪改善，但个股资金交换仍较激烈。港股不存在与A股完全同口径的官方“主力资金净流入”指标，应结合成交额、港股通持仓、沽空比例及价格量能关系观察。52周低点及PE等数据存在平台口径差异，相关结论需结合正式行情终端进一步复核。</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风险提示：以下内容仅为基于截至2026年9月11日收市数据的主观技术情景推演，不构成投资建议，也不是单点价格预测。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1,200至1,240港元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对应9月7日收市1,203港元、9月9日高点1,239港元及近期反弹后的压力区域。若收盘有效突破1,240港元并伴随成交额明显放大，下一观察区可上移至1,260至1,320港元，接近布林上轨约1,259港元及上市以来高点1,319港元。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1,110至1,160港元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对应9月10日收市1,121港元、9月11日低点1,118港元及MA5约1,165.6港元。若失守1,110港元，短线可能重新测试MA20约1,092港元及1,050港元附近的前期成交区域。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1,000至1,050港元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对应9月1日至9月4日约995至1,035港元的整理平台。若有效跌穿该区域，下一下行观察区可能下移至925至980港元，接近布林下轨约925港元及上市后较低成交区域。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形态、成交量及沽空数据的主观启发式权重，不是统计概率）：观察区间约1,110至1,240港元。触发条件包括股价守住1,110至1,160港元但未能持续突破1,240港元，单日成交额大致维持在18亿至30亿港元，且AI及光通信板块没有出现明显单边行情。若出现该情景，股价可能围绕MA5、MA10及布林中轨上方反复波动，属于高波动整理，不能视为已确认单边上升。</w:t>
      </w:r>
    </w:p>
    <w:p>
      <w:pPr>
        <w:pStyle w:val="ListParagraph"/>
        <w:numPr>
          <w:ilvl w:val="0"/>
          <w:numId w:val="2"/>
        </w:numPr>
        <w:spacing w:after="80" w:line="280"/>
      </w:pPr>
      <w:r>
        <w:rPr>
          <w:sz w:val="22"/>
          <w:szCs w:val="22"/>
        </w:rPr>
        <w:t xml:space="preserve">偏弱下行（权重中等，约两成至三成；为主观启发式权重，不是统计概率）：观察区间约1,000至1,110港元。触发条件包括收盘跌破1,110港元、成交额放大但价格收跌、沽空占成交比例重新升至约15%或更高、光通信及AI硬件板块同步转弱，或南向资金及港股通持仓出现连续减持迹象。若进一步跌破1,000至1,050港元强支撑区，技术结构可能转弱，并增加向925至980港元区间回撤的风险。</w:t>
      </w:r>
    </w:p>
    <w:p>
      <w:pPr>
        <w:pStyle w:val="ListParagraph"/>
        <w:numPr>
          <w:ilvl w:val="0"/>
          <w:numId w:val="2"/>
        </w:numPr>
        <w:spacing w:after="80" w:line="280"/>
      </w:pPr>
      <w:r>
        <w:rPr>
          <w:sz w:val="22"/>
          <w:szCs w:val="22"/>
        </w:rPr>
        <w:t xml:space="preserve">反弹走强（权重偏低至中等，约两成左右；为主观启发式权重，不是统计概率）：观察区间约1,240至1,320港元。触发条件包括收盘有效突破1,240港元、单日成交额持续放大至约35亿港元或以上、价格上涨同时沽空占比不明显上升、光通信及AI硬件板块同步走强，以及后续交易日能够守住1,200港元上方而非冲高回落。若条件满足，可进一步观察布林上轨约1,259港元及上市以来高点1,319港元；但1,319港元附近属于较强压力区，不能仅凭一次放量上涨认定突破成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11日成交量约325.5万股，按约6,267.5万股H股计算，H股口径换手率约5.19%；按约11.779亿股总发行股本计算，整体换手率约0.28%，两者分母不同。近期成交额约18亿至45亿港元，9月11日约37.87亿港元，流动性高于一般小型港股，但由于股价单价较高且日内波动区间较大，买卖盘价格跳动及冲击成本仍可能明显。股东结构数据主要来自港股上市初期及2026年8月披露：山东中际投资控股有限公司持有约10.38%总股本，王伟修直接持有约5.96%，苏州益兴福企业管理中心持有约3.99%，苏州云昌锦企业管理中心持有约2.04%；王伟修及关连人士合计持有约16.34%的A股，刘圣及关连人士合计持有约6.34%的A股；Aspex Management于2026年8月10日披露持有约386.79万股H股，占H股约7.09%。目前公开资料显示股权结构以控制股东及管理层持股、H股基石或机构投资者、港股通及券商托管账户构成；尚未形成足够长的港股前十大股东季度观察序列，且部分机构持股数据存在时滞，不能完全代表2026年9月11日的实时持仓结构。具体可检查的量能信号为：若股价向上突破1,240港元，并且单日成交额连续至少一个交易日达到约35亿港元以上，同时收盘价未明显回落至1,200港元下方，可视为短线资金参与度增强的确认信号；若成交额放大但收盘重新跌回1,200港元下方，则更接近冲高换手或分歧放大，而非明确突破。</w:t>
      </w:r>
    </w:p>
    <w:p>
      <w:pPr>
        <w:spacing w:after="160" w:line="300"/>
      </w:pPr>
      <w:r>
        <w:rPr>
          <w:sz w:val="22"/>
          <w:szCs w:val="22"/>
        </w:rPr>
        <w:t xml:space="preserve">量能确认信号：若突破1,240港元时单日成交额达到约35亿港元以上，且收盘未明显回落至1,200港元下方，可观察为资金参与度增强；若放量后收盘跌回1,200港元下方，则需留意冲高换手或分歧放大。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观察1,200至1,240港元压力区能否由收盘价有效突破，并结合成交额是否达到约35亿港元以上判断量价配合；以上为观察思路，非操作指令。</w:t>
      </w:r>
    </w:p>
    <w:p>
      <w:pPr>
        <w:pStyle w:val="ListParagraph"/>
        <w:numPr>
          <w:ilvl w:val="0"/>
          <w:numId w:val="2"/>
        </w:numPr>
        <w:spacing w:after="80" w:line="280"/>
      </w:pPr>
      <w:r>
        <w:rPr>
          <w:sz w:val="22"/>
          <w:szCs w:val="22"/>
        </w:rPr>
        <w:t xml:space="preserve">观察1,110至1,160港元区域能否提供短线支撑，以及失守1,110港元后对MA20约1,092港元和1,050港元附近区域的测试情况；以上为观察思路，非操作指令。</w:t>
      </w:r>
    </w:p>
    <w:p>
      <w:pPr>
        <w:pStyle w:val="ListParagraph"/>
        <w:numPr>
          <w:ilvl w:val="0"/>
          <w:numId w:val="2"/>
        </w:numPr>
        <w:spacing w:after="80" w:line="280"/>
      </w:pPr>
      <w:r>
        <w:rPr>
          <w:sz w:val="22"/>
          <w:szCs w:val="22"/>
        </w:rPr>
        <w:t xml:space="preserve">若跌破1,000至1,050港元，观察向925至980港元区间回撤的可能性；以上为观察思路，非操作指令。</w:t>
      </w:r>
    </w:p>
    <w:p>
      <w:pPr>
        <w:pStyle w:val="ListParagraph"/>
        <w:numPr>
          <w:ilvl w:val="0"/>
          <w:numId w:val="2"/>
        </w:numPr>
        <w:spacing w:after="80" w:line="280"/>
      </w:pPr>
      <w:r>
        <w:rPr>
          <w:sz w:val="22"/>
          <w:szCs w:val="22"/>
        </w:rPr>
        <w:t xml:space="preserve">关注成交额放大时沽空占比是否同步下降，以及光通信、AI硬件板块和港股通持仓变化是否配合；以上为观察思路，非操作指令。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模块行业位于AI算力基础设施和数据中心网络设备产业链中游。上游包括光芯片、电芯片、DSP、晶圆、光器件和结构件；中游包括光模块、光引擎及光互连解决方案；下游包括云服务商、AI算力服务商、服务器及交换机厂商、电信设备商和数据中心运营商。行业增长主要由AI训练和推理集群扩容、数据中心交换机由400G向800G及1.6T升级、GPU集群互连带宽需求提升、云服务商数据中心资本开支增加，以及硅光、LPO、CPO等技术迭代推动。</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根据公司招股资料引用的灼识咨询数据，中际旭创自2021年以来连续五年位居全球光互连解决方案市场收入规模第一；2025年在整体光互连解决方案市场的份额约21.2%，在高速数通光互连解决方案市场的份额约28.1%。</w:t>
      </w:r>
    </w:p>
    <w:p>
      <w:pPr>
        <w:pStyle w:val="ListParagraph"/>
        <w:numPr>
          <w:ilvl w:val="0"/>
          <w:numId w:val="2"/>
        </w:numPr>
        <w:spacing w:after="80" w:line="280"/>
      </w:pPr>
      <w:r>
        <w:rPr>
          <w:sz w:val="22"/>
          <w:szCs w:val="22"/>
        </w:rPr>
        <w:t xml:space="preserve">上述市场份额受统计范围和口径影响，可能涉及是否包含电信模块、是否只统计光模块，以及按收入还是出货量统计等差异，不宜与其他机构数据直接横向比较。</w:t>
      </w:r>
    </w:p>
    <w:p>
      <w:pPr>
        <w:pStyle w:val="ListParagraph"/>
        <w:numPr>
          <w:ilvl w:val="0"/>
          <w:numId w:val="2"/>
        </w:numPr>
        <w:spacing w:after="80" w:line="280"/>
      </w:pPr>
      <w:r>
        <w:rPr>
          <w:sz w:val="22"/>
          <w:szCs w:val="22"/>
        </w:rPr>
        <w:t xml:space="preserve">LightCounting披露，2025年全球光收发模块销售额约238亿美元，同比上升55%；该机构将中际旭创、新易盛、Coherent、Lumentum、海信宽带及其他厂商列为全球主要光模块供应商。</w:t>
      </w:r>
    </w:p>
    <w:p>
      <w:pPr>
        <w:pStyle w:val="ListParagraph"/>
        <w:numPr>
          <w:ilvl w:val="0"/>
          <w:numId w:val="2"/>
        </w:numPr>
        <w:spacing w:after="80" w:line="280"/>
      </w:pPr>
      <w:r>
        <w:rPr>
          <w:sz w:val="22"/>
          <w:szCs w:val="22"/>
        </w:rPr>
        <w:t xml:space="preserve">行业竞争向头部集中，主要原因包括高速率产品研发和验证周期较长、云厂商客户认证门槛较高、800G和1.6T产品对量产测试及良率能力要求较高，以及高端光芯片、DSP和部分关键器件供应存在约束。</w:t>
      </w:r>
    </w:p>
    <w:p>
      <w:pPr>
        <w:pStyle w:val="ListParagraph"/>
        <w:numPr>
          <w:ilvl w:val="0"/>
          <w:numId w:val="2"/>
        </w:numPr>
        <w:spacing w:after="80" w:line="280"/>
      </w:pPr>
      <w:r>
        <w:rPr>
          <w:sz w:val="22"/>
          <w:szCs w:val="22"/>
        </w:rPr>
        <w:t xml:space="preserve">海外交付、出口合规和多区域制造能力逐渐成为订单获取条件。中际旭创在中国内地、台湾和泰国进行产能布局，以增强海外交付能力、供应链韧性及对贸易政策的应对能力。</w:t>
      </w:r>
    </w:p>
    <w:p>
      <w:pPr>
        <w:pStyle w:val="ListParagraph"/>
        <w:numPr>
          <w:ilvl w:val="0"/>
          <w:numId w:val="2"/>
        </w:numPr>
        <w:spacing w:after="80" w:line="280"/>
      </w:pPr>
      <w:r>
        <w:rPr>
          <w:sz w:val="22"/>
          <w:szCs w:val="22"/>
        </w:rPr>
        <w:t xml:space="preserve">行业仍具有周期性和技术迭代风险。800G及1.6T产品价格和技术路线可能变化，CPO、NPO、LPO等方案可能改变传统可插拔光模块的价值分配；云服务商的供应链多元化也可能削弱单一供应商的长期份额。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新易盛（A股：300502）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国内高速光模块直接竞争对手，重点布局400G、800G及1.6T高速数通光模块，客户同样以海外云服务商和AI数据中心客户为主。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优势在于高速产品迭代、海外客户拓展和数通业务集中度；收入规模通常小于中际旭创，但在800G、LPO及部分海外客户项目中具有竞争力。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Coherent Corporation（纳斯达克：COHR）</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综合性光学和光电子企业，覆盖光芯片、激光器、光器件、光模块及通信解决方案。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高端激光器和光器件能力较强，业务综合性和上游垂直整合程度高；整体收入并非全部来自光模块，不能简单按总收入与中际旭创比较。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Lumentum（纳斯达克：LITE）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主要从事光通信、激光器、光器件和光网络产品，覆盖电信、数据中心及其他光电子应用。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优势在于激光器、光器件和光网络技术积累，垂直整合能力较强；相较之下，中际旭创更聚焦高速可插拔光模块的规模化量产和云客户交付。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光迅科技（A股：002281）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中国通信光电子重要厂商，具备光芯片、器件、模块和子系统等较完整产业链布局。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产业链完整、国内通信市场基础深厚；相较中际旭创，业务结构更分散，海外头部云厂商和高端数通光模块收入占比相对较低。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海信宽带／LIGENT Technologies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全球光模块市场重要参与者，覆盖数据中心和通信网络应用，具备100G、400G等产品能力。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优势在于规模制造和海外客户基础；在800G、1.6T等高端AI数通产品的市场影响力通常被认为弱于中际旭创和新易盛，但具体排名受统计口径影响。</w:t>
            </w:r>
          </w:p>
        </w:tc>
      </w:tr>
    </w:tbl>
    <w:p>
      <w:pPr>
        <w:spacing w:before="200"/>
      </w:pPr>
    </w:p>
    <w:p>
      <w:pPr>
        <w:spacing w:after="160" w:line="300"/>
      </w:pPr>
      <w:r>
        <w:rPr>
          <w:sz w:val="22"/>
          <w:szCs w:val="22"/>
        </w:rPr>
        <w:t xml:space="preserve">中际旭创的核心差异化在于高速可插拔光模块的规模化量产、全球云客户认证和交付能力，当前收入和利润高度集中于400G、800G及1.6T等数通产品。新易盛与其在高速数通光模块领域直接竞争；Coherent和Lumentum在激光器、光芯片及光器件等上游环节的垂直整合更深；光迅科技产业链更完整且国内电信基础更强；海信宽带具备规模制造和海外客户基础，但高端AI数通产品影响力相对较弱。各公司业务范围和市场份额统计口径不同，不能仅以整体收入或单一市场份额进行直接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AI数据中心资本开支及主要客户需求存在不确定性。公司2026年上半年业绩增长主要由主要客户增加AI基础设施投入推动，若客户资本开支放缓、项目延迟或采购节奏变化，可能直接影响800G及1.6T产品出货和收入增速。</w:t>
      </w:r>
    </w:p>
    <w:p>
      <w:pPr>
        <w:pStyle w:val="ListParagraph"/>
        <w:numPr>
          <w:ilvl w:val="0"/>
          <w:numId w:val="2"/>
        </w:numPr>
        <w:spacing w:after="80" w:line="280"/>
      </w:pPr>
      <w:r>
        <w:rPr>
          <w:sz w:val="22"/>
          <w:szCs w:val="22"/>
        </w:rPr>
        <w:t xml:space="preserve">产品结构和技术迭代风险较高。公司收入和利润高度依赖400G、800G及1.6T高速数通光模块，若1.6T放量低于预期，或LPO、LRO、硅光、CPO、NPO等技术路线改变传统可插拔模块的价值分配，现有产品竞争力和毛利率可能承压。</w:t>
      </w:r>
    </w:p>
    <w:p>
      <w:pPr>
        <w:pStyle w:val="ListParagraph"/>
        <w:numPr>
          <w:ilvl w:val="0"/>
          <w:numId w:val="2"/>
        </w:numPr>
        <w:spacing w:after="80" w:line="280"/>
      </w:pPr>
      <w:r>
        <w:rPr>
          <w:sz w:val="22"/>
          <w:szCs w:val="22"/>
        </w:rPr>
        <w:t xml:space="preserve">客户集中度较高。2025年前五大客户销售额约人民币290.56亿元，占年度销售额75.98%，第一大客户占24.06%；客户名称以客户A至客户E代称，无法仅凭现有数据确认具体对应企业。大型云服务商可能通过年度降价、供应商竞价、产品迭代及多供应商策略压低价格或调整公司份额。</w:t>
      </w:r>
    </w:p>
    <w:p>
      <w:pPr>
        <w:pStyle w:val="ListParagraph"/>
        <w:numPr>
          <w:ilvl w:val="0"/>
          <w:numId w:val="2"/>
        </w:numPr>
        <w:spacing w:after="80" w:line="280"/>
      </w:pPr>
      <w:r>
        <w:rPr>
          <w:sz w:val="22"/>
          <w:szCs w:val="22"/>
        </w:rPr>
        <w:t xml:space="preserve">供应商集中度及关键器件供给可能制约交付。2025年前五大供应商采购金额约人民币127.97亿元，占采购总额51.50%，第一大供应商占35.76%；部分光器件、光芯片、DSP及其他关键原材料来自海外采购，公司在高端器件供给偏紧时具有一定价格接受者特征，供应中断或涨价可能推高成本并影响产能利用率。</w:t>
      </w:r>
    </w:p>
    <w:p>
      <w:pPr>
        <w:pStyle w:val="ListParagraph"/>
        <w:numPr>
          <w:ilvl w:val="0"/>
          <w:numId w:val="2"/>
        </w:numPr>
        <w:spacing w:after="80" w:line="280"/>
      </w:pPr>
      <w:r>
        <w:rPr>
          <w:sz w:val="22"/>
          <w:szCs w:val="22"/>
        </w:rPr>
        <w:t xml:space="preserve">海外业务和贸易政策风险突出。2026年上半年中国内地以外收入约人民币396.15亿元，占总收入约94.8%，2025年境外收入占比约90.6%。海外客户、出口合规、关税及贸易政策变化，以及中国内地、台湾和泰国产能之间的交付安排，均可能影响订单获取、生产成本和盈利表现。</w:t>
      </w:r>
    </w:p>
    <w:p>
      <w:pPr>
        <w:pStyle w:val="ListParagraph"/>
        <w:numPr>
          <w:ilvl w:val="0"/>
          <w:numId w:val="2"/>
        </w:numPr>
        <w:spacing w:after="80" w:line="280"/>
      </w:pPr>
      <w:r>
        <w:rPr>
          <w:sz w:val="22"/>
          <w:szCs w:val="22"/>
        </w:rPr>
        <w:t xml:space="preserve">估值对高增长兑现高度敏感。截至2026年9月11日股价为1,170.00港元，按2025年实际盈利参照的市盈率约在100倍左右；不同平台显示的PE约56至57倍、约102至103倍及约106.1倍存在口径差异。若未来收入、利润或1.6T产品增长不及机构预测，估值重估可能放大股价波动。</w:t>
      </w:r>
    </w:p>
    <w:p>
      <w:pPr>
        <w:pStyle w:val="ListParagraph"/>
        <w:numPr>
          <w:ilvl w:val="0"/>
          <w:numId w:val="2"/>
        </w:numPr>
        <w:spacing w:after="80" w:line="280"/>
      </w:pPr>
      <w:r>
        <w:rPr>
          <w:sz w:val="22"/>
          <w:szCs w:val="22"/>
        </w:rPr>
        <w:t xml:space="preserve">港股上市时间较短且股价波动较大。公司于2026年7月30日上市，上市以来高点为1,319.00港元，低点数据约为880.00至980.00港元不等；截至2026年9月11日，股价仍未突破1,203至1,239港元压力区，技术指标稳定性低，不能仅依据短期反弹确认持续上行。</w:t>
      </w:r>
    </w:p>
    <w:p>
      <w:pPr>
        <w:pStyle w:val="ListParagraph"/>
        <w:numPr>
          <w:ilvl w:val="0"/>
          <w:numId w:val="2"/>
        </w:numPr>
        <w:spacing w:after="80" w:line="280"/>
      </w:pPr>
      <w:r>
        <w:rPr>
          <w:sz w:val="22"/>
          <w:szCs w:val="22"/>
        </w:rPr>
        <w:t xml:space="preserve">近期部分股东存在质押事项。实际控制人王伟修近期新增质押72.8万股，特定股东苏州益兴福新增质押合计104.8万股并解除20万股；虽然现有质押比例相对其持股及公司总股本均有限，但若股价大幅波动，仍需关注质押相关的流动性和市场情绪影响。</w:t>
      </w:r>
    </w:p>
    <w:p>
      <w:pPr>
        <w:pStyle w:val="ListParagraph"/>
        <w:numPr>
          <w:ilvl w:val="0"/>
          <w:numId w:val="2"/>
        </w:numPr>
        <w:spacing w:after="80" w:line="280"/>
      </w:pPr>
      <w:r>
        <w:rPr>
          <w:sz w:val="22"/>
          <w:szCs w:val="22"/>
        </w:rPr>
        <w:t xml:space="preserve">2026年上半年中期报告数据未经审计，后续正式审计或披露口径可能出现调整。与此同时，2026年上半年经营活动现金流量净额约人民币18.00亿元，明显低于同期归属于公司拥有人利润人民币136.51亿元，尽管现金流仍同比增长44.08%，但后续仍需观察收入快速增长对存货、应收账款及营运资金的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较为集中且清晰：AI训练及推理集群扩容带动数据中心互连带宽需求提升，400G、800G向1.6T升级推动产品结构改善，公司则凭借高速可插拔光模块的研发、认证、量产和全球交付能力获取订单。2026年上半年业绩增速显著加快，且光模块收入占比约99.0%，说明高端数通产品需求仍是当前经营表现的核心驱动。港股募集资金计划中约35%用于光互连产品研发、约30%用于全球产能扩充，有助于支持技术迭代和海外交付能力建设，但相关投入能否转化为持续收入和利润仍需后续经营数据验证。</w:t>
      </w:r>
    </w:p>
    <w:p>
      <w:pPr>
        <w:spacing w:after="160" w:line="300"/>
      </w:pPr>
      <w:r>
        <w:rPr>
          <w:sz w:val="22"/>
          <w:szCs w:val="22"/>
        </w:rPr>
        <w:t xml:space="preserve">公司盈利质量目前得到一定现金流和回款数据支持：2025年经营活动现金流量净额约人民币108.96亿元，接近归母净利润人民币107.97亿元，海外光通信收发模块销售回款率披露为98%。不过，公司同时存在上游和下游双向集中，2025年前五大供应商占采购额51.50%、前五大客户占销售额75.98%，并且客户和供应商名称均经过匿名化处理。未来业绩持续性将取决于主要客户AI资本开支、800G及1.6T产品需求、产品价格、供应链保障和公司全球产能利用率等因素。</w:t>
      </w:r>
    </w:p>
    <w:p>
      <w:pPr>
        <w:spacing w:after="160" w:line="300"/>
      </w:pPr>
      <w:r>
        <w:rPr>
          <w:sz w:val="22"/>
          <w:szCs w:val="22"/>
        </w:rPr>
        <w:t xml:space="preserve">从港股交易层面看，03308股价目前处于上市初期高波动阶段，1,200至1,240港元是短线重要压力区域，1,110至1,160港元及1,000至1,050港元可作为观察支撑区域，但技术形态不能替代基本面验证。机构预测对2026年至2028年归母净利润差异较大：高盛预测分别为人民币404.32亿元、869.03亿元和1,371.10亿元，野村预测分别为人民币358.44亿元、763.41亿元和1,141.72亿元，显示远期估值对盈利兑现程度较为敏感。后续应重点跟踪高端产品出货和毛利率、客户资本开支、海外贸易政策、客户及供应商集中度变化，以及中期报告后续审计或正式披露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证券代码：300308  证券简称：中际旭创  公告编号：2026-084 — https://static.cninfo.com.cn/finalpage/2026-08-27/1225515675.PDF?utm_source=openai</w:t>
      </w:r>
    </w:p>
    <w:p>
      <w:pPr>
        <w:spacing w:after="200"/>
      </w:pPr>
      <w:r>
        <w:rPr>
          <w:i/>
          <w:iCs/>
          <w:color w:val="595959"/>
          <w:sz w:val="18"/>
          <w:szCs w:val="18"/>
        </w:rPr>
        <w:t xml:space="preserve">關於我們-中际旭创 — https://www.zj-innolight.com/tc/about.html?utm_source=openai</w:t>
      </w:r>
    </w:p>
    <w:p>
      <w:pPr>
        <w:spacing w:after="200"/>
      </w:pPr>
      <w:r>
        <w:rPr>
          <w:i/>
          <w:iCs/>
          <w:color w:val="595959"/>
          <w:sz w:val="18"/>
          <w:szCs w:val="18"/>
        </w:rPr>
        <w:t xml:space="preserve">03308 中际旭创 ZJ INNOLIGHT - 免费即时股票报价 - 公司业务 - etnet 经济通|香港新闻财经资讯和生活平台 — https://www.etnet.com.hk/www/sc/stocks/realtime/quote_ci_detail.php?code=3308&amp;utm_source=openai</w:t>
      </w:r>
    </w:p>
    <w:p>
      <w:pPr>
        <w:spacing w:after="200"/>
      </w:pPr>
      <w:r>
        <w:rPr>
          <w:i/>
          <w:iCs/>
          <w:color w:val="595959"/>
          <w:sz w:val="18"/>
          <w:szCs w:val="18"/>
        </w:rPr>
        <w:t xml:space="preserve">中际旭创(300308)_公司公告_中际旭创：2025年年度报告新浪财经_新浪网 — https://money.finance.sina.com.cn/corp/view/vCB_AllBulletinDetail.php?id=12041853&amp;stockid=300308&amp;utm_source=openai</w:t>
      </w:r>
    </w:p>
    <w:p>
      <w:pPr>
        <w:spacing w:after="200"/>
      </w:pPr>
      <w:r>
        <w:rPr>
          <w:i/>
          <w:iCs/>
          <w:color w:val="595959"/>
          <w:sz w:val="18"/>
          <w:szCs w:val="18"/>
        </w:rPr>
        <w:t xml:space="preserve">中际旭创股份有限公司 2025 年年度报告全文 — https://static.cninfo.com.cn/finalpage/2026-03-31/1225056459.PDF?utm_source=openai</w:t>
      </w:r>
    </w:p>
    <w:p>
      <w:pPr>
        <w:spacing w:after="200"/>
      </w:pPr>
      <w:r>
        <w:rPr>
          <w:i/>
          <w:iCs/>
          <w:color w:val="595959"/>
          <w:sz w:val="18"/>
          <w:szCs w:val="18"/>
        </w:rPr>
        <w:t xml:space="preserve">IPO- Company Information - etnet — https://seg.etnet.com.hk/www/eng/stocks/ci_ipo_detail.php?code=03308&amp;type=listing&amp;utm_source=openai</w:t>
      </w:r>
    </w:p>
    <w:p>
      <w:pPr>
        <w:spacing w:after="200"/>
      </w:pPr>
      <w:r>
        <w:rPr>
          <w:i/>
          <w:iCs/>
          <w:color w:val="595959"/>
          <w:sz w:val="18"/>
          <w:szCs w:val="18"/>
        </w:rPr>
        <w:t xml:space="preserve">中际旭创股份有限公司 2024 年年度报告全文 — https://static.cninfo.com.cn/finalpage/2025-04-21/1223155483.PDF?utm_source=openai</w:t>
      </w:r>
    </w:p>
    <w:p>
      <w:pPr>
        <w:spacing w:after="200"/>
      </w:pPr>
      <w:r>
        <w:rPr>
          <w:i/>
          <w:iCs/>
          <w:color w:val="595959"/>
          <w:sz w:val="18"/>
          <w:szCs w:val="18"/>
        </w:rPr>
        <w:t xml:space="preserve">中际旭创股份有限公司 — https://file.finance.sina.com.cn/211.154.219.97%3A9494/MRGG/CNSESZ_STOCK/2025/2025-4/2025-04-21/10911491.PDF?utm_source=openai</w:t>
      </w:r>
    </w:p>
    <w:p>
      <w:pPr>
        <w:spacing w:after="200"/>
      </w:pPr>
      <w:r>
        <w:rPr>
          <w:i/>
          <w:iCs/>
          <w:color w:val="595959"/>
          <w:sz w:val="18"/>
          <w:szCs w:val="18"/>
        </w:rPr>
        <w:t xml:space="preserve">中际旭创(300308)_公司公告_中际旭创：2025年年度报告摘要新浪财经_新浪网 — https://money.finance.sina.com.cn/corp/view/vCB_AllBulletinDetail.php?id=12041814&amp;stockid=300308&amp;utm_source=openai</w:t>
      </w:r>
    </w:p>
    <w:p>
      <w:pPr>
        <w:spacing w:after="200"/>
      </w:pPr>
      <w:r>
        <w:rPr>
          <w:i/>
          <w:iCs/>
          <w:color w:val="595959"/>
          <w:sz w:val="18"/>
          <w:szCs w:val="18"/>
        </w:rPr>
        <w:t xml:space="preserve">中际旭创(300308)_公司公告_中际旭创：2024年年度报告新浪财经_新浪网 — https://money.finance.sina.com.cn/corp/view/vCB_AllBulletinDetail.php?id=10911494&amp;stockid=300308&amp;utm_source=openai</w:t>
      </w:r>
    </w:p>
    <w:p>
      <w:pPr>
        <w:spacing w:after="200"/>
      </w:pPr>
      <w:r>
        <w:rPr>
          <w:i/>
          <w:iCs/>
          <w:color w:val="595959"/>
          <w:sz w:val="18"/>
          <w:szCs w:val="18"/>
        </w:rPr>
        <w:t xml:space="preserve">新股上市IPO - 上市公司资料 company information - etnet 经济通|香港新闻财经资讯和生活平台 — https://www.etnet.com.hk/www/sc/stocks/ci_ipo_detail.php?code=03308&amp;utm_source=openai</w:t>
      </w:r>
    </w:p>
    <w:p>
      <w:pPr>
        <w:spacing w:after="200"/>
      </w:pPr>
      <w:r>
        <w:rPr>
          <w:i/>
          <w:iCs/>
          <w:color w:val="595959"/>
          <w:sz w:val="18"/>
          <w:szCs w:val="18"/>
        </w:rPr>
        <w:t xml:space="preserve">LightCounting :: Sales of optical transceivers reached $23.8 billion in 2025 — https://www.lightcounting.com/newsletter/en/march-2026-quarterly-market-update-380?utm_source=openai</w:t>
      </w:r>
    </w:p>
    <w:p>
      <w:pPr>
        <w:spacing w:after="200"/>
      </w:pPr>
      <w:r>
        <w:rPr>
          <w:i/>
          <w:iCs/>
          <w:color w:val="595959"/>
          <w:sz w:val="18"/>
          <w:szCs w:val="18"/>
        </w:rPr>
        <w:t xml:space="preserve">关税豁免，还能相信光吗？（下篇）|新易盛_新浪财经_新浪网 — https://finance.sina.com.cn/roll/2025-04-14/doc-inetcqhp8240525.shtml?utm_source=openai</w:t>
      </w:r>
    </w:p>
    <w:p>
      <w:pPr>
        <w:spacing w:after="200"/>
      </w:pPr>
      <w:r>
        <w:rPr>
          <w:i/>
          <w:iCs/>
          <w:color w:val="595959"/>
          <w:sz w:val="18"/>
          <w:szCs w:val="18"/>
        </w:rPr>
        <w:t xml:space="preserve">Optical Transceiver Market Size, Share, Industry Report – 2035 — https://www.gminsights.com/industry-analysis/optical-transceiver-market?utm_source=openai</w:t>
      </w:r>
    </w:p>
    <w:p>
      <w:pPr>
        <w:spacing w:after="200"/>
      </w:pPr>
      <w:r>
        <w:rPr>
          <w:i/>
          <w:iCs/>
          <w:color w:val="595959"/>
          <w:sz w:val="18"/>
          <w:szCs w:val="18"/>
        </w:rPr>
        <w:t xml:space="preserve">Data Center Transceiver Market Size, Share &amp; Forecast 2035 — https://www.gminsights.com/industry-analysis/data-center-transceiver-market?utm_source=openai</w:t>
      </w:r>
    </w:p>
    <w:p>
      <w:pPr>
        <w:spacing w:after="200"/>
      </w:pPr>
      <w:r>
        <w:rPr>
          <w:i/>
          <w:iCs/>
          <w:color w:val="595959"/>
          <w:sz w:val="18"/>
          <w:szCs w:val="18"/>
        </w:rPr>
        <w:t xml:space="preserve">03308 中際旭創 ZJ INNOLIGHT - 基本數據 - 股票 - etnet 經濟通 Mobile|香港新聞財經資訊和生活平台 — https://www.etnet.com.hk/mobile/tc/stocks/quote_ci_basicdata.php?code=3308&amp;utm_source=openai</w:t>
      </w:r>
    </w:p>
    <w:p>
      <w:pPr>
        <w:spacing w:after="200"/>
      </w:pPr>
      <w:r>
        <w:rPr>
          <w:i/>
          <w:iCs/>
          <w:color w:val="595959"/>
          <w:sz w:val="18"/>
          <w:szCs w:val="18"/>
        </w:rPr>
        <w:t xml:space="preserve">Microsoft Word - 2026-081：中际旭创2026年半年度报告 — https://static.cninfo.com.cn/finalpage/2026-08-22/1225491753.PDF?utm_source=openai</w:t>
      </w:r>
    </w:p>
    <w:p>
      <w:pPr>
        <w:spacing w:after="200"/>
      </w:pPr>
      <w:r>
        <w:rPr>
          <w:i/>
          <w:iCs/>
          <w:color w:val="595959"/>
          <w:sz w:val="18"/>
          <w:szCs w:val="18"/>
        </w:rPr>
        <w:t xml:space="preserve">3308.HK ZJ INNOLIGHT - Company Information - Earnings Forecast Overview - etnet — https://www.etnet.hk/www/eng/stocks/realtime/quote_profit.php?code=03308&amp;utm_source=openai</w:t>
      </w:r>
    </w:p>
    <w:p>
      <w:pPr>
        <w:spacing w:after="200"/>
      </w:pPr>
      <w:r>
        <w:rPr>
          <w:i/>
          <w:iCs/>
          <w:color w:val="595959"/>
          <w:sz w:val="18"/>
          <w:szCs w:val="18"/>
        </w:rPr>
        <w:t xml:space="preserve">高盛：中际旭创H股目标价3267港元/股-股票-金融界 — https://stock.jrj.com.cn/2026/09/07194058374633.shtml?utm_source=openai</w:t>
      </w:r>
    </w:p>
    <w:p>
      <w:pPr>
        <w:spacing w:after="200"/>
      </w:pPr>
      <w:r>
        <w:rPr>
          <w:i/>
          <w:iCs/>
          <w:color w:val="595959"/>
          <w:sz w:val="18"/>
          <w:szCs w:val="18"/>
        </w:rPr>
        <w:t xml:space="preserve">目标价翻倍至2581元！高盛：英伟达推动3.2T光模块需求加速，中际旭创迎来估值重塑_新浪财经_新浪网 — https://finance.sina.com.cn/stock/relnews/cn/2026-07-17/doc-iniickay1442087.shtml?utm_source=openai</w:t>
      </w:r>
    </w:p>
    <w:p>
      <w:pPr>
        <w:spacing w:after="200"/>
      </w:pPr>
      <w:r>
        <w:rPr>
          <w:i/>
          <w:iCs/>
          <w:color w:val="595959"/>
          <w:sz w:val="18"/>
          <w:szCs w:val="18"/>
        </w:rPr>
        <w:t xml:space="preserve">中际旭创(300308) 盈利预测_F10_同花顺金融服务网 — https://basic.10jqka.com.cn/144/300308/worth.html?utm_source=openai</w:t>
      </w:r>
    </w:p>
    <w:p>
      <w:pPr>
        <w:spacing w:after="200"/>
      </w:pPr>
      <w:r>
        <w:rPr>
          <w:i/>
          <w:iCs/>
          <w:color w:val="595959"/>
          <w:sz w:val="18"/>
          <w:szCs w:val="18"/>
        </w:rPr>
        <w:t xml:space="preserve">中际旭创(03308)市盈率|估值|基本面 - 理杏仁 — https://www.lixinger.com/equity/company/detail/hk/03308/3308/fundamental/valuation/pe-ttm?utm_source=openai</w:t>
      </w:r>
    </w:p>
    <w:p>
      <w:pPr>
        <w:spacing w:after="200"/>
      </w:pPr>
      <w:r>
        <w:rPr>
          <w:i/>
          <w:iCs/>
          <w:color w:val="595959"/>
          <w:sz w:val="18"/>
          <w:szCs w:val="18"/>
        </w:rPr>
        <w:t xml:space="preserve">中際旭創03308股票行情，報價、圖表、新聞 - 微牛Webull — https://www.webull.hk/quote/hkg-03308/releases?utm_source=openai</w:t>
      </w:r>
    </w:p>
    <w:p>
      <w:pPr>
        <w:spacing w:after="200"/>
      </w:pPr>
      <w:r>
        <w:rPr>
          <w:i/>
          <w:iCs/>
          <w:color w:val="595959"/>
          <w:sz w:val="18"/>
          <w:szCs w:val="18"/>
        </w:rPr>
        <w:t xml:space="preserve">Listed Company Information Title Search — https://www1.hkexnews.hk/search/titlesearch.xhtml?category=0&amp;market=SEHK&amp;stockId=1000311764</w:t>
      </w:r>
    </w:p>
    <w:p>
      <w:pPr>
        <w:spacing w:after="200"/>
      </w:pPr>
      <w:r>
        <w:rPr>
          <w:i/>
          <w:iCs/>
          <w:color w:val="595959"/>
          <w:sz w:val="18"/>
          <w:szCs w:val="18"/>
        </w:rPr>
        <w:t xml:space="preserve">https://www1.hkexnews.hk/listedco/listconews/sehk/2026/0901/2026090103413.pdf — https://www1.hkexnews.hk/listedco/listconews/sehk/2026/0901/2026090103413.pdf</w:t>
      </w:r>
    </w:p>
    <w:p>
      <w:pPr>
        <w:spacing w:after="200"/>
      </w:pPr>
      <w:r>
        <w:rPr>
          <w:i/>
          <w:iCs/>
          <w:color w:val="595959"/>
          <w:sz w:val="18"/>
          <w:szCs w:val="18"/>
        </w:rPr>
        <w:t xml:space="preserve">https://www1.hkexnews.hk/listedco/listconews/sehk/2026/0902/2026090202039.pdf — https://www1.hkexnews.hk/listedco/listconews/sehk/2026/0902/2026090202039.pdf</w:t>
      </w:r>
    </w:p>
    <w:p>
      <w:pPr>
        <w:spacing w:after="200"/>
      </w:pPr>
      <w:r>
        <w:rPr>
          <w:i/>
          <w:iCs/>
          <w:color w:val="595959"/>
          <w:sz w:val="18"/>
          <w:szCs w:val="18"/>
        </w:rPr>
        <w:t xml:space="preserve">https://www1.hkexnews.hk/listedco/listconews/sehk/2026/0903/2026090301957.pdf — https://www1.hkexnews.hk/listedco/listconews/sehk/2026/0903/2026090301957.pdf</w:t>
      </w:r>
    </w:p>
    <w:p>
      <w:pPr>
        <w:spacing w:after="200"/>
      </w:pPr>
      <w:r>
        <w:rPr>
          <w:i/>
          <w:iCs/>
          <w:color w:val="595959"/>
          <w:sz w:val="18"/>
          <w:szCs w:val="18"/>
        </w:rPr>
        <w:t xml:space="preserve">https://www1.hkexnews.hk/listedco/listconews/sehk/2026/0904/2026090401157.pdf — https://www1.hkexnews.hk/listedco/listconews/sehk/2026/0904/2026090401157.pdf</w:t>
      </w:r>
    </w:p>
    <w:p>
      <w:pPr>
        <w:spacing w:after="200"/>
      </w:pPr>
      <w:r>
        <w:rPr>
          <w:i/>
          <w:iCs/>
          <w:color w:val="595959"/>
          <w:sz w:val="18"/>
          <w:szCs w:val="18"/>
        </w:rPr>
        <w:t xml:space="preserve">https://www1.hkexnews.hk/listedco/listconews/sehk/2026/0908/2026090800690.pdf — https://www1.hkexnews.hk/listedco/listconews/sehk/2026/0908/2026090800690.pdf</w:t>
      </w:r>
    </w:p>
    <w:p>
      <w:pPr>
        <w:spacing w:after="200"/>
      </w:pPr>
      <w:r>
        <w:rPr>
          <w:i/>
          <w:iCs/>
          <w:color w:val="595959"/>
          <w:sz w:val="18"/>
          <w:szCs w:val="18"/>
        </w:rPr>
        <w:t xml:space="preserve">https://www1.hkexnews.hk/listedco/listconews/sehk/2026/0909/2026090900646.pdf — https://www1.hkexnews.hk/listedco/listconews/sehk/2026/0909/2026090900646.pdf</w:t>
      </w:r>
    </w:p>
    <w:p>
      <w:pPr>
        <w:spacing w:after="200"/>
      </w:pPr>
      <w:r>
        <w:rPr>
          <w:i/>
          <w:iCs/>
          <w:color w:val="595959"/>
          <w:sz w:val="18"/>
          <w:szCs w:val="18"/>
        </w:rPr>
        <w:t xml:space="preserve">https://www1.hkexnews.hk/listedco/listconews/sehk/2026/0910/2026091001051.pdf — https://www1.hkexnews.hk/listedco/listconews/sehk/2026/0910/2026091001051.pdf</w:t>
      </w:r>
    </w:p>
    <w:p>
      <w:pPr>
        <w:spacing w:after="200"/>
      </w:pPr>
      <w:r>
        <w:rPr>
          <w:i/>
          <w:iCs/>
          <w:color w:val="595959"/>
          <w:sz w:val="18"/>
          <w:szCs w:val="18"/>
        </w:rPr>
        <w:t xml:space="preserve">中际旭创:关于回购公司股份方案的公告 _ 中际旭创(03308) _ 公告正文 — https://np-info.eastmoney.com/wap/notice/?infocode=AN202608311828826958&amp;utm_source=openai</w:t>
      </w:r>
    </w:p>
    <w:p>
      <w:pPr>
        <w:spacing w:after="200"/>
      </w:pPr>
      <w:r>
        <w:rPr>
          <w:i/>
          <w:iCs/>
          <w:color w:val="595959"/>
          <w:sz w:val="18"/>
          <w:szCs w:val="18"/>
        </w:rPr>
        <w:t xml:space="preserve">https://www1.hkexnews.hk/listedco/listconews/sehk/2026/0911/2026091100357_c.pdf — https://www1.hkexnews.hk/listedco/listconews/sehk/2026/0911/2026091100357_c.pdf</w:t>
      </w:r>
    </w:p>
    <w:p>
      <w:pPr>
        <w:spacing w:after="200"/>
      </w:pPr>
      <w:r>
        <w:rPr>
          <w:i/>
          <w:iCs/>
          <w:color w:val="595959"/>
          <w:sz w:val="18"/>
          <w:szCs w:val="18"/>
        </w:rPr>
        <w:t xml:space="preserve">中际旭创实际控制人新增质押72.8万股并同步披露回购前十大股东结构 - Tiger Brokers — https://www.itiger.com/news/1127135468?utm_source=openai</w:t>
      </w:r>
    </w:p>
    <w:p>
      <w:pPr>
        <w:spacing w:after="200"/>
      </w:pPr>
      <w:r>
        <w:rPr>
          <w:i/>
          <w:iCs/>
          <w:color w:val="595959"/>
          <w:sz w:val="18"/>
          <w:szCs w:val="18"/>
        </w:rPr>
        <w:t xml:space="preserve">公告解读-行情中心-证券之星 — https://quote.stockstar.com/Inform/inform_2026-09-04_0_4.html?utm_source=openai</w:t>
      </w:r>
    </w:p>
    <w:p>
      <w:pPr>
        <w:spacing w:after="200"/>
      </w:pPr>
      <w:r>
        <w:rPr>
          <w:i/>
          <w:iCs/>
          <w:color w:val="595959"/>
          <w:sz w:val="18"/>
          <w:szCs w:val="18"/>
        </w:rPr>
        <w:t xml:space="preserve">中际旭创(300308)_公司公告_中际旭创：关于控股股东部分股票解除质押的公告新浪财经_新浪网 — https://money.finance.sina.com.cn/corp/view/vCB_AllBulletinDetail.php?id=12590301&amp;stockid=300308&amp;utm_source=openai</w:t>
      </w:r>
    </w:p>
    <w:p>
      <w:pPr>
        <w:spacing w:after="200"/>
      </w:pPr>
      <w:r>
        <w:rPr>
          <w:i/>
          <w:iCs/>
          <w:color w:val="595959"/>
          <w:sz w:val="18"/>
          <w:szCs w:val="18"/>
        </w:rPr>
        <w:t xml:space="preserve">中际旭创特定股东益兴福新增质押104.8万股，控股股东中际控股解除质押200万股_新浪财经_新浪网 — https://finance.sina.com.cn/jjxw/2026-09-08/doc-inircrns4436873.shtml?utm_source=openai</w:t>
      </w:r>
    </w:p>
    <w:p>
      <w:pPr>
        <w:spacing w:after="200"/>
      </w:pPr>
      <w:r>
        <w:rPr>
          <w:i/>
          <w:iCs/>
          <w:color w:val="595959"/>
          <w:sz w:val="18"/>
          <w:szCs w:val="18"/>
        </w:rPr>
        <w:t xml:space="preserve">中际旭创(300308)_公司公告_中际旭创：关于向控股子公司提供财务资助的公告新浪财经_新浪网 — https://money.finance.sina.com.cn/corp/view/vCB_AllBulletinDetail.php?id=12585722&amp;stockid=300308&amp;utm_source=openai</w:t>
      </w:r>
    </w:p>
    <w:p>
      <w:pPr>
        <w:spacing w:after="200"/>
      </w:pPr>
      <w:r>
        <w:rPr>
          <w:i/>
          <w:iCs/>
          <w:color w:val="595959"/>
          <w:sz w:val="18"/>
          <w:szCs w:val="18"/>
        </w:rPr>
        <w:t xml:space="preserve">https://www1.hkexnews.hk/listedco/listconews/sehk/2026/0821/2026082101283.pdf — https://www1.hkexnews.hk/listedco/listconews/sehk/2026/0821/2026082101283.pdf</w:t>
      </w:r>
    </w:p>
    <w:p>
      <w:pPr>
        <w:spacing w:after="200"/>
      </w:pPr>
      <w:r>
        <w:rPr>
          <w:i/>
          <w:iCs/>
          <w:color w:val="595959"/>
          <w:sz w:val="18"/>
          <w:szCs w:val="18"/>
        </w:rPr>
        <w:t xml:space="preserve">Listed Company Information Title Search — https://www1.hkexnews.hk/search/titlesearch.xhtml?category=0&amp;market=SEHK&amp;stockId=1000311764&amp;utm_source=openai</w:t>
      </w:r>
    </w:p>
    <w:p>
      <w:pPr>
        <w:spacing w:after="200"/>
      </w:pPr>
      <w:r>
        <w:rPr>
          <w:i/>
          <w:iCs/>
          <w:color w:val="595959"/>
          <w:sz w:val="18"/>
          <w:szCs w:val="18"/>
        </w:rPr>
        <w:t xml:space="preserve">Zhongji Innolight Co., Ltd. (HKG:3308) Historical Stock Price Data — https://stockanalysis.com/quote/hkg/3308/history/</w:t>
      </w:r>
    </w:p>
    <w:p>
      <w:pPr>
        <w:spacing w:after="200"/>
      </w:pPr>
      <w:r>
        <w:rPr>
          <w:i/>
          <w:iCs/>
          <w:color w:val="595959"/>
          <w:sz w:val="18"/>
          <w:szCs w:val="18"/>
        </w:rPr>
        <w:t xml:space="preserve">IPO Overview — https://content.etnet.com.hk/content/shk/eng/ipo.php?site=is&amp;user=guest&amp;utm_source=openai</w:t>
      </w:r>
    </w:p>
    <w:p>
      <w:pPr>
        <w:spacing w:after="200"/>
      </w:pPr>
      <w:r>
        <w:rPr>
          <w:i/>
          <w:iCs/>
          <w:color w:val="595959"/>
          <w:sz w:val="18"/>
          <w:szCs w:val="18"/>
        </w:rPr>
        <w:t xml:space="preserve">Hong Kong Stock Chart Analysis - 3308.HK ZJ INNOLIGHT - Real-Time Hong Kong Stock News - etnet — https://seg.etnet.com.hk/www/eng/stocks/realtime/quote_chart_interactive.php?code=3308</w:t>
      </w:r>
    </w:p>
    <w:p>
      <w:pPr>
        <w:spacing w:after="200"/>
      </w:pPr>
      <w:r>
        <w:rPr>
          <w:i/>
          <w:iCs/>
          <w:color w:val="595959"/>
          <w:sz w:val="18"/>
          <w:szCs w:val="18"/>
        </w:rPr>
        <w:t xml:space="preserve">中際旭創 (3308.HK) 股價、新聞、報價和記錄 - Yahoo 財經 — https://hk.finance.yahoo.com/quote/3308.HK/?utm_source=openai</w:t>
      </w:r>
    </w:p>
    <w:p>
      <w:pPr>
        <w:spacing w:after="200"/>
      </w:pPr>
      <w:r>
        <w:rPr>
          <w:i/>
          <w:iCs/>
          <w:color w:val="595959"/>
          <w:sz w:val="18"/>
          <w:szCs w:val="18"/>
        </w:rPr>
        <w:t xml:space="preserve">证券代码：300308　　证券简称：中际旭创　　公告编号：2026-085 — https://static.cninfo.com.cn/finalpage/2026-08-27/1225517725.PDF?utm_source=openai</w:t>
      </w:r>
    </w:p>
    <w:p>
      <w:pPr>
        <w:spacing w:after="200"/>
      </w:pPr>
      <w:r>
        <w:rPr>
          <w:i/>
          <w:iCs/>
          <w:color w:val="595959"/>
          <w:sz w:val="18"/>
          <w:szCs w:val="18"/>
        </w:rPr>
        <w:t xml:space="preserve">中国-南向资金净流入 | 数据 | MacroMicro 财经M平方 — https://sc.macromicro.me/series/6175/cn-southward-funds?utm_source=openai</w:t>
      </w:r>
    </w:p>
    <w:p>
      <w:pPr>
        <w:spacing w:after="200"/>
      </w:pPr>
      <w:r>
        <w:rPr>
          <w:i/>
          <w:iCs/>
          <w:color w:val="595959"/>
          <w:sz w:val="18"/>
          <w:szCs w:val="18"/>
        </w:rPr>
        <w:t xml:space="preserve">03308 中际旭创 ZJ INNOLIGHT - 股票卖空 - etnet 经济通|香港新闻财经资讯和生活平台 — https://stocks.etnet.com.hk/www/sc/stocks/realtime/quote_shortsell.php?code=3308</w:t>
      </w:r>
    </w:p>
    <w:p>
      <w:pPr>
        <w:spacing w:after="200"/>
      </w:pPr>
      <w:r>
        <w:rPr>
          <w:i/>
          <w:iCs/>
          <w:color w:val="595959"/>
          <w:sz w:val="18"/>
          <w:szCs w:val="18"/>
        </w:rPr>
        <w:t xml:space="preserve">中际旭创(HK3308) 股东持股_F10_同花顺金融服务网 — https://basic.10jqka.com.cn/176/HK3308/holder.html?utm_source=openai</w:t>
      </w:r>
    </w:p>
    <w:p>
      <w:pPr>
        <w:spacing w:after="200"/>
      </w:pPr>
      <w:r>
        <w:rPr>
          <w:i/>
          <w:iCs/>
          <w:color w:val="595959"/>
          <w:sz w:val="18"/>
          <w:szCs w:val="18"/>
        </w:rPr>
        <w:t xml:space="preserve">本报告由AI基于公开渠道信息自动检索、整理并生成，信息截至 截至2026年9月11日港股收市；价格及金额均以港元（HKD）计。03308于2026年7月30日在香港主板上市，发行价为980.00港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2026-09-13T14:06:41.846Z</dcterms:created>
  <dcterms:modified xsi:type="dcterms:W3CDTF">2026-09-13T14:06:41.846Z</dcterms:modified>
</cp:coreProperties>
</file>

<file path=docProps/custom.xml><?xml version="1.0" encoding="utf-8"?>
<Properties xmlns="http://schemas.openxmlformats.org/officeDocument/2006/custom-properties" xmlns:vt="http://schemas.openxmlformats.org/officeDocument/2006/docPropsVTypes"/>
</file>