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宁德时代新能源科技股份有限公司 (03750)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行业：动力与储能电池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报告日期：2026年11月1日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核心结论：增收不增利叠加H股评级下调，估值修复需等毛利率止跌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338.80港元（0.00%）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约15677.12亿港元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17.81倍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3.44倍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3.14倍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326.00～794.50港元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成交额／换手率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12.06亿港元／1.62%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Q3利润显著低于预期，剪刀差扩大</w:t>
      </w:r>
      <w:r>
        <w:rPr>
          <w:sz w:val="22"/>
          <w:szCs w:val="22"/>
        </w:rPr>
        <w:t xml:space="preserve">：Q3营收同比+58.58%而归母净利仅+14.54%，低于卖方229-250亿元预期，毛利率20.69%为2022Q4以来单季最低。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规模扩张难掩单位盈利下滑</w:t>
      </w:r>
      <w:r>
        <w:rPr>
          <w:sz w:val="22"/>
          <w:szCs w:val="22"/>
        </w:rPr>
        <w:t xml:space="preserve">：9M2026营收4,421.37亿元已超2025年全年，但净利率由2025年的17.04%回落，经营现金流/净利润降至0.89倍。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估值已部分消化利空，但缺乏催化</w:t>
      </w:r>
      <w:r>
        <w:rPr>
          <w:sz w:val="22"/>
          <w:szCs w:val="22"/>
        </w:rPr>
        <w:t xml:space="preserve">：收盘338.80港元，PE(TTM)约15.2倍、PB 3.44倍；较52周高点794.50港元回撤57.4%，机构目标价均值约711港元。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：股价较52周高点回撤57.4%、PE(TTM)约15倍，H股空仓占22.18%，市场定价的是利润率持续承压与盈利预测下修，而非增长延续。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：花旗已下调2026-28年净利预测9%-15%，与Q3实际增速放缓方向一致；但公司未披露收入口径变化解释，Q4毛利率能否回到22%以上尚无证据，预期修正可能仍未结束。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证据倾向：偏空；置信度：中（部分财务字段仍缺官方核验或披露日期）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利润增速连续三季放缓、毛利率创新低且机构下调评级，估值虽回落但盈利预测仍在下修通道。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向车企及储能客户销售动力、储能电池系统，并通过电池材料回收及矿产资源业务获取收入。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动力电池系统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74.70%（2025年）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23.84%（2025年）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+25.08%（2025年同比）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收入核心，覆盖乘用车、商用车等应用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储能电池系统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14.74%（2025年）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26.71%（2025年）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+8.99%（2025年同比）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毛利率高于动力电池系统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电池材料及回收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5.16%（2025年）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27.27%（2025年）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-23.83%（2025年同比）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收入收缩，单年毛利率改善不宜外推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其他业务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3.99%（2025年）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-3.27%（2025年同比）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年报未列示分产品毛利率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电池矿产资源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1.41%（2025年）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11.25%（2025年）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+8.83%（2025年同比）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向上游资源环节延伸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规模与份额：公司援引SNE数据，2025年全球动力电池使用量市占率39.2%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制造能力：2025年末锂电产能772GWh、在建321GWh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客户与工程化：按车型及性能需求定制或联合开发电池产品</w:t>
      </w:r>
    </w:p>
    <w:p>
      <w:pPr>
        <w:spacing w:after="160" w:line="300"/>
      </w:pPr>
      <w:r>
        <w:rPr>
          <w:sz w:val="22"/>
          <w:szCs w:val="22"/>
        </w:rPr>
        <w:t xml:space="preserve">主要威胁：行业扩产和竞争可能压低售价；直接材料占主营业务成本71.79%，原料波动及技术路线变化也可能侵蚀利润。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主要采购正极材料、负极材料、隔膜和电解液，成本受锂、镍、钴及化工原料价格影响。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2025年直接材料成本人民币2,211.53亿元，占主营业务成本71.79%；前五大供应商采购占比10.38%，第一大占4.04%。规模采购、长协及资源布局提供保障，但公司仍受原料价格影响，缺乏对大宗原料的绝对定价权。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动力电池客户包括乘用车、商用车及新兴应用客户；储能客户覆盖公用事业、工商业、家庭和数据中心等场景。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大型车企及储能客户具备规模采购能力，买方议价不可忽略；行业扩产竞争可能带来电池售价和毛利压力。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2025年年报：前五大客户占年度销售额38.96%，第一大占13.73%；客户名称匿名披露，集中度不能据此识别具体客户。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2025年末应收账款人民币764.03亿元，为年收入的18.0%、归母净利润的105.8%；按年末余额均值估算周转约60.5天。经营现金流净额人民币1,332.20亿元。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20.25%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9.35%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材料涨价及供应紧张压缩电池业务毛利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22.91%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11.01%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主要材料均价回落，动力与储能电池毛利率回升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24.44%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14.02%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动力与储能毛利率提高，成本及产品结构改善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26.27%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17.04%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材料回收板块改善及业务组合推动综合毛利率上升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公司位于锂电产业链中游电芯及系统制造，并向材料回收、矿产资源延伸。利润率进一步改善取决于产品组合升级、制造降本及原料成本传导，而非上游原料定价权。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行业处于扩产与技术路线迭代阶段，竞争加剧可能压制售价；储能与动力需求增长及产品组合变化是公司收入结构的重要变量。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亿纬锂能（300014）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动力、储能及消费电池制造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2025年营收人民币614.70亿元；毛利率16.17%；PE(TTM) 15.51倍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收入约为宁德时代的七分之一，包含消费电池业务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国轩高科（002074）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动力与储能电池制造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2025年营收人民币450.70亿元；毛利率16.17%；PE(TTM) 58.64倍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收入约为宁德时代的九分之一，另有输配电业务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中创新航（03931）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动力与储能电池制造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2025年营收人民币444.00亿元；毛利率16.69%；PE(最近完整财年) 13.38倍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收入约为宁德时代的十分之一，含储能及其他收入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宁德时代2025年收入约为可比公司的7—10倍，毛利率高约9—10个百分点；规模与制造交付能力突出。同行业务结构不完全相同，PE口径亦有差异，估值不可直接等同比较。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调整后同比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9M2026（截至2026-09-30）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4,421.37亿元CNY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+56.19%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645.30亿元CNY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+31.60%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+32.68%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约22.7%（估算）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2026Q3单季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1,652.21亿元CNY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+58.58%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212.46亿元CNY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+14.54%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+14.86%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20.69%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FY2025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4237.02亿元人民币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+17.04%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722.01亿元人民币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+42.28%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+43.37%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26.3%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FY2024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3,620.13亿元CNY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507.45亿元CNY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2项，2项与表中一致。</w:t>
      </w:r>
    </w:p>
    <w:p>
      <w:pPr>
        <w:spacing w:after="160" w:line="300"/>
      </w:pPr>
      <w:r>
        <w:rPr>
          <w:sz w:val="22"/>
          <w:szCs w:val="22"/>
        </w:rPr>
        <w:t xml:space="preserve">增收与增利背离：Q3营收同比+58.6%，但归母净利润同比仅+14.5%，且归母净利润逐季放缓（Q1同比+48.5%、Q2同比+36.5%）；毛利率降至20.69%，为2022Q4以来单季最低。9M2026营收已超2025年全年。收入口径变化未在公告中解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64.2%（2026-09-30）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半年内上升约2.3pp，因发债与H股配售而扩张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ROE（加权平均）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17.64%（9M2026）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简单年化约23.5%，维持高位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0.89倍（9M2026）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上年同期1.54倍，因主动缩短供应商账期而下降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约58天（9M2026，估算）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应收账款较年初增47.8%，需跟踪Q4回款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商誉/归母权益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0.22%（2026-06-30）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商誉8.27亿元，无减值敞口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非经常性损益/归母净利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10.3%（9M2026）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以政府补助类其他收益为主，估值应以扣非净利润为基准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17.81倍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卖方称2027年可比均值约12倍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3.44倍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3.14倍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—（同口径历史样本不足）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滚动股息率（估算）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约2.8%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估值倍数由程序按2026-10-30收盘数据计算（市盈率/市销率按最近完整财年、市净率按最近一期）；同行倍数按2026-10-30收盘数据同口径计算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17.81倍市盈率计，若投资者要求年化9%的回报、10年后按15倍市盈率估值，每股收益需年均增长约10.9%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PE(最近完整财年)17.81倍、PB 3.44倍，上市不足两年无历史分位可参照；现价在9%回报、退出15倍PE假设下隐含10年EPS年均增长约10.9%，与机构短期净利润预测期限不同，不可直接比较高低。滚动股息率约2.8%、分红回购占净利56%提供底部支撑，但相对中创新航13.38倍、亿纬锂能15.51倍仍偏贵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机构预测（单家，非一致预期）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933.53亿元CNY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+29.29%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18.85元CNY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986–1,030亿元CNY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23.00元CNY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1,101–1,295亿元CNY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27.37元CNY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2026E为24家机构均值（截至2026-10-22），区间839.82–1,001.54亿元；2027-2028E无一致预期，为Q3后单家预测汇总（986–1,030亿元、1,101–1,295亿元），EPS取自国泰海通2026-10-26。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H股3家覆盖：中信里昂670港元（2026-10-20）、瑞银730港元、花旗732港元（均2026-10-21），均值约711港元；现价约338.9港元为市值推算值，上行空间待收盘价确认。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中信里昂CLSA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优于大市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2026-10-20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H股目标价670港元，列为板块首选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瑞银UBS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H股目标价730港元（前820港元）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花旗Citi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2026-10-21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H股目标价732港元，下调26-28年净利9%-15%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摩根大通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中性（H股下调）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2026-10-21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A股维持增持，未披露目标价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国泰海通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2026-10-26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A股目标价345.07元CNY，2027年15倍PE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2026-11-02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2026年第二次临时股东会，审议员工持股计划等议案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关注第二期员工持股计划规模、购股价格区间与考核指标；若含二级市场购股，构成A股增量买盘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2026Q4-2027年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匈牙利一期39GWh试生产转量产爬坡，西班牙50GWh推进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量产时点与客户定点公告；爬坡慢于预期将压制海外毛利率与关税规避效果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2026-11起至2027-08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A股注销式回购计划持续执行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每日翌日披露报表的回购金额与均价；股价越低执行越快，剩余额度上限约400亿元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2026-10-20 三季报增收不增利，Q3毛利率降至2022Q4以来最低（利空）</w:t>
      </w:r>
      <w:r>
        <w:rPr>
          <w:sz w:val="22"/>
          <w:szCs w:val="22"/>
        </w:rPr>
        <w:t xml:space="preserve">：Q3归母净利212.46亿元，同比+14.54%、环比-5.77%，低于卖方229-250亿元预期；毛利率20.69%，同比-5.11pct。营收同比+58.58%与利润增速剪刀差扩大，消费税约10亿元、出口退税下调及减值拖累。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2026-10-20 摩根大通下调H股评级至中性，目标价725→500 HKD（利空）</w:t>
      </w:r>
      <w:r>
        <w:rPr>
          <w:sz w:val="22"/>
          <w:szCs w:val="22"/>
        </w:rPr>
        <w:t xml:space="preserve">：三季报后摩根大通将H股由超配下调至中性；花旗下调A股目标价至479 RMB、H股至732 HKD，并下调2026-28年盈利预测9%/14%/15%至860/1,030/1,220亿元。H股10-21盘中低见373.60 HKD，两日累计跌超10%。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2026-10-21 A股注销式回购放量护盘，单日回购约8亿元（利好）</w:t>
      </w:r>
      <w:r>
        <w:rPr>
          <w:sz w:val="22"/>
          <w:szCs w:val="22"/>
        </w:rPr>
        <w:t xml:space="preserve">：200-400亿元注销式回购方案持续实施：10-21回购348.86万股、均价约230元、金额约8亿元，10-22再回购约5亿元。股价远低于方案实施均价约299元，回购对A股形成托底，对H股仅为比价与情绪影响，H股本身无回购。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2026-10-22 与北汽签署百万换电战略合作框架协议（利好）</w:t>
      </w:r>
      <w:r>
        <w:rPr>
          <w:sz w:val="22"/>
          <w:szCs w:val="22"/>
        </w:rPr>
        <w:t xml:space="preserve">：北汽推动多品牌车型接入巧克力换电生态，冲刺百万辆换电车型目标，开放经销商网络共建补能圈。属框架协议，未披露金额与排他条款，短期对业绩无量化贡献。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9M2026营收4,421.37亿元已超2025年全年，全球动力电池市占率39.2%，规模优势未见削弱。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分红加回购占归母净利润56%、滚动股息率约2.8%，A股注销式回购单日约8亿元持续执行。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储能电池毛利率26.71%高于动力电池，产品组合升级可部分对冲价格压力。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Q3毛利率20.69%同比降5.11个百分点，消费税约10亿元、出口退税下调与减值继续侵蚀单位盈利。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归母净利增速由Q1的48.5%降至Q3的14.5%，环比-5.77%，利润弹性持续收窄。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H股未平仓空仓4,842.65万股占H股22.18%居全港首位，H股仅占总股本4.72%，波动被放大。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消费税与出口退税转嫁若受阻，将继续压低单位毛利，2027年净利可能低于花旗860亿元预测。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匈牙利39GWh、西班牙50GWh爬坡慢于预期，海外产能利用率不足将拖累整体毛利率。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应收账款较年初增47.8%、经营现金流/净利润降至0.89倍，回款恶化将放大营运资金压力。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H股配售与发债推高资产负债率至64.2%，若继续股权融资将稀释每股盈利并压制估值。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Q4单季毛利率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Q3为20.69%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回升至22%以上，验证成本传导与结构改善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低于20%，确认单位盈利继续恶化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2027年净利一致预期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花旗下调至1,030亿元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机构停止下修或上修至1,100亿元以上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下修至1,000亿元以下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9M2026为0.89倍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全年回到1.2倍以上，回款改善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全年低于0.8倍，营运资金压力加剧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海外基地量产时点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匈牙利一期39GWh试生产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按期转量产并公布客户定点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量产推迟至2027年下半年之后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风险提示：以下仅为基于2026-10-30收盘技术面与资金面的主观情景推演，不构成投资建议，请勿据此直接下单。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现价距52周低点仅3.9%、距52周高点-57.4%，空头排列且RSI深度超卖，MACD负柱收窄但无放量承接，属超跌未确认底部状态。345～350与326～332构成一周决策边界，方向选择前以区间震荡为主。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均线（MA／收盘）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MA5 345.88 / MA10 364.20 / MA20 422.05 / MA60 525.02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空头排列，价格位于全部均线下方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MACD（12,26,9）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-48.796 / DEA -42.916 / 柱 -11.761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负柱连续第二日收窄，下跌动能略减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15.7 / RSI14 18.3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处于超卖区，尚未出现反转信号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布林带（20,2）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551.31 / 中轨 422.05 / 下轨 292.79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现价贴近下轨上方，波动区间极宽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量能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最新一日成交量为20日均量的0.71倍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缩量平收，抛压阶段性衰减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345～350港元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MA5 345.88叠加近日高点；站稳方打开向MA10修复空间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326～332港元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52周低点326.00与整数关口；失守即创52周新低，下探下轨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290～296港元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布林下轨292.79；失守后参考位下移至280附近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以2026-10-30价格338.80港元为基准，用近300个交易日的收益分布（按当前指数加权日波动率约3.8%缩放，保留这只股票自身的大涨大跌频率）推算未来5个交易日的收盘价范围：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308.14～366.32港元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-9.0%～+8.1%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268.87～450.25港元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-20.6%～+32.9%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：330～355港元。无新增负面消息，成交额维持10～15亿港元、卖空占成交比低于30日均值，在326上方与MA5下方反复换手。按历史波动率测算，一周后收盘落在该区间的概率约30%。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：300～326港元。成交额放大至20亿港元以上且下跌，或新增下调评级、行业月度数据不及预期、大盘走弱，326失守后指向292.79。按历史波动率测算，一周后收盘落在该区间的概率约25%。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：360～380港元。空头回补放量，成交额回到20～25亿港元并连续两日站稳MA5，先看MA10 364.20，情绪修复可上探370～380。按历史波动率测算，一周后收盘落在该区间的概率约15%。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10月可得日成交额区间6.26亿～49.61亿港元、日均约21亿，10-30换手率1.62%、成交额12.06亿。未平仓空仓4,842.65万股，占H股约22.18%（截至2026-10-23），居全港首位；南向持股635.56万股、占H股2.90%（截至2026-10-22）。A股口径前十大股东合计61.48%（截至2026-09-30），H股层面以国际托管行为主（CCASS 2026-10-08），10月急跌期间筹码变动未公开。H股仅2.183亿股、占总股本4.72%，同额资金边际定价影响远大于A股，放量时波动被放大。</w:t>
      </w:r>
    </w:p>
    <w:p>
      <w:pPr>
        <w:spacing w:after="160" w:line="300"/>
      </w:pPr>
      <w:r>
        <w:rPr>
          <w:sz w:val="22"/>
          <w:szCs w:val="22"/>
        </w:rPr>
        <w:t xml:space="preserve">连续2日单日成交额≥20亿港元（约为近期均额1.2倍以上）并收于345.88之上，视为增量资金介入；成交额≥20亿且跌破326，视为支撑失效。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-30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catl.com（公告PDF） — https://www.catl.com/uploads/1/file/public/202603/20260310105829_c5p2l3q9ll.pdf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宁德时代新能源科技股份有限公司 2026 年面向专业投资者公开发行科技创新公司债券（第二期）募集说明书 — https://disc.static.szse.cn/download/disc/disk03/finalpage/2026-06-16/dec58d98-6650-4ba6-95b2-05b69ffb6e97.PDF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寧德時代（03750.HK）股票行情、報價及新聞｜長橋證券 — https://longbridge.com/zh-HK/quote/03750.HK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HKEX CATL · 2026 THIRD QUARTERLY REPORT — https://www.hkexnews.hk/listedco/listconews/sehk/2026/1020/2026102001315.pdf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HKEX CATL · INTERIM RESULTS ANNOUNCEMENT FOR THE SIX MONTHS ENDED JUNE 30, 2026 — https://www.hkexnews.hk/listedco/listconews/sehk/2026/0726/2026072600011.pdf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HKEX CATL · 2025 Annual Report — https://www.hkexnews.hk/listedco/listconews/sehk/2026/0311/2026031100770.pdf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HKEX CATL · ANNUAL RESULTS ANNOUNCEMENT — https://www.hkexnews.hk/listedco/listconews/sehk/2026/0310/2026031000039.pdf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腾讯财经行情（2026-10-30） — https://gu.qq.com/hk03750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HKEX CATL · 证券变动月报表 — https://www.hkexnews.hk/listedco/listconews/sehk/2026/1002/2026100201758.pdf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东方财富港股F10 资产负债表（2026-09-30） — https://emweb.securities.eastmoney.com/pc_hkf10/pages/index.html?code=03750&amp;type=web#/FinancialAnalysis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“宁王”第三季度净赚超212亿元，同比增14.5%，期末股东户数较上半年末增7.5万户 - 今日头条 — https://www.toutiao.com/article/7698746486095430153/?wid=1792509794404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宁德时代：10月21日斥资8亿元回购348.86万股 — https://www.sohu.com/a/1090842030_121925623?scm=10001.7746_13-119000.0.0-0-0-0-0.0&amp;spm=smpc.channel_354.block3_32_P7Ovbu_1_fd.50.1792591636779EHaWd9i_7746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宁德时代(03750.HK)：海外监管公告 - 第四届董事会第二十一次会议决议公告内容摘要-证券之星 — https://wap.stockstar.com/detail/AN2026102100012044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寧德時代(03750) 海外監管公告-董事會/監事會決議 — https://www.hkej.com/landing/articleprint/id/4543337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2026年第三季度报告 _ 宁德时代(03750) _ 公告正文 - 2026年第三季度报告 下载附件 — https://data.eastmoney.com/notices/detail/03750/AN202610201830726996.html#1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宁德时代(03750)10月19日斥资4999.36万元回购18.67万股A股 — https://www.163.com/dy/article/L9KK7DRE05198UNI.html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宁德时代斥资约8亿元回购348.86万股 注销式回购方案已实施超46亿元 — https://stock.10jqka.com.cn/hks//20261021/c680948391.shtml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宁德时代：斥资近5亿元回购227.1万股A股 — https://dahecube.com/spiderdetail.html?spidid=876983?recid=1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() 股價、新聞、圖表、公司資料詳情 — https://stock360.hkej.com/quotePlus/stockEvents/3750?p=1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 — https://www.cnfin.com/quote/stockdetail/index.html?code=03750.XHKG-M&amp;codeName=%E5%AE%81%E5%BE%B7%E6%97%B6%E4%BB%A3&amp;crumb=%E5%AE%81%E5%BE%B7%E6%97%B6%E4%BB%A3&amp;announ=lc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宁德时代(03750)公司概况_港股行情_同花顺金融网 — https://stockpage.10jqka.com.cn/HK3750/company/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宁德时代(03750) - 个股概要、股票价格、行情走势 — https://www.itiger.com/hans/stock/03750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宁德时代(03750)最新价格_行情_走势图—东方财富网 — https://quote.eastmoney.com/hk/03750.html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股票详情 | 港股 — https://stock.caixin.com/m/hkstock/stock/details/03750.HKM?type=survey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宁德时代（hk03750）股票价格_股票实时行情_走势图-手机新浪财经 — https://quotes.sina.cn/hk/company/quotes/view/03750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宁德时代(03750)_个股概览_股票价格_实时行情_走势图_新闻资讯_股评_财报_FinScope-AI让投资更简单 — https://finance.baidu.com/stock/hk-03750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寧德時代(03750)股票股價, 市值, 即時行情, 走勢圖, 財報 - Moomoo 新手指南 — https://www.moomooapp.com/hant/stock/03750-HK?chain_id=F7ENilMAq8CgtF.1l9kh76&amp;global_content=%7B%22promote_id%22%3A13643%2C%22sub_promote_id%22%3A60%2C%22f%22%3A%22www.moomoocn.com%2Fhant%2Fstock%2FQFIN-US%22%7D#1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2026-11-01T09:52:25.618Z</dcterms:created>
  <dcterms:modified xsi:type="dcterms:W3CDTF">2026-11-01T09:52:25.618Z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