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金山云控股有限公司（KINGSOFT CLOUD） (03896)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行业：云计算基础设施、AI智算与行业云服务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截至2026年9月11日收市；计价货币为港币（HKD）。部分成交量及技术指标为公开数据或据收盘价重新计算的估算值，具体不确定性见相关说明。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金山云（03896.HK）业务增长明显提速，但仍处于“收入扩张、GAAP净利润未转正”的阶段。2026年上半年收入为人民币57.757亿元，同比增长33.7%，归属于股东的净亏损收窄至人民币4.369亿元；其中公有云收入为人民币43.539亿元，同比增长46.2%，企业云收入为人民币14.218亿元，同比增长6.1%。2026年第二季度收入为人民币30.720亿元，同比增长30.8%，并首次实现人民币2,300万元的GAAP经营利润，但季度仍录得净亏损人民币9,300万元。</w:t>
      </w:r>
    </w:p>
    <w:p>
      <w:pPr>
        <w:spacing w:after="160" w:line="300"/>
      </w:pPr>
      <w:r>
        <w:rPr>
          <w:sz w:val="22"/>
          <w:szCs w:val="22"/>
        </w:rPr>
        <w:t xml:space="preserve">增长主要由AI基础设施及MaaS需求推动。2026年第二季度AI云总账单金额为人民币13.27亿元，同比增长82%，占公有云收入的56%；不过，AI业务扩张同步推高服务器及网络设备折旧，2026年上半年毛利率由上年同期15.2%下降至14.1%，显示收入增长尚未完全转化为毛利率改善。公司2025年度资本开支已达到人民币49.943亿元，2026年第二季度资本开支进一步达到人民币33亿元，现金及现金等价物由2025年12月31日的人民币60.180亿元降至2026年6月30日的人民币46.743亿元，资本投入和现金消耗是当前重要观察点。</w:t>
      </w:r>
    </w:p>
    <w:p>
      <w:pPr>
        <w:spacing w:after="160" w:line="300"/>
      </w:pPr>
      <w:r>
        <w:rPr>
          <w:sz w:val="22"/>
          <w:szCs w:val="22"/>
        </w:rPr>
        <w:t xml:space="preserve">公司客户及收入存在一定集中度。2025年向小米集团提供云服务收入人民币22.355亿元，占总收入约23.4%；小米及金山软件集团关联方云服务收入合计人民币26.201亿元，占总收入约27.4%。同时，公司基础设施较多依靠采购及租赁，2025年应收账款净额为人民币17.405亿元，应收账款变动占用经营现金流人民币4.594亿元。盈利方面，市场预测2026年度仍为净亏损，2027—2028年虽预计接近或实现盈利，但预测区间较宽，反映市场对AI收入增速、折旧摊销及利润率改善速度存在较大分歧。</w:t>
      </w:r>
    </w:p>
    <w:p>
      <w:pPr>
        <w:spacing w:after="160" w:line="300"/>
      </w:pPr>
      <w:r>
        <w:rPr>
          <w:sz w:val="22"/>
          <w:szCs w:val="22"/>
        </w:rPr>
        <w:t xml:space="preserve">截至2026年9月11日收市，股价为港币5.16元，较9月4日的港币5.70元回落，低于MA5、MA10及MA20，短线技术结构偏弱；股价接近布林带下轨约港币5.10元，STOCHRSI及Williams %R处于超卖区，但RSI约38.934、MACD仍在零轴下方，尚不足以确认趋势反转。技术上，港币5.05至5.20元为近期支撑观察区，港币5.35至5.60元为主要反弹阻力区；9月11日成交量约715万股，明显低于近5个交易日约3,475万股的平均水平，显示抛压暂时减轻，但主动买盘承接仍不充分。</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开曼群岛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北京市海淀区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主要采用2025年度报告，数据截至2025年12月31日；年度报告于2026年4月23日发布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2025年总收入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人民币95.586亿元，同比增长22.8%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公有云服务收入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人民币66.335亿元，同比增长32.5%，占总收入约69.4%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行业云服务收入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人民币29.251亿元，同比增长5.3%，占总收入约30.6%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智算云相关收入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约人民币29.617亿元；该数字为管理层讨论中的业务运营口径，未作为独立会计分部列示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基础设施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主要在中国运营两个数据中心，约101,500台服务器，并实现EB级存储容量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2025年资本开支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人民币49.943亿元；2024年为人民币41.247亿元，按年增加约21.1%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2025年调整后EBITDA</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人民币23.364亿元，调整后EBITDA利润率为24.4%；该指标不能替代按美国公认会计准则计算的净利润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金额币种说明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研究纪要中的财务金额主要沿用公司年报披露口径，为人民币（RMB），并非港元（HKD）</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公有云服务：云计算、云服务器、云存储、数据库、网络、CDN、云安全、数据处理及人工智能算力等</w:t>
      </w:r>
    </w:p>
    <w:p>
      <w:pPr>
        <w:pStyle w:val="ListParagraph"/>
        <w:numPr>
          <w:ilvl w:val="0"/>
          <w:numId w:val="2"/>
        </w:numPr>
        <w:spacing w:after="80" w:line="280"/>
      </w:pPr>
      <w:r>
        <w:rPr>
          <w:sz w:val="22"/>
          <w:szCs w:val="22"/>
        </w:rPr>
        <w:t xml:space="preserve">行业云服务：面向互联网、金融、医疗健康、公共服务及企业服务等垂直行业，提供定制化云平台、解决方案及交付服务</w:t>
      </w:r>
    </w:p>
    <w:p>
      <w:pPr>
        <w:pStyle w:val="ListParagraph"/>
        <w:numPr>
          <w:ilvl w:val="0"/>
          <w:numId w:val="2"/>
        </w:numPr>
        <w:spacing w:after="80" w:line="280"/>
      </w:pPr>
      <w:r>
        <w:rPr>
          <w:sz w:val="22"/>
          <w:szCs w:val="22"/>
        </w:rPr>
        <w:t xml:space="preserve">智算云及AI云服务：覆盖AI训练、推理、模型API、模型管理、数据处理及大模型应用部署</w:t>
      </w:r>
    </w:p>
    <w:p>
      <w:pPr>
        <w:pStyle w:val="ListParagraph"/>
        <w:numPr>
          <w:ilvl w:val="0"/>
          <w:numId w:val="2"/>
        </w:numPr>
        <w:spacing w:after="80" w:line="280"/>
      </w:pPr>
      <w:r>
        <w:rPr>
          <w:sz w:val="22"/>
          <w:szCs w:val="22"/>
        </w:rPr>
        <w:t xml:space="preserve">云数字化解决方案及服务：帮助客户完成IT基础设施上云、数据管理及业务数字化转型</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金山云位于云计算产业链中游偏下游，连接服务器、GPU、存储、IDC、电力、带宽及网络设备供应商，负责云基础设施运营、算力资源调度、云原生平台及数据服务，并向互联网、政府、金融、医疗、企业及AI应用客户提供标准化云服务和行业解决方案。</w:t>
      </w:r>
    </w:p>
    <w:p>
      <w:pPr>
        <w:pStyle w:val="ListParagraph"/>
        <w:numPr>
          <w:ilvl w:val="0"/>
          <w:numId w:val="2"/>
        </w:numPr>
        <w:spacing w:after="80" w:line="280"/>
      </w:pPr>
      <w:r>
        <w:rPr>
          <w:sz w:val="22"/>
          <w:szCs w:val="22"/>
        </w:rPr>
        <w:t xml:space="preserve">实际采购及租赁的资源包括服务器及AI算力设备、GPU及相关加速卡、存储设备、网络设备及网络耗材，以及IDC机房、电力、带宽和机柜资源。</w:t>
      </w:r>
    </w:p>
    <w:p>
      <w:pPr>
        <w:pStyle w:val="ListParagraph"/>
        <w:numPr>
          <w:ilvl w:val="0"/>
          <w:numId w:val="2"/>
        </w:numPr>
        <w:spacing w:after="80" w:line="280"/>
      </w:pPr>
      <w:r>
        <w:rPr>
          <w:sz w:val="22"/>
          <w:szCs w:val="22"/>
        </w:rPr>
        <w:t xml:space="preserve">上游供应商类型包括互联网数据中心运营商、电信运营商、服务器供应商及网络耗材供应商；公司还需要投入研发、技术交付及云运维人力资源。</w:t>
      </w:r>
    </w:p>
    <w:p>
      <w:pPr>
        <w:pStyle w:val="ListParagraph"/>
        <w:numPr>
          <w:ilvl w:val="0"/>
          <w:numId w:val="2"/>
        </w:numPr>
        <w:spacing w:after="80" w:line="280"/>
      </w:pPr>
      <w:r>
        <w:rPr>
          <w:sz w:val="22"/>
          <w:szCs w:val="22"/>
        </w:rPr>
        <w:t xml:space="preserve">截至2025年12月31日，公司签署的两份不可撤销互联网数据中心服务协议剩余采购承诺总额为人民币12.80亿元，其中人民币5.872亿元为未来仍需履行的采购承诺。</w:t>
      </w:r>
    </w:p>
    <w:p>
      <w:pPr>
        <w:pStyle w:val="ListParagraph"/>
        <w:numPr>
          <w:ilvl w:val="0"/>
          <w:numId w:val="2"/>
        </w:numPr>
        <w:spacing w:after="80" w:line="280"/>
      </w:pPr>
      <w:r>
        <w:rPr>
          <w:sz w:val="22"/>
          <w:szCs w:val="22"/>
        </w:rPr>
        <w:t xml:space="preserve">公司具备一定规模采购能力，并在2025年与IDC服务商进行价格谈判及成本控制；但在GPU、服务器、数据中心、电力和带宽资源紧张时，仍容易受到上游价格及供给变化影响。</w:t>
      </w:r>
    </w:p>
    <w:p>
      <w:pPr>
        <w:pStyle w:val="ListParagraph"/>
        <w:numPr>
          <w:ilvl w:val="0"/>
          <w:numId w:val="2"/>
        </w:numPr>
        <w:spacing w:after="80" w:line="280"/>
      </w:pPr>
      <w:r>
        <w:rPr>
          <w:sz w:val="22"/>
          <w:szCs w:val="22"/>
        </w:rPr>
        <w:t xml:space="preserve">公司主要依靠采购和租赁数据中心、服务器及网络资源，并非完全拥有自建数据中心和全部算力设备，因此对服务器、IDC成本、折旧及租赁成本具有较高敏感度。</w:t>
      </w:r>
    </w:p>
    <w:p>
      <w:pPr>
        <w:pStyle w:val="ListParagraph"/>
        <w:numPr>
          <w:ilvl w:val="0"/>
          <w:numId w:val="2"/>
        </w:numPr>
        <w:spacing w:after="80" w:line="280"/>
      </w:pPr>
      <w:r>
        <w:rPr>
          <w:sz w:val="22"/>
          <w:szCs w:val="22"/>
        </w:rPr>
        <w:t xml:space="preserve">客户包括互联网平台及内容企业、金融机构、医疗健康机构、公共服务及政府类客户、企业客户，以及AI模型公司、自动驾驶、机器人等新兴AI应用客户。</w:t>
      </w:r>
    </w:p>
    <w:p>
      <w:pPr>
        <w:pStyle w:val="ListParagraph"/>
        <w:numPr>
          <w:ilvl w:val="0"/>
          <w:numId w:val="2"/>
        </w:numPr>
        <w:spacing w:after="80" w:line="280"/>
      </w:pPr>
      <w:r>
        <w:rPr>
          <w:sz w:val="22"/>
          <w:szCs w:val="22"/>
        </w:rPr>
        <w:t xml:space="preserve">公司采用“优质客户战略”，截至2025年12月31日共有473家优质客户，其中公有云优质客户216家、行业云优质客户273家，部分客户可能同时使用两类服务。</w:t>
      </w:r>
    </w:p>
    <w:p>
      <w:pPr>
        <w:pStyle w:val="ListParagraph"/>
        <w:numPr>
          <w:ilvl w:val="0"/>
          <w:numId w:val="2"/>
        </w:numPr>
        <w:spacing w:after="80" w:line="280"/>
      </w:pPr>
      <w:r>
        <w:rPr>
          <w:sz w:val="22"/>
          <w:szCs w:val="22"/>
        </w:rPr>
        <w:t xml:space="preserve">公有云优质客户平均收入约人民币3,030万元，行业云优质客户平均收入约人民币1,040万元。</w:t>
      </w:r>
    </w:p>
    <w:p>
      <w:pPr>
        <w:pStyle w:val="ListParagraph"/>
        <w:numPr>
          <w:ilvl w:val="0"/>
          <w:numId w:val="2"/>
        </w:numPr>
        <w:spacing w:after="80" w:line="280"/>
      </w:pPr>
      <w:r>
        <w:rPr>
          <w:sz w:val="22"/>
          <w:szCs w:val="22"/>
        </w:rPr>
        <w:t xml:space="preserve">2025年向小米集团提供公有云及行业云服务合计人民币22.355亿元，占总收入约23.4%；向金山软件集团提供相关服务合计人民币3.846亿元。小米及金山软件集团合计关联方云服务收入约人民币26.201亿元，占总收入约27.4%。</w:t>
      </w:r>
    </w:p>
    <w:p>
      <w:pPr>
        <w:pStyle w:val="ListParagraph"/>
        <w:numPr>
          <w:ilvl w:val="0"/>
          <w:numId w:val="2"/>
        </w:numPr>
        <w:spacing w:after="80" w:line="280"/>
      </w:pPr>
      <w:r>
        <w:rPr>
          <w:sz w:val="22"/>
          <w:szCs w:val="22"/>
        </w:rPr>
        <w:t xml:space="preserve">上述集中度数据为2025年度关联方交易披露口径，不是严格意义上的前五大客户收入占比；研究纪要称主要可核实资料未完整列示前五大客户收入占比，且小米及金山软件属于主要股东或关联方，不能简单等同于普通外部客户，具体前五大客户比例应以公司完整20-F或后续公告为准。</w:t>
      </w:r>
    </w:p>
    <w:p>
      <w:pPr>
        <w:pStyle w:val="ListParagraph"/>
        <w:numPr>
          <w:ilvl w:val="0"/>
          <w:numId w:val="2"/>
        </w:numPr>
        <w:spacing w:after="80" w:line="280"/>
      </w:pPr>
      <w:r>
        <w:rPr>
          <w:sz w:val="22"/>
          <w:szCs w:val="22"/>
        </w:rPr>
        <w:t xml:space="preserve">行业云项目具有较强定制化和交付属性，可能带来较高客户黏性，但也伴随较长交付周期、较高人力投入及客户议价压力；标准化云服务则受到价格、稳定性、安全性和服务质量竞争影响。</w:t>
      </w:r>
    </w:p>
    <w:p>
      <w:pPr>
        <w:pStyle w:val="ListParagraph"/>
        <w:numPr>
          <w:ilvl w:val="0"/>
          <w:numId w:val="2"/>
        </w:numPr>
        <w:spacing w:after="80" w:line="280"/>
      </w:pPr>
      <w:r>
        <w:rPr>
          <w:sz w:val="22"/>
          <w:szCs w:val="22"/>
        </w:rPr>
        <w:t xml:space="preserve">截至2025年12月31日，应收账款净额为人民币17.405亿元，约相当于2025年收入的18.2%；应付账款为人民币20.145亿元，约相当于营业成本的25.0%；客户预付款为人民币2.704亿元。2025年应收账款变动对经营现金流形成人民币4.594亿元资金占用，应付账款变动贡献人民币2.921亿元现金流。关联方贸易应收款为人民币5.734亿元，其中小米集团为人民币4.558亿元；关联方贸易应付款为人民币23.148亿元，其中小米集团为人民币23.098亿元，主要与向小米采购网络硬件设备、融资及供应链安排等关联交易有关，不能直接视为普通外部供应商信用融资。</w:t>
      </w:r>
    </w:p>
    <w:p>
      <w:pPr>
        <w:pStyle w:val="ListParagraph"/>
        <w:numPr>
          <w:ilvl w:val="0"/>
          <w:numId w:val="2"/>
        </w:numPr>
        <w:spacing w:after="80" w:line="280"/>
      </w:pPr>
      <w:r>
        <w:rPr>
          <w:sz w:val="22"/>
          <w:szCs w:val="22"/>
        </w:rPr>
        <w:t xml:space="preserve">2025年度披露显示，小米及金山软件集团关联方云服务收入合计约占总收入27.4%，小米单独约占23.4%；该数据来源于年报关联方交易披露，不能替代前五大客户集中度。公司在本次可核实资料中未完整披露前五大客户收入占比，数据来源及口径存在局限，具体以最新年报或公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约-31.0%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公有云价格竞争、IDC资源成本及低效资源拖累利润，公司处于较重投入及亏损阶段。</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业务结构优化、AI相关业务增长、主动收缩部分低毛利CDN业务并加强成本控制，毛利率改善；但确认约人民币9.197亿元长期资产减值，净亏损仍较大。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AI智算需求推动收入增长，经营杠杆和费用控制改善净亏损；但服务器折旧、IDC成本及AI基础设施投入上升，毛利率较2024年下降1.5个百分点。</w:t>
            </w:r>
          </w:p>
        </w:tc>
      </w:tr>
    </w:tbl>
    <w:p>
      <w:pPr>
        <w:spacing w:before="200"/>
      </w:pPr>
    </w:p>
    <w:p>
      <w:pPr>
        <w:spacing w:after="160" w:line="300"/>
      </w:pPr>
      <w:r>
        <w:rPr>
          <w:sz w:val="22"/>
          <w:szCs w:val="22"/>
        </w:rPr>
        <w:t xml:space="preserve">金山云更接近“技术平台+基础设施运营+行业交付”的中游服务商，而非掌握核心芯片、GPU或数据中心资源的上游高议价环节，也不是拥有强消费品牌的终端平台。进一步改善利润主要取决于AI训练和推理需求、算力资源利用率、GPU及服务器折旧和IDC成本控制、低毛利CDN等业务收缩，以及高毛利AI平台、模型API和行业解决方案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人民币57.757亿元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净亏损人民币4.367亿元；归属于股东的净亏损人民币4.369亿元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归属于股东的净亏损同比收窄43.4%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人民币43.192亿元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数据缺失或不适用</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净亏损人民币7.730亿元；归属于股东的净亏损人民币7.714亿元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数据缺失或不适用</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人民币30.720亿元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同比增长30.8%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数据缺失；GAAP经营利润为人民币2,300万元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人民币95.586亿元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归属于公司股东的净亏损人民币9.363亿元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较2024年度人民币19.667亿元收窄约52.4%</w:t>
            </w:r>
          </w:p>
        </w:tc>
      </w:tr>
    </w:tbl>
    <w:p>
      <w:pPr>
        <w:spacing w:after="200"/>
      </w:pPr>
      <w:r>
        <w:rPr>
          <w:i/>
          <w:iCs/>
          <w:color w:val="595959"/>
          <w:sz w:val="18"/>
          <w:szCs w:val="18"/>
        </w:rPr>
        <w:t xml:space="preserve">财务数据按公司美国公认会计原则（U.S. GAAP）披露，金额均为人民币。2026年上半年公有云服务收入为人民币43.539亿元，同比增长46.2%；企业云服务收入为人民币14.218亿元，同比增长6.1%。</w:t>
      </w:r>
    </w:p>
    <w:p>
      <w:pPr>
        <w:spacing w:after="160" w:line="300"/>
      </w:pPr>
      <w:r>
        <w:rPr>
          <w:sz w:val="22"/>
          <w:szCs w:val="22"/>
        </w:rPr>
        <w:t xml:space="preserve">金山云2026年上半年收入增长重新加速，主要由AI相关客户需求、公有云及智能计算业务推动；公有云收入增速显著高于企业云。公司经营亏损由2025年同期的人民币5.612亿元收窄至人民币1.431亿元，非GAAP调整后经营利润为人民币6,414万元，扣除出售物业及设备收益后的正常化调整后经营利润约为人民币2,912万元。第二季度首次实现GAAP经营利润转正。不过，毛利率由2025年同期的15.2%下降至14.1%，主要受AI业务扩张带来的服务器及网络设备折旧增加影响；公司仍未实现GAAP净利润。调整后EBITDA为人民币18.480亿元，同比增长155.0%，但不宜单独替代净利润判断盈利能力。</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及每股收益为经济通截至2026年8月底前后汇总的11份券商报告；收入预测主要来自国盛证券，属于单一机构预测，不能视为多机构一致预期。2027—2028年盈利预测区间较宽，反映机构对AI云收入增速、资本开支、折旧摊销及利润率改善速度存在较大分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人民币126亿元（国盛证券单一机构预测）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综合预测净亏损人民币6.454亿元；预测区间为净亏损人民币3.090亿元至10.565亿元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仍处于亏损状态，净利润同比数据缺失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综合预测每股亏损人民币0.1067元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人民币155亿元（国盛证券单一机构预测）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综合预测净利润人民币900万元；预测区间为亏损人民币10.20亿元至盈利人民币3.77亿元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较2026年预测亏损改善；具体同比增幅数据缺失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综合预测每股盈利人民币0.008元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人民币194亿元（国盛证券单一机构预测）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综合预测净利润人民币1.425亿元；预测区间为亏损人民币12.72亿元至盈利人民币12.00亿元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较2027年综合预测增加；具体同比增幅数据缺失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综合预测每股盈利人民币0.0312元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经济通综合（11份券商报告）</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截至2026年8月底前后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强烈买入1份、买入10份；持有、沽出及立即沽出均为0份</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2026年净亏损预测人民币3.09亿元；目标价港币13.00元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2026年净亏损预测人民币3.55亿元；目标价港币13.00元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目标价上调至港币13.00元；2026年净亏损预测人民币6.48亿元；2026年至2028年收入预测上调约2%至28%</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德意志银行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2026年净亏损预测人民币10.565亿元；目标价港币12.00元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2026年净亏损预测人民币3.111亿元；目标价港币11.10元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2026年净亏损预测人民币6.29亿元；目标价港币10.50元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2026年净亏损预测人民币7.77亿元；目标价港币10.40元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2026年净亏损预测人民币4.39亿元；目标价港币9.88元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2026年净亏损预测人民币6.97亿元；目标价港币9.36元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2026年净亏损预测人民币6.454亿元；目标价港币9.36元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2026年净亏损预测人民币7.24亿元；目标价港币8.32元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日期缺失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收入预测：2026年人民币126亿元、2027年人民币155亿元、2028年人民币194亿元；目标价港币8.00元</w:t>
            </w:r>
          </w:p>
        </w:tc>
      </w:tr>
    </w:tbl>
    <w:p>
      <w:pPr>
        <w:spacing w:before="200"/>
      </w:pPr>
    </w:p>
    <w:p>
      <w:pPr>
        <w:spacing w:after="160" w:line="300"/>
      </w:pPr>
      <w:r>
        <w:rPr>
          <w:sz w:val="22"/>
          <w:szCs w:val="22"/>
        </w:rPr>
        <w:t xml:space="preserve">截至2026年9月10日约10:03 HKT，港股盘中价约为港币5.250元，前收市价港币5.325元，盘中跌幅约1.41%，市值约港币237.92亿元；该价格为盘中数据，并非最终收市价。由于公司最近一期及2026年度预计仍录得亏损，当前市盈率及2026年预测市盈率均不适用。2027年和2028年虽预计实现盈利，但每股盈利基数仅分别为人民币0.008元和人民币0.0312元，预测市盈率可能较高，不适合单独作为估值依据。以2025年度收入人民币95.586亿元及当前市值港币237.92亿元粗略估算，市销率约为2倍上下，但人民币收入与港币市值之间涉及汇率换算，仅供近似参考。11个机构目标价区间为港币8.32元至13.00元，简单算术平均约港币10.90元；相对当前港币5.25元，最低、平均及最高目标价对应的机械潜在上涨空间约为58%、108%及148%。公司当前估值主要依赖AI云业务收入增长、毛利率企稳及利润率改善，GAAP净利润尚未转正，且折旧摊销、利息费用、后续融资及盈利预测落空均可能导致估值和目标价下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2026年9月4日：股份发行人的证券变动月报表显示股本稳定</w:t>
      </w:r>
    </w:p>
    <w:p>
      <w:pPr>
        <w:spacing w:after="160" w:line="300"/>
      </w:pPr>
      <w:r>
        <w:rPr>
          <w:sz w:val="22"/>
          <w:szCs w:val="22"/>
        </w:rPr>
        <w:t xml:space="preserve">截至2026年8月31日，法定/注册普通股数量为40,000,000,000股，每股面值0.001美元，法定/注册股本为40,000,000美元。已发行普通股为4,531,784,801股，库存股份为0股，已发行股份总数较2026年7月31日没有变化。2026年8月没有新增或减少已发行股份、股份回购、股份注销或其他股本变动，公司确认符合适用的公众持股量要求。来源：HKEX披露易（https://www1.hkexnews.hk/listedco/listconews/sehk/2026/0904/2026090401511.pdf）</w:t>
      </w:r>
    </w:p>
    <w:p>
      <w:pPr>
        <w:pStyle w:val="Heading2"/>
        <w:spacing w:after="120" w:before="240"/>
      </w:pPr>
      <w:r>
        <w:rPr>
          <w:b/>
          <w:bCs/>
          <w:color w:val="2E74B5"/>
          <w:sz w:val="24"/>
          <w:szCs w:val="24"/>
        </w:rPr>
        <w:t xml:space="preserve">4.2 2026年8月19日：第二季度收入及AI云业务快速增长</w:t>
      </w:r>
    </w:p>
    <w:p>
      <w:pPr>
        <w:spacing w:after="160" w:line="300"/>
      </w:pPr>
      <w:r>
        <w:rPr>
          <w:sz w:val="22"/>
          <w:szCs w:val="22"/>
        </w:rPr>
        <w:t xml:space="preserve">截至2026年6月30日止三个月，金山云总收入为人民币3,072.0百万元，同比增长30.8%，较2026年第一季度增长13.6%。公有云服务收入为人民币2,357.6百万元，同比增长45.1%，环比增长18.1%；企业云服务收入为人民币714.3百万元，同比下降1.3%，环比增长1.0%。AI云总账单金额为人民币1,327百万元，同比增长82%，占公有云收入的56%，增长主要来自AI基础设施服务及Model-as-a-Service（MaaS）业务。上述数据为未经审计数据，并按美国通用会计准则编制。来源：HKEX披露易（https://www1.hkexnews.hk/listedco/listconews/sehk/2026/0819/2026081900929.pdf）</w:t>
      </w:r>
    </w:p>
    <w:p>
      <w:pPr>
        <w:pStyle w:val="Heading2"/>
        <w:spacing w:after="120" w:before="240"/>
      </w:pPr>
      <w:r>
        <w:rPr>
          <w:b/>
          <w:bCs/>
          <w:color w:val="2E74B5"/>
          <w:sz w:val="24"/>
          <w:szCs w:val="24"/>
        </w:rPr>
        <w:t xml:space="preserve">4.3 2026年8月19日：毛利率及经营利润改善，但仍录得净亏损</w:t>
      </w:r>
    </w:p>
    <w:p>
      <w:pPr>
        <w:spacing w:after="160" w:line="300"/>
      </w:pPr>
      <w:r>
        <w:rPr>
          <w:sz w:val="22"/>
          <w:szCs w:val="22"/>
        </w:rPr>
        <w:t xml:space="preserve">2026年第二季度毛利为人民币466.2百万元，同比增长37.6%；毛利率为15.2%，高于2025年同期的14.4%及2026年第一季度的12.8%。经营利润为人民币23.0百万元，2025年同期经营亏损为人民币327.0百万元，2026年第一季度经营亏损为人民币166.1百万元；非美国通用会计准则经营利润为人民币124.0百万元，非GAAP经营利润率为4.0%。第二季度净亏损为人民币93.0百万元，同比收窄79.6%，环比收窄72.9%；非GAAP净亏损为人民币59.8百万元，2025年同期为人民币300.5百万元，2026年第一季度为人民币237.1百万元。来源：HKEX披露易（https://www1.hkexnews.hk/listedco/listconews/sehk/2026/0819/2026081900929.pdf）</w:t>
      </w:r>
    </w:p>
    <w:p>
      <w:pPr>
        <w:pStyle w:val="Heading2"/>
        <w:spacing w:after="120" w:before="240"/>
      </w:pPr>
      <w:r>
        <w:rPr>
          <w:b/>
          <w:bCs/>
          <w:color w:val="2E74B5"/>
          <w:sz w:val="24"/>
          <w:szCs w:val="24"/>
        </w:rPr>
        <w:t xml:space="preserve">4.4 AI算力投入增加，资本开支及现金消耗值得关注</w:t>
      </w:r>
    </w:p>
    <w:p>
      <w:pPr>
        <w:spacing w:after="160" w:line="300"/>
      </w:pPr>
      <w:r>
        <w:rPr>
          <w:sz w:val="22"/>
          <w:szCs w:val="22"/>
        </w:rPr>
        <w:t xml:space="preserve">2026年第二季度资本开支（包括通过租赁安排资本化的资产）为人民币3.3十亿元，较2026年第一季度增加，主要与AI算力资源投入有关。截至2026年6月30日，现金及现金等价物为人民币4,674.3百万元，低于2025年12月31日的人民币6,018.0百万元，公司解释主要原因是采购算力设备投入增加。公司首次实现GAAP经营利润，但仍处于净亏损状态，AI算力设备投入及折旧增加带来的现金流和盈利压力仍需关注。上述数据为未经审计数据。来源：HKEX披露易（https://www1.hkexnews.hk/listedco/listconews/sehk/2026/0819/2026081900929.pdf）</w:t>
      </w:r>
    </w:p>
    <w:p>
      <w:pPr>
        <w:pStyle w:val="Heading2"/>
        <w:spacing w:after="120" w:before="240"/>
      </w:pPr>
      <w:r>
        <w:rPr>
          <w:b/>
          <w:bCs/>
          <w:color w:val="2E74B5"/>
          <w:sz w:val="24"/>
          <w:szCs w:val="24"/>
        </w:rPr>
        <w:t xml:space="preserve">4.5 2026年7月17日：向438名员工授予限制性股份单位</w:t>
      </w:r>
    </w:p>
    <w:p>
      <w:pPr>
        <w:spacing w:after="160" w:line="300"/>
      </w:pPr>
      <w:r>
        <w:rPr>
          <w:sz w:val="22"/>
          <w:szCs w:val="22"/>
        </w:rPr>
        <w:t xml:space="preserve">公司向438名员工授予合共16,220,972份限制性股份单位（RSU），对应16,220,972股普通股，约占公司当时已发行股份的0.36%。授予价为每股0.01港元，授予日港股收市价为每股4.92港元。授予对象不包括董事、首席执行官、主要股东及其关联人士，归属条件与个人绩效考核挂钩。该安排属于员工激励，不属于主要股东增持；截至2026年8月31日，2026年股权激励计划当月没有新增发行股份。来源：HKEX披露易（https://www1.hkexnews.hk/listedco/listconews/sehk/2026/0717/2026071701457.pdf）</w:t>
      </w:r>
    </w:p>
    <w:p>
      <w:pPr>
        <w:pStyle w:val="Heading2"/>
        <w:spacing w:after="120" w:before="240"/>
      </w:pPr>
      <w:r>
        <w:rPr>
          <w:b/>
          <w:bCs/>
          <w:color w:val="2E74B5"/>
          <w:sz w:val="24"/>
          <w:szCs w:val="24"/>
        </w:rPr>
        <w:t xml:space="preserve">4.6 回购、股东权益变动及重大交易：截至2026年9月13日未见新增执行或披露</w:t>
      </w:r>
    </w:p>
    <w:p>
      <w:pPr>
        <w:spacing w:after="160" w:line="300"/>
      </w:pPr>
      <w:r>
        <w:rPr>
          <w:sz w:val="22"/>
          <w:szCs w:val="22"/>
        </w:rPr>
        <w:t xml:space="preserve">截至2026年8月31日的月度证券变动报表显示，公司2026年8月没有股份回购，库存股份为0股，已发行股份数量没有变化，也没有股份注销记录。公司于2026年6月30日举行的股东周年大会相关文件中曾寻求股东批准股份及/或美国存托股回购的一般授权，但现有披露仅支持已获回购授权，不支持已实际执行回购的判断。截至2026年9月13日，未检索到2026年9月发布的主要股东增持、减持、董事持股变动、独立盈利预警、盈利预喜、重大并购、出售资产、合资安排、重大资产重组、港交所纪律处分、证监会监管行动或重大监管处罚公告。上述‘未发现’仅代表本次检索范围内未找到相关披露，不排除尚未公告、通过其他市场主体披露或后续补充披露的情况。来源：HKEX披露易（https://www1.hkexnews.hk/search/titlesearch.xhtml?category=0&amp;market=SEHK&amp;stockId=1000180012）</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5.16港元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-0.07港元，跌幅约1.34%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5.15港元／5.16港元／5.10港元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约715万股；Investing.com其他页面摘要曾显示约3,163万股，存在口径差异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估算当日成交金额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约3,700万港元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约233.8亿港元，按约45.318亿股已发行股份及5.16港元收盘价计算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52周股价区间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4.22～9.75港元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近期价格变化</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2026年9月4日至9月11日由5.70港元回落至5.16港元；2026年9月7日至9月11日由5.55港元降至5.16港元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MA5约5.34港元，MA10约5.43港元，MA20约5.58港元；此前公开技术页面截至2026年9月3日显示MA50约5.51港元、MA100约5.72港元、MA200约5.74港元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收盘价5.16港元低于主要均线，5.3～5.6港元构成短期均线密集区及反弹阻力区，均线结构整体偏弱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38.934，数据截至2026年9月3日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处于中性偏弱区间，尚未达到极端超卖水平，不能单凭RSI确认底部反转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-0.04，数据截至2026年9月3日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仍处于零轴下方，暂未出现明确的持续性金叉，短线动能偏淡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19.767，数据截至2026年9月3日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处于超卖区，存在技术性反弹条件，但不能单独确认趋势反转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-83.721，数据截至2026年9月3日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处于超卖区，显示短线价格偏弱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CCI（14）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-105.9049，数据截至2026年9月3日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指标处于较弱水平，与短线偏弱走势一致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22.488，数据截至2026年9月3日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趋势强度不算高，当前更接近弱势震荡下行，而非单边急跌趋势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20日中轨约5.58港元，上轨约6.07港元，下轨约5.10港元；截至2026年9月11日重新计算的估算值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收盘价5.16港元接近下轨，若5.10港元附近缩量企稳，可能出现技术性反弹；若放量跌穿，则可能向5.0港元甚至4.5港元附近寻找支撑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成交量及换手率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9月11日成交量约715万股，按总股本计算换手率约0.16%；最近5个交易日平均成交量约3,475万股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9月11日成交量明显低于近期均值，股价继续收跌，呈缩量下跌；抛压暂时减轻，但尚未显示出足够强的主动买盘承接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南向资金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截至2026年9月7日，最近5个交易日累计净卖出约1,067.6万股、约6,390万港元；9月7日净买入约1,359.6万股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南向资金短线承接力度不稳定；港股通持仓比例约28%，但该指标不能代表全部机构或主力资金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公司仍处于亏损状态，页面显示市盈率约-36.85倍；市净率约2.51倍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负PE不具备传统正PE估值含义，不宜视为传统意义上的低估值信号</w:t>
            </w:r>
          </w:p>
        </w:tc>
      </w:tr>
    </w:tbl>
    <w:p>
      <w:pPr>
        <w:spacing w:before="200"/>
      </w:pPr>
    </w:p>
    <w:p>
      <w:pPr>
        <w:spacing w:after="160" w:line="300"/>
      </w:pPr>
      <w:r>
        <w:rPr>
          <w:sz w:val="22"/>
          <w:szCs w:val="22"/>
        </w:rPr>
        <w:t xml:space="preserve">金山云（03896.HK）截至2026年9月11日收报5.16港元，较9月4日的5.70港元明显回落，且收盘价低于MA5、MA10及MA20，短线均线结构偏弱。股价已接近布林带下轨约5.10港元，STOCHRSI及Williams %R处于超卖区，存在技术性反弹条件，但RSI约39、MACD仍在负区，尚不足以确认趋势反转。9月11日成交量约715万股，显著低于最近5个交易日约3,475万股的平均水平，缩量下跌反映抛压暂时减轻，但主动买盘承接仍不充分。整体上，短线处于5.05～5.20港元支撑观察区与5.35～5.60港元反弹阻力区之间，后续走势需要结合收盘价、成交量及南向资金变化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5.35～5.60港元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参考MA5约5.34港元、MA10约5.43港元、MA20约5.58港元及近期成交密集区。若反弹至该区间但成交量不足，可能再次遇阻；若有效收复5.60港元，才有条件进一步挑战5.80～6.10港元区域。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5.05～5.20港元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接近9月11日最低价5.10港元及布林带下轨约5.10港元。若该区间缩量企稳，可能出现技术性反弹；若收市价持续低于5.05港元，短线弱势可能加剧。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4.45～4.70港元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参考前期技术分析提及的约4.50港元支撑及下一档潜在支撑区域。若5.05港元附近失守，股价可能向4.50港元附近寻找支撑；若该区域也被跌破，则需关注再次测试52周低位4.22港元的风险。</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相对权重较高，约六成左右；为基于当前技术面及资金面的主观启发式权重，并非统计概率）：价格区间约5.05～5.45港元。触发条件包括守住5.05～5.10港元、成交量维持在近期均值附近或低于近期均值，以及无法有效突破5.35～5.45港元。该情景下，股价可能在低位反复，技术性反弹与解套或获利卖压交替出现。</w:t>
      </w:r>
    </w:p>
    <w:p>
      <w:pPr>
        <w:pStyle w:val="ListParagraph"/>
        <w:numPr>
          <w:ilvl w:val="0"/>
          <w:numId w:val="2"/>
        </w:numPr>
        <w:spacing w:after="80" w:line="280"/>
      </w:pPr>
      <w:r>
        <w:rPr>
          <w:sz w:val="22"/>
          <w:szCs w:val="22"/>
        </w:rPr>
        <w:t xml:space="preserve">偏弱下行（权重中等；为主观情景判断，并非统计概率）：价格区间约4.50～5.05港元。触发条件包括收市价有效跌破5.05港元、跌破时成交量明显高于近期平均水平，以及南向资金继续连续净卖出或云计算、AI及科技股板块同步走弱。若5.05港元失守，可能先测试5.0港元整数关口，再向4.5港元附近寻找支撑；若放量跌破4.5港元，下方可能重新接近52周低位4.22港元。</w:t>
      </w:r>
    </w:p>
    <w:p>
      <w:pPr>
        <w:pStyle w:val="ListParagraph"/>
        <w:numPr>
          <w:ilvl w:val="0"/>
          <w:numId w:val="2"/>
        </w:numPr>
        <w:spacing w:after="80" w:line="280"/>
      </w:pPr>
      <w:r>
        <w:rPr>
          <w:sz w:val="22"/>
          <w:szCs w:val="22"/>
        </w:rPr>
        <w:t xml:space="preserve">反弹走强（权重偏低至中等；为主观情景判断，并非统计概率）：价格区间约5.45～5.80港元，强势情况下可测试6.05港元附近。触发条件包括重新站上5.35～5.45港元，随后收复5.55～5.60港元的MA20及近期压力区，并出现明显放量且上涨日成交量不低于近期平均水平。若放量站稳5.60港元，技术面才可能由超卖反弹向短线趋势修复转变；若进一步突破5.80港元，则有机会测试布林带上轨约6.05港元，但反弹延续仍需成交量及南向资金配合。</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按当前行情表，当日成交量约715万股，按约45.318亿股总股本计算换手率约0.16%；最近5个交易日平均成交量约3,475万股，按各日收盘价估算的平均成交金额约1.87亿港元。最近5个交易日港股通累计净卖出约1,067.6万股，但该资金数据截至2026年9月7日。股东披露方面，金山软件有限公司约14.93亿股、占比约32.94%，最后申报日期为2025年10月2日；小米集团／雷军相关权益约4.66亿股、占比约10.29%，披露日期为2026年3月25日；The Bank of New York Mellon Corporation约3.26亿股、占比约7.20%，申报日期为2026年6月24日。上述三项主要披露权益简单相加约占总股本50%，但无法据此完整推算真正意义上的前十大股东集中度；其中The Bank of New York Mellon Corporation可能包含托管或名义持有人权益，且披露数据存在滞后，实际结构可能已经变化。公开纪要未确认前十大股东中是否有公募基金、社保或QFII等主流机构持仓，因此不作此项推断。实际交易中，若流动性恢复不足，5.1～5.5港元区间可能出现较明显的盘口跳动和滑点。</w:t>
      </w:r>
    </w:p>
    <w:p>
      <w:pPr>
        <w:spacing w:after="160" w:line="300"/>
      </w:pPr>
      <w:r>
        <w:rPr>
          <w:sz w:val="22"/>
          <w:szCs w:val="22"/>
        </w:rPr>
        <w:t xml:space="preserve">若未来一周出现单日成交量持续达到约5,000万股以上、成交金额大致超过2.5亿港元，同时股价能够收复5.45～5.60港元区间，可视为短线资金重新活跃的量能确认信号；若放量但股价仍跌破5.05港元，则更可能属于下跌中的抛压放大，而非有效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观察5.05～5.10港元区域能否缩量企稳，不把单日反弹直接等同于趋势反转。</w:t>
      </w:r>
    </w:p>
    <w:p>
      <w:pPr>
        <w:pStyle w:val="ListParagraph"/>
        <w:numPr>
          <w:ilvl w:val="0"/>
          <w:numId w:val="2"/>
        </w:numPr>
        <w:spacing w:after="80" w:line="280"/>
      </w:pPr>
      <w:r>
        <w:rPr>
          <w:sz w:val="22"/>
          <w:szCs w:val="22"/>
        </w:rPr>
        <w:t xml:space="preserve">观察5.35～5.60港元均线密集区能否被有效收复，尤其关注收市价而非盘中短暂突破。</w:t>
      </w:r>
    </w:p>
    <w:p>
      <w:pPr>
        <w:pStyle w:val="ListParagraph"/>
        <w:numPr>
          <w:ilvl w:val="0"/>
          <w:numId w:val="2"/>
        </w:numPr>
        <w:spacing w:after="80" w:line="280"/>
      </w:pPr>
      <w:r>
        <w:rPr>
          <w:sz w:val="22"/>
          <w:szCs w:val="22"/>
        </w:rPr>
        <w:t xml:space="preserve">观察成交量能否回升至约5,000万股以上，并同时配合上涨收市。</w:t>
      </w:r>
    </w:p>
    <w:p>
      <w:pPr>
        <w:pStyle w:val="ListParagraph"/>
        <w:numPr>
          <w:ilvl w:val="0"/>
          <w:numId w:val="2"/>
        </w:numPr>
        <w:spacing w:after="80" w:line="280"/>
      </w:pPr>
      <w:r>
        <w:rPr>
          <w:sz w:val="22"/>
          <w:szCs w:val="22"/>
        </w:rPr>
        <w:t xml:space="preserve">观察港股通资金能否结束连续净卖出并恢复连续净买入，但港股通数据存在披露滞后。以上均为观察思路，非操作指令。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港股流动性及公司公告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公有云及AI云市场呈现头部互联网云厂商、运营商云、专业化及垂直云服务商并存的格局。IDC分析指出，2025年下半年中国公有云IaaS市场同比增速恢复至20.0%，整体公有云市场规模首次突破人民币2,000亿元。AI正在推动竞争从传统计算、存储和网络资源，扩展至芯片、算力集群、模型、平台及行业应用的全栈能力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主要竞争维度包括算力资源规模和GPU供应能力、数据中心及网络覆盖、云原生及数据库技术、AI训练和推理能力、政企客户获取能力、行业解决方案及交付能力。</w:t>
      </w:r>
    </w:p>
    <w:p>
      <w:pPr>
        <w:pStyle w:val="ListParagraph"/>
        <w:numPr>
          <w:ilvl w:val="0"/>
          <w:numId w:val="2"/>
        </w:numPr>
        <w:spacing w:after="80" w:line="280"/>
      </w:pPr>
      <w:r>
        <w:rPr>
          <w:sz w:val="22"/>
          <w:szCs w:val="22"/>
        </w:rPr>
        <w:t xml:space="preserve">价格、稳定性、安全性、服务质量、生态系统和客户迁移成本也是重要竞争因素。</w:t>
      </w:r>
    </w:p>
    <w:p>
      <w:pPr>
        <w:pStyle w:val="ListParagraph"/>
        <w:numPr>
          <w:ilvl w:val="0"/>
          <w:numId w:val="2"/>
        </w:numPr>
        <w:spacing w:after="80" w:line="280"/>
      </w:pPr>
      <w:r>
        <w:rPr>
          <w:sz w:val="22"/>
          <w:szCs w:val="22"/>
        </w:rPr>
        <w:t xml:space="preserve">金山云的相对优势包括金山软件和小米生态客户基础、视频、游戏、互联网及行业云场景积累、云基础设施与行业方案及交付服务一体化能力，以及AI智算业务增长较快。</w:t>
      </w:r>
    </w:p>
    <w:p>
      <w:pPr>
        <w:pStyle w:val="ListParagraph"/>
        <w:numPr>
          <w:ilvl w:val="0"/>
          <w:numId w:val="2"/>
        </w:numPr>
        <w:spacing w:after="80" w:line="280"/>
      </w:pPr>
      <w:r>
        <w:rPr>
          <w:sz w:val="22"/>
          <w:szCs w:val="22"/>
        </w:rPr>
        <w:t xml:space="preserve">相对弱点包括总体规模小于阿里云、腾讯云、华为云及运营商云，基础设施较多依靠采购和租赁，AI扩张需要较大资本开支，并对折旧和IDC成本较为敏感。</w:t>
      </w:r>
    </w:p>
    <w:p>
      <w:pPr>
        <w:pStyle w:val="ListParagraph"/>
        <w:numPr>
          <w:ilvl w:val="0"/>
          <w:numId w:val="2"/>
        </w:numPr>
        <w:spacing w:after="80" w:line="280"/>
      </w:pPr>
      <w:r>
        <w:rPr>
          <w:sz w:val="22"/>
          <w:szCs w:val="22"/>
        </w:rPr>
        <w:t xml:space="preserve">小米及金山软件生态收入占比较高，客户集中度和关联交易依赖需要持续观察；公司尚未完全摆脱亏损，盈利质量取决于AI业务规模化及资源利用率提升。</w:t>
      </w:r>
    </w:p>
    <w:p>
      <w:pPr>
        <w:pStyle w:val="ListParagraph"/>
        <w:numPr>
          <w:ilvl w:val="0"/>
          <w:numId w:val="2"/>
        </w:numPr>
        <w:spacing w:after="80" w:line="280"/>
      </w:pPr>
      <w:r>
        <w:rPr>
          <w:sz w:val="22"/>
          <w:szCs w:val="22"/>
        </w:rPr>
        <w:t xml:space="preserve">行业市场份额会因IaaS、综合云服务、AI云或公有云整体等统计口径不同而变化，本纪要未采用未经公司或IDC正式文件交叉确认的金山云具体市场份额数字。</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阿里云（阿里巴巴-SW，09988.HK）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中国公有云市场规模较大的综合型云服务商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覆盖IaaS、PaaS、数据库、大数据、AI模型及行业解决方案，规模、产品广度和生态明显强于金山云；金山云主要通过垂直行业服务、生态客户及AI算力场景差异化竞争。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腾讯云（腾讯控股，00700.HK）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依托社交、内容、游戏及金融科技生态的综合云服务商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在游戏、社交、视频、内容、金融科技及互联网企业服务方面积累较强；整体规模和生态大于金山云，金山云在小米、金山软件生态及部分行业云项目中具备差异化。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华为云（母公司华为为非上市企业）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偏大型政企、ICT基础设施及国产化全栈方案的云服务商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优势包括政企客户、ICT硬件与网络设备协同、昇腾AI生态及国产化适配；金山云更偏互联网生态、AI算力服务及选定垂直行业。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百度智能云（百度集团-SW，09888.HK）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AI模型、自动驾驶及企业智能化应用导向的云服务商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在AI模型、大模型平台、AI开发工具及企业智能化应用方面优势较强，与金山云在AI训练、推理、模型服务及行业AI解决方案方面存在直接竞争。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天翼云及移动云（中国电信，00728.HK；中国移动，00941.HK）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依托运营商网络、数据中心及政企渠道的云服务商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政务、教育、金融、医疗及大型企业市场具有网络资源、属地化服务和政企渠道优势；金山云在互联网技术基因、云原生研发、AI云产品及生态客户方面具有差异化，但网络资源、政企渠道和资本投入能力相对较弱。</w:t>
            </w:r>
          </w:p>
        </w:tc>
      </w:tr>
    </w:tbl>
    <w:p>
      <w:pPr>
        <w:spacing w:before="200"/>
      </w:pPr>
    </w:p>
    <w:p>
      <w:pPr>
        <w:spacing w:after="160" w:line="300"/>
      </w:pPr>
      <w:r>
        <w:rPr>
          <w:sz w:val="22"/>
          <w:szCs w:val="22"/>
        </w:rPr>
        <w:t xml:space="preserve">金山云的核心定位是“AI智算+行业云+生态云”并行发展的中游云服务商。相较头部互联网云厂商，公司规模和生态较小；相较运营商云，公司网络资源和政企渠道相对弱；相较AI属性更强的百度智能云，公司更突出数据中心及云基础设施运营、小米和金山软件生态，以及从算力到部署交付的一体化服务。其竞争优势能否转化为盈利，取决于AI业务规模、算力利用率、客户结构和基础设施成本控制。</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AI云业务的高增长未必等同于盈利增长。2026年第二季度AI云总账单金额为人民币13.27亿元、同比增长82%，但AI基础设施扩张同时带来服务器及网络设备折旧增加，2026年上半年毛利率降至14.1%；若算力利用率提升不及预期，收入增长可能继续伴随利润率压力。</w:t>
      </w:r>
    </w:p>
    <w:p>
      <w:pPr>
        <w:pStyle w:val="ListParagraph"/>
        <w:numPr>
          <w:ilvl w:val="0"/>
          <w:numId w:val="2"/>
        </w:numPr>
        <w:spacing w:after="80" w:line="280"/>
      </w:pPr>
      <w:r>
        <w:rPr>
          <w:sz w:val="22"/>
          <w:szCs w:val="22"/>
        </w:rPr>
        <w:t xml:space="preserve">资本开支和现金消耗可能加大财务压力。公司2025年资本开支为人民币49.943亿元，2026年第二季度资本开支进一步达到人民币33亿元；同期现金及现金等价物由人民币60.180亿元降至人民币46.743亿元。若持续扩张算力资源而经营现金流改善不足，后续融资、资产折旧或流动性压力可能上升。</w:t>
      </w:r>
    </w:p>
    <w:p>
      <w:pPr>
        <w:pStyle w:val="ListParagraph"/>
        <w:numPr>
          <w:ilvl w:val="0"/>
          <w:numId w:val="2"/>
        </w:numPr>
        <w:spacing w:after="80" w:line="280"/>
      </w:pPr>
      <w:r>
        <w:rPr>
          <w:sz w:val="22"/>
          <w:szCs w:val="22"/>
        </w:rPr>
        <w:t xml:space="preserve">公司对小米及金山软件生态存在较高收入依赖。2025年小米相关云服务收入为人民币22.355亿元，占总收入约23.4%；小米及金山软件集团关联方云服务收入合计人民币26.201亿元，占总收入约27.4%。若关联方需求、采购安排或业务合作条件发生变化，可能对收入规模及客户结构产生较大影响。</w:t>
      </w:r>
    </w:p>
    <w:p>
      <w:pPr>
        <w:pStyle w:val="ListParagraph"/>
        <w:numPr>
          <w:ilvl w:val="0"/>
          <w:numId w:val="2"/>
        </w:numPr>
        <w:spacing w:after="80" w:line="280"/>
      </w:pPr>
      <w:r>
        <w:rPr>
          <w:sz w:val="22"/>
          <w:szCs w:val="22"/>
        </w:rPr>
        <w:t xml:space="preserve">应收账款及关联交易结构需要持续关注。2025年应收账款净额为人民币17.405亿元，应收账款变动对经营现金流形成人民币4.594亿元资金占用；关联方贸易应收款为人民币5.734亿元，其中小米集团为人民币4.558亿元。若回款周期延长或客户结算安排变化，可能进一步占用营运资金。</w:t>
      </w:r>
    </w:p>
    <w:p>
      <w:pPr>
        <w:pStyle w:val="ListParagraph"/>
        <w:numPr>
          <w:ilvl w:val="0"/>
          <w:numId w:val="2"/>
        </w:numPr>
        <w:spacing w:after="80" w:line="280"/>
      </w:pPr>
      <w:r>
        <w:rPr>
          <w:sz w:val="22"/>
          <w:szCs w:val="22"/>
        </w:rPr>
        <w:t xml:space="preserve">公司基础设施较多依靠采购和租赁，对上游资源成本较为敏感。截至2025年12月31日，两份不可撤销互联网数据中心服务协议剩余采购承诺总额为人民币12.80亿元，其中未来仍需履行的采购承诺为人民币5.872亿元。GPU、服务器、IDC、电力及带宽资源价格或供应变化，可能影响成本、交付能力及毛利率。</w:t>
      </w:r>
    </w:p>
    <w:p>
      <w:pPr>
        <w:pStyle w:val="ListParagraph"/>
        <w:numPr>
          <w:ilvl w:val="0"/>
          <w:numId w:val="2"/>
        </w:numPr>
        <w:spacing w:after="80" w:line="280"/>
      </w:pPr>
      <w:r>
        <w:rPr>
          <w:sz w:val="22"/>
          <w:szCs w:val="22"/>
        </w:rPr>
        <w:t xml:space="preserve">企业云业务增长相对较弱。2026年上半年企业云收入为人民币14.218亿元，同比增长6.1%；2026年第二季度企业云收入为人民币7.143亿元，同比下降1.3%。若行业云项目交付周期较长、客户议价压力持续或定制化投入增加，可能限制整体利润率改善。</w:t>
      </w:r>
    </w:p>
    <w:p>
      <w:pPr>
        <w:pStyle w:val="ListParagraph"/>
        <w:numPr>
          <w:ilvl w:val="0"/>
          <w:numId w:val="2"/>
        </w:numPr>
        <w:spacing w:after="80" w:line="280"/>
      </w:pPr>
      <w:r>
        <w:rPr>
          <w:sz w:val="22"/>
          <w:szCs w:val="22"/>
        </w:rPr>
        <w:t xml:space="preserve">公司尚未实现GAAP净利润，市场盈利预测分歧较大。2026年度综合预测净亏损为人民币6.454亿元，预测区间为净亏损人民币3.090亿元至人民币10.565亿元；2027年度预测区间则由亏损人民币10.20亿元至盈利人民币3.77亿元。若AI收入、资本开支或折旧摊销假设不达预期，盈利转正时间及估值判断可能进一步下修。</w:t>
      </w:r>
    </w:p>
    <w:p>
      <w:pPr>
        <w:pStyle w:val="ListParagraph"/>
        <w:numPr>
          <w:ilvl w:val="0"/>
          <w:numId w:val="2"/>
        </w:numPr>
        <w:spacing w:after="80" w:line="280"/>
      </w:pPr>
      <w:r>
        <w:rPr>
          <w:sz w:val="22"/>
          <w:szCs w:val="22"/>
        </w:rPr>
        <w:t xml:space="preserve">股价技术面仍偏弱且港股流动性存在不确定性。截至2026年9月11日收市价港币5.16元低于主要短期均线，9月11日成交量约715万股，低于近5个交易日平均约3,475万股；若港币5.05元附近支撑失守，技术上可能向港币4.50元甚至52周低位港币4.22元靠近。南向资金最近5个交易日累计净卖出约1,067.6万股、约港币6,390万元，短线资金承接仍不稳定。</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金山云的核心增长逻辑在于AI智算、公有云及MaaS业务扩大，并依托小米、金山软件生态以及互联网、金融、医疗和企业客户场景，提升算力资源利用率和云服务收入规模。2026年上半年公有云收入增速显著高于企业云，第二季度GAAP经营利润转正，说明规模增长和费用控制已开始改善经营杠杆。若AI训练、推理及模型服务需求延续，公司有机会推动收入进一步增长，并逐步改善经营利润。</w:t>
      </w:r>
    </w:p>
    <w:p>
      <w:pPr>
        <w:spacing w:after="160" w:line="300"/>
      </w:pPr>
      <w:r>
        <w:rPr>
          <w:sz w:val="22"/>
          <w:szCs w:val="22"/>
        </w:rPr>
        <w:t xml:space="preserve">但盈利兑现仍取决于收入增长能否覆盖服务器、GPU、网络设备、IDC及折旧成本。2026年第二季度资本开支为人民币33亿元，现金储备较2025年末下降人民币13.437亿元；与此同时，公司仍未实现GAAP净利润，且企业云收入增长相对缓慢、2025年毛利率已较2024年下降1.5个百分点。2026年市场综合预测仍为净亏损人民币6.454亿元，2027年综合预测仅为净利润人民币900万元，盈利转折的确定性仍有限。</w:t>
      </w:r>
    </w:p>
    <w:p>
      <w:pPr>
        <w:spacing w:after="160" w:line="300"/>
      </w:pPr>
      <w:r>
        <w:rPr>
          <w:sz w:val="22"/>
          <w:szCs w:val="22"/>
        </w:rPr>
        <w:t xml:space="preserve">从市场表现看，股价处于52周港币4.22至9.75元区间的相对低位，技术面暂呈弱势震荡下行。后续可重点观察港币5.05至5.10元能否企稳，以及股价能否在成交量配合下收复港币5.35至5.60元均线密集区；若放量跌破港币5.05元，则可能下探港币4.50元附近，甚至重新测试52周低位。基本面上，则需跟踪AI云账单及公有云增速、毛利率、资本开支、现金流、关联方收入占比及GAAP净利润改善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https://ir.ksyun.com/system/files-encrypted/nasdaq_kms/assets/2026/04/23/6-23-23/HKEX-EPS_20260423_12118317_0.pdf — https://ir.ksyun.com/system/files-encrypted/nasdaq_kms/assets/2026/04/23/6-23-23/HKEX-EPS_20260423_12118317_0.pdf</w:t>
      </w:r>
    </w:p>
    <w:p>
      <w:pPr>
        <w:spacing w:after="200"/>
      </w:pPr>
      <w:r>
        <w:rPr>
          <w:i/>
          <w:iCs/>
          <w:color w:val="595959"/>
          <w:sz w:val="18"/>
          <w:szCs w:val="18"/>
        </w:rPr>
        <w:t xml:space="preserve">IDC - 公有云IaaS市场增速重回20%的背后： AI 红利花落谁家？ — https://www.idc.com/resource-center/blog/%E5%85%AC%E6%9C%89%E4%BA%91iaas%E5%B8%82%E5%9C%BA%E5%A2%9E%E9%80%9F%E9%87%8D%E5%9B%9E20%E7%9A%84%E8%83%8C%E5%90%8E%EF%BC%9A-ai-%E7%BA%A2%E5%88%A9%E8%8A%B1%E8%90%BD%E8%B0%81%E5%AE%B6%EF%BC%9F/?utm_source=openai</w:t>
      </w:r>
    </w:p>
    <w:p>
      <w:pPr>
        <w:spacing w:after="200"/>
      </w:pPr>
      <w:r>
        <w:rPr>
          <w:i/>
          <w:iCs/>
          <w:color w:val="595959"/>
          <w:sz w:val="18"/>
          <w:szCs w:val="18"/>
        </w:rPr>
        <w:t xml:space="preserve">www.sec.gov — https://www.sec.gov/Archives/edgar/data/1795589/000110465926098496/tm2623439d1_ex99-1.htm</w:t>
      </w:r>
    </w:p>
    <w:p>
      <w:pPr>
        <w:spacing w:after="200"/>
      </w:pPr>
      <w:r>
        <w:rPr>
          <w:i/>
          <w:iCs/>
          <w:color w:val="595959"/>
          <w:sz w:val="18"/>
          <w:szCs w:val="18"/>
        </w:rPr>
        <w:t xml:space="preserve">Kingsoft Cloud Announces Unaudited Second Quarter 2026 Financial Results — https://www.prnewswire.com/news-releases/kingsoft-cloud-announces-unaudited-second-quarter-2026-financial-results-302855085.html</w:t>
      </w:r>
    </w:p>
    <w:p>
      <w:pPr>
        <w:spacing w:after="200"/>
      </w:pPr>
      <w:r>
        <w:rPr>
          <w:i/>
          <w:iCs/>
          <w:color w:val="595959"/>
          <w:sz w:val="18"/>
          <w:szCs w:val="18"/>
        </w:rPr>
        <w:t xml:space="preserve">Kingsoft Cloud Holdings Ltd_December 31, 2025 — https://www.sec.gov/Archives/edgar/data/1795589/000110465926047100/kc-20251231x20f.htm?utm_source=openai</w:t>
      </w:r>
    </w:p>
    <w:p>
      <w:pPr>
        <w:spacing w:after="200"/>
      </w:pPr>
      <w:r>
        <w:rPr>
          <w:i/>
          <w:iCs/>
          <w:color w:val="595959"/>
          <w:sz w:val="18"/>
          <w:szCs w:val="18"/>
        </w:rPr>
        <w:t xml:space="preserve">03896 金山云 KINGSOFT CLOUD - 免费即时股票报价 - 盈利预测 - etnet 经济通|香港新闻财经资讯和生活平台 — https://www.etnet.com.hk/www/sc/stocks/realtime/quote_profit.php?code=03896</w:t>
      </w:r>
    </w:p>
    <w:p>
      <w:pPr>
        <w:spacing w:after="200"/>
      </w:pPr>
      <w:r>
        <w:rPr>
          <w:i/>
          <w:iCs/>
          <w:color w:val="595959"/>
          <w:sz w:val="18"/>
          <w:szCs w:val="18"/>
        </w:rPr>
        <w:t xml:space="preserve">国盛证券：首予金山云(03896)“买入”评级 生态与平台双轮驱动增长 提供者 智通财经 — https://cn.investing.com/news/stock-market-news/article-3412428?utm_source=openai</w:t>
      </w:r>
    </w:p>
    <w:p>
      <w:pPr>
        <w:spacing w:after="200"/>
      </w:pPr>
      <w:r>
        <w:rPr>
          <w:i/>
          <w:iCs/>
          <w:color w:val="595959"/>
          <w:sz w:val="18"/>
          <w:szCs w:val="18"/>
        </w:rPr>
        <w:t xml:space="preserve">大行评级丨大和：上调金山云目标价至13港元，重申“买入”评级_新浪财经_新浪网 — https://finance.sina.com.cn/stock/bxjj/2026-08-20/doc-ininxzps2056690.shtml?utm_source=openai</w:t>
      </w:r>
    </w:p>
    <w:p>
      <w:pPr>
        <w:spacing w:after="200"/>
      </w:pPr>
      <w:r>
        <w:rPr>
          <w:i/>
          <w:iCs/>
          <w:color w:val="595959"/>
          <w:sz w:val="18"/>
          <w:szCs w:val="18"/>
        </w:rPr>
        <w:t xml:space="preserve">https://content.etnet.com.hk/content/cpyrevamp/sc/stock_quote.php?code=03896&amp;utm_source=openai — https://content.etnet.com.hk/content/cpyrevamp/sc/stock_quote.php?code=03896&amp;utm_source=openai</w:t>
      </w:r>
    </w:p>
    <w:p>
      <w:pPr>
        <w:spacing w:after="200"/>
      </w:pPr>
      <w:r>
        <w:rPr>
          <w:i/>
          <w:iCs/>
          <w:color w:val="595959"/>
          <w:sz w:val="18"/>
          <w:szCs w:val="18"/>
        </w:rPr>
        <w:t xml:space="preserve">金山云(03896)股票股价,实时行情,新闻,财报数据_新浪财经_新浪网 — https://stock.finance.sina.com.cn/hkstock/quotes/03896.html</w:t>
      </w:r>
    </w:p>
    <w:p>
      <w:pPr>
        <w:spacing w:after="200"/>
      </w:pPr>
      <w:r>
        <w:rPr>
          <w:i/>
          <w:iCs/>
          <w:color w:val="595959"/>
          <w:sz w:val="18"/>
          <w:szCs w:val="18"/>
        </w:rPr>
        <w:t xml:space="preserve">Listed Company Information Title Search — https://www1.hkexnews.hk/search/titlesearch.xhtml?category=0&amp;market=SEHK&amp;stockId=1000180012</w:t>
      </w:r>
    </w:p>
    <w:p>
      <w:pPr>
        <w:spacing w:after="200"/>
      </w:pPr>
      <w:r>
        <w:rPr>
          <w:i/>
          <w:iCs/>
          <w:color w:val="595959"/>
          <w:sz w:val="18"/>
          <w:szCs w:val="18"/>
        </w:rPr>
        <w:t xml:space="preserve">https://www1.hkexnews.hk/listedco/listconews/sehk/2026/0904/2026090401511.pdf — https://www1.hkexnews.hk/listedco/listconews/sehk/2026/0904/2026090401511.pdf</w:t>
      </w:r>
    </w:p>
    <w:p>
      <w:pPr>
        <w:spacing w:after="200"/>
      </w:pPr>
      <w:r>
        <w:rPr>
          <w:i/>
          <w:iCs/>
          <w:color w:val="595959"/>
          <w:sz w:val="18"/>
          <w:szCs w:val="18"/>
        </w:rPr>
        <w:t xml:space="preserve">https://www1.hkexnews.hk/listedco/listconews/sehk/2026/0819/2026081900929.pdf — https://www1.hkexnews.hk/listedco/listconews/sehk/2026/0819/2026081900929.pdf</w:t>
      </w:r>
    </w:p>
    <w:p>
      <w:pPr>
        <w:spacing w:after="200"/>
      </w:pPr>
      <w:r>
        <w:rPr>
          <w:i/>
          <w:iCs/>
          <w:color w:val="595959"/>
          <w:sz w:val="18"/>
          <w:szCs w:val="18"/>
        </w:rPr>
        <w:t xml:space="preserve">https://www1.hkexnews.hk/listedco/listconews/sehk/2026/0717/2026071701457.pdf — https://www1.hkexnews.hk/listedco/listconews/sehk/2026/0717/2026071701457.pdf</w:t>
      </w:r>
    </w:p>
    <w:p>
      <w:pPr>
        <w:spacing w:after="200"/>
      </w:pPr>
      <w:r>
        <w:rPr>
          <w:i/>
          <w:iCs/>
          <w:color w:val="595959"/>
          <w:sz w:val="18"/>
          <w:szCs w:val="18"/>
        </w:rPr>
        <w:t xml:space="preserve">Home Page — https://sdinotice.hkex.com.hk/?utm_source=openai</w:t>
      </w:r>
    </w:p>
    <w:p>
      <w:pPr>
        <w:spacing w:after="200"/>
      </w:pPr>
      <w:r>
        <w:rPr>
          <w:i/>
          <w:iCs/>
          <w:color w:val="595959"/>
          <w:sz w:val="18"/>
          <w:szCs w:val="18"/>
        </w:rPr>
        <w:t xml:space="preserve">金山云(3896)股票历史数据:历史行情,价格,走势图表_英为财情Investing.com — https://cn.investing.com/equities/kingsoft-cloud-holdings-historical-data</w:t>
      </w:r>
    </w:p>
    <w:p>
      <w:pPr>
        <w:spacing w:after="200"/>
      </w:pPr>
      <w:r>
        <w:rPr>
          <w:i/>
          <w:iCs/>
          <w:color w:val="595959"/>
          <w:sz w:val="18"/>
          <w:szCs w:val="18"/>
        </w:rPr>
        <w:t xml:space="preserve">content.etnet.com.hk — https://content.etnet.com.hk/content/cpyrevamp/sc/stock_quote.php?code=03896</w:t>
      </w:r>
    </w:p>
    <w:p>
      <w:pPr>
        <w:spacing w:after="200"/>
      </w:pPr>
      <w:r>
        <w:rPr>
          <w:i/>
          <w:iCs/>
          <w:color w:val="595959"/>
          <w:sz w:val="18"/>
          <w:szCs w:val="18"/>
        </w:rPr>
        <w:t xml:space="preserve">金山云(3896)股票行情走势技术分析_未来预测_买卖操作建议_英为财情Investing.com — https://cn.investing.com/equities/kingsoft-cloud-holdings-technical</w:t>
      </w:r>
    </w:p>
    <w:p>
      <w:pPr>
        <w:spacing w:after="200"/>
      </w:pPr>
      <w:r>
        <w:rPr>
          <w:i/>
          <w:iCs/>
          <w:color w:val="595959"/>
          <w:sz w:val="18"/>
          <w:szCs w:val="18"/>
        </w:rPr>
        <w:t xml:space="preserve">3896 金山雲技術分析｜移動平均線與技術指標解讀 — https://www.sl886.com/techind/03896</w:t>
      </w:r>
    </w:p>
    <w:p>
      <w:pPr>
        <w:spacing w:after="200"/>
      </w:pPr>
      <w:r>
        <w:rPr>
          <w:i/>
          <w:iCs/>
          <w:color w:val="595959"/>
          <w:sz w:val="18"/>
          <w:szCs w:val="18"/>
        </w:rPr>
        <w:t xml:space="preserve">金山云(03896)最新股东|股东 - 理杏仁 — https://www.lixinger.com/equity/company/detail/hk/03896/3896/shareholders/hk-latest-shareholders</w:t>
      </w:r>
    </w:p>
    <w:p>
      <w:pPr>
        <w:spacing w:after="200"/>
      </w:pPr>
      <w:r>
        <w:rPr>
          <w:i/>
          <w:iCs/>
          <w:color w:val="595959"/>
          <w:sz w:val="18"/>
          <w:szCs w:val="18"/>
        </w:rPr>
        <w:t xml:space="preserve">金山云 (03896.HK) - 详细报价 Detail Quote — https://www.aastocks.com/sc/stocks/quote/detail-quote.aspx?symbol=03896&amp;utm_source=openai</w:t>
      </w:r>
    </w:p>
    <w:p>
      <w:pPr>
        <w:spacing w:after="200"/>
      </w:pPr>
      <w:r>
        <w:rPr>
          <w:i/>
          <w:iCs/>
          <w:color w:val="595959"/>
          <w:sz w:val="18"/>
          <w:szCs w:val="18"/>
        </w:rPr>
        <w:t xml:space="preserve">金山云(03896)港股通持仓|互联互通|资金流向 - 理杏仁 — https://www.lixinger.com/equity/company/detail/hk/03896/3896/capital-flow/mutual-market</w:t>
      </w:r>
    </w:p>
    <w:p>
      <w:pPr>
        <w:spacing w:after="200"/>
      </w:pPr>
      <w:r>
        <w:rPr>
          <w:i/>
          <w:iCs/>
          <w:color w:val="595959"/>
          <w:sz w:val="18"/>
          <w:szCs w:val="18"/>
        </w:rPr>
        <w:t xml:space="preserve">本报告由AI基于公开渠道信息自动检索、整理并生成，信息截至 截至2026年9月11日收市；计价货币为港币（HKD）。部分成交量及技术指标为公开数据或据收盘价重新计算的估算值，具体不确定性见相关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2026-09-13T14:19:40.590Z</dcterms:created>
  <dcterms:modified xsi:type="dcterms:W3CDTF">2026-09-13T14:19:40.590Z</dcterms:modified>
</cp:coreProperties>
</file>

<file path=docProps/custom.xml><?xml version="1.0" encoding="utf-8"?>
<Properties xmlns="http://schemas.openxmlformats.org/officeDocument/2006/custom-properties" xmlns:vt="http://schemas.openxmlformats.org/officeDocument/2006/docPropsVTypes"/>
</file>