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中创新航科技集团 (03931)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行业：动力电池与储能电池</w:t>
      </w:r>
    </w:p>
    <w:p>
      <w:pPr>
        <w:jc w:val="center"/>
      </w:pPr>
      <w:r>
        <w:rPr>
          <w:color w:val="595959"/>
          <w:sz w:val="22"/>
          <w:szCs w:val="22"/>
        </w:rPr>
        <w:t xml:space="preserve">报告日期：2026年10月2日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核心结论：业绩高速增长已兑现，但毛利率回落与扩张资金压力仍待消化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17.36港元（+1.82%）</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约307.67亿港元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PE(最近完整财年)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17.83倍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PB(最近一期)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15.92～39.30港元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8974万港元／0.69%</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中期利润加速，毛利率未同步改善</w:t>
      </w:r>
      <w:r>
        <w:rPr>
          <w:sz w:val="22"/>
          <w:szCs w:val="22"/>
        </w:rPr>
        <w:t xml:space="preserve">：2026年上半年收入人民币270.84亿元、同比增长65.0%，净利润人民币9.35亿元、同比增长100.7%；毛利率16.71%，同比回落约0.82个百分点。</w:t>
      </w:r>
    </w:p>
    <w:p>
      <w:pPr>
        <w:pStyle w:val="ListParagraph"/>
        <w:numPr>
          <w:ilvl w:val="0"/>
          <w:numId w:val="2"/>
        </w:numPr>
        <w:spacing w:after="80" w:line="280"/>
      </w:pPr>
      <w:r>
        <w:rPr>
          <w:b/>
          <w:bCs/>
          <w:sz w:val="22"/>
          <w:szCs w:val="22"/>
        </w:rPr>
        <w:t xml:space="preserve">储能扩张与动力电池放量是主要增长源</w:t>
      </w:r>
      <w:r>
        <w:rPr>
          <w:sz w:val="22"/>
          <w:szCs w:val="22"/>
        </w:rPr>
        <w:t xml:space="preserve">：2025年动力电池收入增长55.0%，储能产品及其他增长71.9%，收入占比升至31.8%；后续增长仍取决于定点转化、交付和成本控制。</w:t>
      </w:r>
    </w:p>
    <w:p>
      <w:pPr>
        <w:pStyle w:val="ListParagraph"/>
        <w:numPr>
          <w:ilvl w:val="0"/>
          <w:numId w:val="2"/>
        </w:numPr>
        <w:spacing w:after="80" w:line="280"/>
      </w:pPr>
      <w:r>
        <w:rPr>
          <w:b/>
          <w:bCs/>
          <w:sz w:val="22"/>
          <w:szCs w:val="22"/>
        </w:rPr>
        <w:t xml:space="preserve">股价估值不高，但盈利兑现要求上升</w:t>
      </w:r>
      <w:r>
        <w:rPr>
          <w:sz w:val="22"/>
          <w:szCs w:val="22"/>
        </w:rPr>
        <w:t xml:space="preserve">：截至9月30日收盘价HKD 17.36，2025年度PE 17.83倍、PB 0.7倍；机构2026年净利预测为人民币27.17亿元。</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：股价对应的市场隐含EPS年均增速约10.9%；机构净利预测为2026至2028年人民币27.17亿、40.61亿、54.21亿元，但未提供一致预期增速，无法直接比较增速高低。</w:t>
      </w:r>
    </w:p>
    <w:p>
      <w:pPr>
        <w:pStyle w:val="ListParagraph"/>
        <w:numPr>
          <w:ilvl w:val="0"/>
          <w:numId w:val="2"/>
        </w:numPr>
        <w:spacing w:after="80" w:line="280"/>
      </w:pPr>
      <w:r>
        <w:rPr>
          <w:b/>
          <w:bCs/>
          <w:sz w:val="22"/>
          <w:szCs w:val="22"/>
        </w:rPr>
        <w:t xml:space="preserve">证据显示</w:t>
      </w:r>
      <w:r>
        <w:rPr>
          <w:sz w:val="22"/>
          <w:szCs w:val="22"/>
        </w:rPr>
        <w:t xml:space="preserve">：上半年收入与净利润高速增长，支持盈利扩张方向；但毛利率同比回落，且负债及流动性压力上升。业绩方向与增长叙事吻合，利润质量和持续性仍需验证。</w:t>
      </w:r>
    </w:p>
    <w:p>
      <w:pPr>
        <w:spacing w:after="160" w:line="300"/>
      </w:pPr>
      <w:r>
        <w:rPr>
          <w:b/>
          <w:bCs/>
          <w:color w:val="1F4E79"/>
          <w:sz w:val="22"/>
          <w:szCs w:val="22"/>
        </w:rPr>
        <w:t xml:space="preserve">证据倾向：偏多；置信度：高（10家机构覆盖、行情与财报数字经程序核对）</w:t>
      </w:r>
    </w:p>
    <w:p>
      <w:pPr>
        <w:spacing w:after="160" w:line="300"/>
      </w:pPr>
      <w:r>
        <w:rPr>
          <w:sz w:val="22"/>
          <w:szCs w:val="22"/>
        </w:rPr>
        <w:t xml:space="preserve">收入与利润增长强、PB较低；但毛利率回落、负债上升且历史估值分位缺失，持续性尚未确认。</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向整车厂及储能客户销售动力电池、储能产品和相关集成产品，靠产品性能、成本及项目交付竞争。</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动力电池</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68.2%（2025年）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—（年报未单独披露）</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+55.0%（2025年同比）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乘用车及商用车销量增长带动收入。</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储能产品及其他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—（年报未单独披露）</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收入占比由2024年的29.6%升至31.8%。</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客户认证与转换成本：进入丰田、大众、现代等客户体系并获部分平台定点，但定点不等于大规模交付。</w:t>
      </w:r>
    </w:p>
    <w:p>
      <w:pPr>
        <w:pStyle w:val="ListParagraph"/>
        <w:numPr>
          <w:ilvl w:val="0"/>
          <w:numId w:val="2"/>
        </w:numPr>
        <w:spacing w:after="80" w:line="280"/>
      </w:pPr>
      <w:r>
        <w:rPr>
          <w:sz w:val="22"/>
          <w:szCs w:val="22"/>
        </w:rPr>
        <w:t xml:space="preserve">产品与应用拓展：年末全球专利申请6,138项，船舶电池获DNV、CCS、ABS、RINA等认证。</w:t>
      </w:r>
    </w:p>
    <w:p>
      <w:pPr>
        <w:pStyle w:val="ListParagraph"/>
        <w:numPr>
          <w:ilvl w:val="0"/>
          <w:numId w:val="2"/>
        </w:numPr>
        <w:spacing w:after="80" w:line="280"/>
      </w:pPr>
      <w:r>
        <w:rPr>
          <w:sz w:val="22"/>
          <w:szCs w:val="22"/>
        </w:rPr>
        <w:t xml:space="preserve">行业规模位置：2025年动力电池装车量全球第四、国内第三；储能电芯出货量全球第四，排名口径不一。</w:t>
      </w:r>
    </w:p>
    <w:p>
      <w:pPr>
        <w:spacing w:after="160" w:line="300"/>
      </w:pPr>
      <w:r>
        <w:rPr>
          <w:sz w:val="22"/>
          <w:szCs w:val="22"/>
        </w:rPr>
        <w:t xml:space="preserve">主要威胁：电池产品竞争和客户议价压制售价；原材料价格波动、客户集中及扩张资金占用可能侵蚀利润。</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电芯制造通常涉及正负极材料、电解液、隔膜、铜箔及铝箔；公司未披露各项采购占比，该分类不代表其实际成本结构。</w:t>
      </w:r>
    </w:p>
    <w:p>
      <w:pPr>
        <w:pStyle w:val="ListParagraph"/>
        <w:numPr>
          <w:ilvl w:val="0"/>
          <w:numId w:val="2"/>
        </w:numPr>
        <w:spacing w:after="80" w:line="280"/>
      </w:pPr>
      <w:r>
        <w:rPr>
          <w:sz w:val="22"/>
          <w:szCs w:val="22"/>
        </w:rPr>
        <w:t xml:space="preserve">2025年前五大供应商采购占35.1%、第一大占8.6%；未披露主要原料定价机制，不能据规模认定具备原料议价权。</w:t>
      </w:r>
    </w:p>
    <w:p>
      <w:pPr>
        <w:pStyle w:val="ListParagraph"/>
        <w:numPr>
          <w:ilvl w:val="0"/>
          <w:numId w:val="2"/>
        </w:numPr>
        <w:spacing w:after="80" w:line="280"/>
      </w:pPr>
      <w:r>
        <w:rPr>
          <w:sz w:val="22"/>
          <w:szCs w:val="22"/>
        </w:rPr>
        <w:t xml:space="preserve">客户包括乘用车及商用车整车厂、储能项目和系统客户；进入车型、平台或项目供应链后，仍受采购份额、产品降价、交付及付款条款影响。</w:t>
      </w:r>
    </w:p>
    <w:p>
      <w:pPr>
        <w:pStyle w:val="ListParagraph"/>
        <w:numPr>
          <w:ilvl w:val="0"/>
          <w:numId w:val="2"/>
        </w:numPr>
        <w:spacing w:after="80" w:line="280"/>
      </w:pPr>
      <w:r>
        <w:rPr>
          <w:sz w:val="22"/>
          <w:szCs w:val="22"/>
        </w:rPr>
        <w:t xml:space="preserve">2025年年报披露：前五大客户占销售额50.8%、最大客户16.7%；前五大供应商占采购额35.1%、最大供应商8.6%。客户匿名，无法对应具体车企。</w:t>
      </w:r>
    </w:p>
    <w:p>
      <w:pPr>
        <w:pStyle w:val="ListParagraph"/>
        <w:numPr>
          <w:ilvl w:val="0"/>
          <w:numId w:val="2"/>
        </w:numPr>
        <w:spacing w:after="80" w:line="280"/>
      </w:pPr>
      <w:r>
        <w:rPr>
          <w:sz w:val="22"/>
          <w:szCs w:val="22"/>
        </w:rPr>
        <w:t xml:space="preserve">2025年末贸易应收净额RMB12,993.64百万元，占年收入约29.3%；估算周转约82天。贸易及票据应付款合计RMB27,036.65百万元；部分供应链融资款于原到期日后180至300天偿还。</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约7.5%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利润受处置子公司收益等影响。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约10.3%</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毛利率上升，费用等影响净利率。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约13.0%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其他损失净额及期间费用影响净利率。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约15.9%</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公司归因于规模效应、产品性能提升及技术降本。</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约16.7%</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约4.7%</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公司归因于产品增长、技术管理降本及效率提升。</w:t>
            </w:r>
          </w:p>
        </w:tc>
      </w:tr>
    </w:tbl>
    <w:p>
      <w:pPr>
        <w:spacing w:before="200"/>
      </w:pPr>
    </w:p>
    <w:p>
      <w:pPr>
        <w:spacing w:after="160" w:line="300"/>
      </w:pPr>
      <w:r>
        <w:rPr>
          <w:sz w:val="22"/>
          <w:szCs w:val="22"/>
        </w:rPr>
        <w:t xml:space="preserve">公司处于锂电产业链中游电芯及电池系统制造环节，综合毛利率2025年约16.7%。利润改善取决于高附加值产品占比、交付规模与产能利用率提升，以及降本快于售价下行；年报未拆分动力电池与储能产品毛利率。</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动力电池与储能电池需求扩张，但电池企业仍面对整车厂及储能客户议价、原材料波动和降价压力。对中创新航而言，储能收入增长快于动力电池，产品结构与成本改善将影响盈利表现。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宁德时代（300750.SZ；3750.HK）</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动力与储能电池龙头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2025收入RMB423.70十亿元，毛利率26.27%；PE 15.58倍TTM</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规模和毛利率明显高于中创新航。</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亿纬锂能（300014.SZ）</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动力、储能及其他电池</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2025收入RMB61.47十亿元；毛利率16.17%；PE(TTM) 18.57倍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收入体量较大，毛利率与中创新航接近。</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国轩高科（002074.SZ）</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动力及储能电池厂商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2025收入RMB45.07十亿元；毛利率约17.8%；PE(TTM) 15.73倍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收入规模接近，毛利率处于相近区间。</w:t>
            </w:r>
          </w:p>
        </w:tc>
      </w:tr>
    </w:tbl>
    <w:p>
      <w:pPr>
        <w:spacing w:before="200"/>
      </w:pPr>
    </w:p>
    <w:p>
      <w:pPr>
        <w:spacing w:after="160" w:line="300"/>
      </w:pPr>
      <w:r>
        <w:rPr>
          <w:sz w:val="22"/>
          <w:szCs w:val="22"/>
        </w:rPr>
        <w:t xml:space="preserve">中创新航2025年收入增长较快，储能占比上升；其综合毛利率与亿纬锂能、国轩高科接近，但明显低于宁德时代。客户定点、技术产品和应用认证提供竞争基础，客户集中、议价压力及资金占用仍是短板。</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人民币270.84亿元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+65.0%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人民币9.35亿元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+100.7%</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16.71%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人民币444.00亿元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人民币14.76亿元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+149.6%</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+127.68%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人民币277.52亿元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人民币5.91亿元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+100.8%</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约15.89%</w:t>
            </w:r>
          </w:p>
        </w:tc>
      </w:tr>
    </w:tbl>
    <w:p>
      <w:pPr>
        <w:spacing w:before="200"/>
      </w:pPr>
    </w:p>
    <w:p>
      <w:pPr>
        <w:spacing w:after="200"/>
      </w:pPr>
      <w:r>
        <w:rPr>
          <w:i/>
          <w:iCs/>
          <w:color w:val="595959"/>
          <w:sz w:val="18"/>
          <w:szCs w:val="18"/>
        </w:rPr>
        <w:t xml:space="preserve">财报金额为人民币；2025年扣非增速来自单一券商报告，中期及2024年扣非数据未披露。</w:t>
      </w:r>
    </w:p>
    <w:p>
      <w:pPr>
        <w:spacing w:after="160" w:line="300"/>
      </w:pPr>
      <w:r>
        <w:rPr>
          <w:sz w:val="22"/>
          <w:szCs w:val="22"/>
        </w:rPr>
        <w:t xml:space="preserve">2026年上半年收入、归母净利润高增，但毛利率同比回落约0.82个百分点。2025年扣非增速仅有单一券商数据；集团利润与归母利润口径不同。</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65.6%（2026年6月末）</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较2025年末64.0%上升，净债务权益比率升至101.0%。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净流动负债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人民币156.37亿元（2026年6月末）</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流动负债高于流动资产，扩张期资金需求较大。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经营现金流/集团利润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1.88倍（2026年上半年）</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经营现金流高于同期集团利润，仍受营运资金变动影响。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ROE</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4.15%（2025年度）</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年度净资产回报率偏低。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应收周转率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约3.5次（2026年上半年年化）</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应收及票据余额增长较快，半年年化值受季节性影响。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商誉/总资产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0.08%（2026年6月末）</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商誉规模较小。</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PE(最近完整财年)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17.83倍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PB(最近一期)</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PS(最近完整财年)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0.59倍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估值倍数由程序按2026-09-30收盘数据计算（市盈率/市销率按最近完整财年、市净率按最近一期）；同行倍数按2026-09-30收盘数据同口径计算</w:t>
      </w:r>
    </w:p>
    <w:p>
      <w:pPr>
        <w:spacing w:after="160" w:line="300"/>
      </w:pPr>
      <w:r>
        <w:rPr>
          <w:sz w:val="22"/>
          <w:szCs w:val="22"/>
        </w:rPr>
        <w:t xml:space="preserve">市场隐含预期：以当前17.83倍市盈率计，若投资者要求年化9%的回报、10年后按15倍市盈率估值，每股收益需年均增长约10.9%（不计分红，偏保守），可与下方机构预测增速对照。</w:t>
      </w:r>
    </w:p>
    <w:p>
      <w:pPr>
        <w:spacing w:after="160" w:line="300"/>
      </w:pPr>
      <w:r>
        <w:rPr>
          <w:sz w:val="22"/>
          <w:szCs w:val="22"/>
        </w:rPr>
        <w:t xml:space="preserve">截至9月30日，2025年度PE 17.83倍、PB 0.7倍、PS 0.59倍；缺少同口径历史分位，不能判定处于历史高低位。价格隐含EPS年均增长约10.9%，机构净利预测呈上升趋势，但预测增速未给出，估值能否消化取决于利润兑现及毛利率企稳。</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人民币27.17亿元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HKD 1.81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人民币40.61亿元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HKD 2.68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人民币54.21亿元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HKD 3.58</w:t>
            </w:r>
          </w:p>
        </w:tc>
      </w:tr>
    </w:tbl>
    <w:p>
      <w:pPr>
        <w:spacing w:before="200"/>
      </w:pPr>
    </w:p>
    <w:p>
      <w:pPr>
        <w:spacing w:after="200"/>
      </w:pPr>
      <w:r>
        <w:rPr>
          <w:i/>
          <w:iCs/>
          <w:color w:val="595959"/>
          <w:sz w:val="18"/>
          <w:szCs w:val="18"/>
        </w:rPr>
        <w:t xml:space="preserve">经济通汇总截至2026年9月2日；2026、2027年各10家机构，2028年9家。2028年净利预测区间为人民币37.77亿至80.53亿元。</w:t>
      </w:r>
    </w:p>
    <w:p>
      <w:pPr>
        <w:pStyle w:val="Heading2"/>
        <w:spacing w:after="120" w:before="240"/>
      </w:pPr>
      <w:r>
        <w:rPr>
          <w:b/>
          <w:bCs/>
          <w:color w:val="2E74B5"/>
          <w:sz w:val="24"/>
          <w:szCs w:val="24"/>
        </w:rPr>
        <w:t xml:space="preserve">4.3 机构观点</w:t>
      </w:r>
    </w:p>
    <w:p>
      <w:pPr>
        <w:spacing w:after="160" w:line="300"/>
      </w:pPr>
      <w:r>
        <w:rPr>
          <w:sz w:val="22"/>
          <w:szCs w:val="22"/>
        </w:rPr>
        <w:t xml:space="preserve">4家机构目标价均值HKD 37.35，区间HKD 30.50–42.72；最新报告为国泰海通9月3日。现价约HKD 17.36（9月30日推算）。</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目标价HKD 35.91</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 40.25</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目标价HKD 30.50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 42.72</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2027-02-18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欧盟电池护照条款生效</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关注公司电池护照系统及配套管理框架是否按计划建成并满足合规要求。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2027-03-31前</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2026年度初步业绩披露期限</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按港交所规则推算的期限，并非公司已公告日期；关注业绩及经营指引。</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2026-08-28 中期业绩大幅增长（利好）</w:t>
      </w:r>
      <w:r>
        <w:rPr>
          <w:sz w:val="22"/>
          <w:szCs w:val="22"/>
        </w:rPr>
        <w:t xml:space="preserve">：上半年收入人民币27,084.367百万元，同比增长65.0%；期内利润人民币1,522.773百万元，同比增长102.2%，数据未经审计。</w:t>
      </w:r>
    </w:p>
    <w:p>
      <w:pPr>
        <w:pStyle w:val="ListParagraph"/>
        <w:numPr>
          <w:ilvl w:val="0"/>
          <w:numId w:val="2"/>
        </w:numPr>
        <w:spacing w:after="80" w:line="280"/>
      </w:pPr>
      <w:r>
        <w:rPr>
          <w:b/>
          <w:bCs/>
          <w:sz w:val="22"/>
          <w:szCs w:val="22"/>
        </w:rPr>
        <w:t xml:space="preserve">2026-07-28 增持合肥公司股权（中性）</w:t>
      </w:r>
      <w:r>
        <w:rPr>
          <w:sz w:val="22"/>
          <w:szCs w:val="22"/>
        </w:rPr>
        <w:t xml:space="preserve">：以人民币690百万元竞得合肥公司12.7230%股权，完成后直接持股升至42.1082%；实际利润贡献仍取决于交割及经营。</w:t>
      </w:r>
    </w:p>
    <w:p>
      <w:pPr>
        <w:pStyle w:val="ListParagraph"/>
        <w:numPr>
          <w:ilvl w:val="0"/>
          <w:numId w:val="2"/>
        </w:numPr>
        <w:spacing w:after="80" w:line="280"/>
      </w:pPr>
      <w:r>
        <w:rPr>
          <w:b/>
          <w:bCs/>
          <w:sz w:val="22"/>
          <w:szCs w:val="22"/>
        </w:rPr>
        <w:t xml:space="preserve">2026-08-28 建议派发中期股息（中性）</w:t>
      </w:r>
      <w:r>
        <w:rPr>
          <w:sz w:val="22"/>
          <w:szCs w:val="22"/>
        </w:rPr>
        <w:t xml:space="preserve">：董事会建议每10股派人民币0.6元，须股东批准；股东会及除息、派付日期尚未公布。</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储能产品及其他收入增长71.9%，占比升至31.8%，为动力电池之外提供更快增长来源。</w:t>
      </w:r>
    </w:p>
    <w:p>
      <w:pPr>
        <w:pStyle w:val="ListParagraph"/>
        <w:numPr>
          <w:ilvl w:val="0"/>
          <w:numId w:val="2"/>
        </w:numPr>
        <w:spacing w:after="80" w:line="280"/>
      </w:pPr>
      <w:r>
        <w:rPr>
          <w:sz w:val="22"/>
          <w:szCs w:val="22"/>
        </w:rPr>
        <w:t xml:space="preserve">综合毛利率由2021年约7.5%升至2025年约16.7%，显示规模、产品结构与降本已带来阶段性改善。</w:t>
      </w:r>
    </w:p>
    <w:p>
      <w:pPr>
        <w:pStyle w:val="ListParagraph"/>
        <w:numPr>
          <w:ilvl w:val="0"/>
          <w:numId w:val="2"/>
        </w:numPr>
        <w:spacing w:after="80" w:line="280"/>
      </w:pPr>
      <w:r>
        <w:rPr>
          <w:sz w:val="22"/>
          <w:szCs w:val="22"/>
        </w:rPr>
        <w:t xml:space="preserve">动力电池装车量全球第四、国内第三，储能电芯出货量全球第四，客户认证与应用拓展提供交付基础。</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毛利率由2025年约16.7%回落至2026年上半年16.71%，高增长尚未转化为毛利率继续抬升。</w:t>
      </w:r>
    </w:p>
    <w:p>
      <w:pPr>
        <w:pStyle w:val="ListParagraph"/>
        <w:numPr>
          <w:ilvl w:val="0"/>
          <w:numId w:val="2"/>
        </w:numPr>
        <w:spacing w:after="80" w:line="280"/>
      </w:pPr>
      <w:r>
        <w:rPr>
          <w:sz w:val="22"/>
          <w:szCs w:val="22"/>
        </w:rPr>
        <w:t xml:space="preserve">2026年6月末资产负债率65.6%、净债务权益比率101.0%，净流动负债人民币156.37亿元，扩张可能加大融资与利息负担。</w:t>
      </w:r>
    </w:p>
    <w:p>
      <w:pPr>
        <w:pStyle w:val="ListParagraph"/>
        <w:numPr>
          <w:ilvl w:val="0"/>
          <w:numId w:val="2"/>
        </w:numPr>
        <w:spacing w:after="80" w:line="280"/>
      </w:pPr>
      <w:r>
        <w:rPr>
          <w:sz w:val="22"/>
          <w:szCs w:val="22"/>
        </w:rPr>
        <w:t xml:space="preserve">前五大客户占销售额50.8%、最大客户占16.7%，客户采购份额或议价变化可能放大收入与利润波动。</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应收净额2025年末达人民币129.94亿元、约占年收入29.3%；回款放慢会占用营运资金并压低经营现金流。</w:t>
      </w:r>
    </w:p>
    <w:p>
      <w:pPr>
        <w:pStyle w:val="ListParagraph"/>
        <w:numPr>
          <w:ilvl w:val="0"/>
          <w:numId w:val="2"/>
        </w:numPr>
        <w:spacing w:after="80" w:line="280"/>
      </w:pPr>
      <w:r>
        <w:rPr>
          <w:sz w:val="22"/>
          <w:szCs w:val="22"/>
        </w:rPr>
        <w:t xml:space="preserve">欧盟电池护照条款将于2027年2月生效；合规系统建设或认证进度不及要求，可能增加成本或影响欧洲客户项目交付。</w:t>
      </w:r>
    </w:p>
    <w:p>
      <w:pPr>
        <w:pStyle w:val="ListParagraph"/>
        <w:numPr>
          <w:ilvl w:val="0"/>
          <w:numId w:val="2"/>
        </w:numPr>
        <w:spacing w:after="80" w:line="280"/>
      </w:pPr>
      <w:r>
        <w:rPr>
          <w:sz w:val="22"/>
          <w:szCs w:val="22"/>
        </w:rPr>
        <w:t xml:space="preserve">以人民币6.90亿元竞得合肥公司12.7230%股权，后续利润贡献取决于交割和经营；若整合或回报不及预期，将拖累资本回报。</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年度净利润兑现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2026年机构预测人民币27.17亿元</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年度利润达到或超过预测，后续预测保持上修</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利润明显低于预测或后续预测下调</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2026年上半年16.71%</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后续报告回升并稳定在17%以上</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连续报告低于16.5%或继续下行</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负债与流动性</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资产负债率65.6%，净流动负债人民币156.37亿元</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负债率回落且净流动负债持续收窄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负债率继续上升或净流动负债扩大</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储能业务增长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2025年收入增长71.9%，占比31.8%</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储能收入继续快于动力电池增长且占比提升</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储能增速低于动力电池或收入占比回落</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⚠️风险提示：情景权重为基于当前形态的主观启发式判断，非统计概率。</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股价仍处弱势整理区，技术指标尚未确认转强；中期报告于9月30日发布，所披露业绩截至6月30日。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-3.93%/+2.78%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短线回落，近月仍小幅上涨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均线（MA5/10/20/60）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17.30 / MA10 17.86 / MA20 17.49 / MA60 18.30</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股价低于MA10、MA20及MA60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布林带（上/中/下）</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18.91 / 中轨 17.49 / 下轨 16.08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股价处于中轨下方</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-0.278 / DEA -0.297 / 柱 0.038</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柱值为正但较前日收窄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44.8 / RSI14 45.4</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处于中性区间</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17.85～18.30港元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对应MA10、MA60附近；站稳后可观察18.91～19.60港元。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17.20～17.50港元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覆盖MA5、MA20及布林中轨附近；失守后关注更低支撑。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16.08～16.70港元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对应布林下轨及近期低位；跌破后关注15.92～16.10港元。</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以2026-09-30价格17.36港元为基准，用近300个交易日的收益分布（按当前指数加权日波动率约3.3%缩放，保留这只股票自身的大涨大跌频率）推算未来5个交易日的收盘价范围：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16.01～18.72港元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-7.8%～+7.8%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15.09～20.28港元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-13.1%～+16.8%</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：若17.20～17.50港元支撑大致守稳、但受制于17.85～18.30港元压力，或于16.70～18.30港元整理。按历史波动率测算，一周后收盘落在该区间的概率约45%。</w:t>
      </w:r>
    </w:p>
    <w:p>
      <w:pPr>
        <w:pStyle w:val="ListParagraph"/>
        <w:numPr>
          <w:ilvl w:val="0"/>
          <w:numId w:val="2"/>
        </w:numPr>
        <w:spacing w:after="80" w:line="280"/>
      </w:pPr>
      <w:r>
        <w:rPr>
          <w:b/>
          <w:bCs/>
          <w:sz w:val="22"/>
          <w:szCs w:val="22"/>
        </w:rPr>
        <w:t xml:space="preserve">偏弱下行（权重中等，约三成）</w:t>
      </w:r>
      <w:r>
        <w:rPr>
          <w:sz w:val="22"/>
          <w:szCs w:val="22"/>
        </w:rPr>
        <w:t xml:space="preserve">：若收盘有效跌破16.08～16.70港元支撑区且市场风险偏好转弱，或下探15.92～16.10港元。按历史波动率测算，一周后收盘落在该区间的概率约5%。</w:t>
      </w:r>
    </w:p>
    <w:p>
      <w:pPr>
        <w:pStyle w:val="ListParagraph"/>
        <w:numPr>
          <w:ilvl w:val="0"/>
          <w:numId w:val="2"/>
        </w:numPr>
        <w:spacing w:after="80" w:line="280"/>
      </w:pPr>
      <w:r>
        <w:rPr>
          <w:b/>
          <w:bCs/>
          <w:sz w:val="22"/>
          <w:szCs w:val="22"/>
        </w:rPr>
        <w:t xml:space="preserve">反弹走强（权重偏低，约两成）</w:t>
      </w:r>
      <w:r>
        <w:rPr>
          <w:sz w:val="22"/>
          <w:szCs w:val="22"/>
        </w:rPr>
        <w:t xml:space="preserve">：若放量站稳18.30港元上方，且板块改善或出现新催化，或反弹至18.91～19.60港元。按历史波动率测算，一周后收盘落在该区间的概率约5%。</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截至2026年9月30日，换手率0.69%、成交额0.90亿港元；近两周多数日成交额约0.20亿～1.59亿港元。9月1日主力资金估算净流入、9月4日及29日净流出，方向不一。前十主要持有人实体截至2026年6月30日合计约持股50.6%，名单未见公募基金、社保或QFII头部持有人；数据有时滞且结构可能已变。成交偏淡时较大订单可能面临较高冲击成本或滑点。</w:t>
      </w:r>
    </w:p>
    <w:p>
      <w:pPr>
        <w:spacing w:after="160" w:line="300"/>
      </w:pPr>
      <w:r>
        <w:rPr>
          <w:sz w:val="22"/>
          <w:szCs w:val="22"/>
        </w:rPr>
        <w:t xml:space="preserve">若连续两个交易日成交额达1.5亿港元以上且收盘站上18.30港元，可视为短线资金参与增强信号之一。</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hkexnews.hk（公告PDF） — https://www1.hkexnews.hk/listedco/listconews/sehk/2026/0429/2026042900019.pdf</w:t>
      </w:r>
    </w:p>
    <w:p>
      <w:pPr>
        <w:spacing w:after="200"/>
      </w:pPr>
      <w:r>
        <w:rPr>
          <w:i/>
          <w:iCs/>
          <w:color w:val="595959"/>
          <w:sz w:val="18"/>
          <w:szCs w:val="18"/>
        </w:rPr>
        <w:t xml:space="preserve">hkexnews.hk（公告PDF） — https://www.hkexnews.hk/listedco/listconews/sehk/2025/0326/2025032602216.pdf</w:t>
      </w:r>
    </w:p>
    <w:p>
      <w:pPr>
        <w:spacing w:after="200"/>
      </w:pPr>
      <w:r>
        <w:rPr>
          <w:i/>
          <w:iCs/>
          <w:color w:val="595959"/>
          <w:sz w:val="18"/>
          <w:szCs w:val="18"/>
        </w:rPr>
        <w:t xml:space="preserve">SZSE:300750 PE Ratio (TTM): 15.58 — 56% Below Median — https://www.gurufocus.com/term/pettm/SZSE%3A300750</w:t>
      </w:r>
    </w:p>
    <w:p>
      <w:pPr>
        <w:spacing w:after="200"/>
      </w:pPr>
      <w:r>
        <w:rPr>
          <w:i/>
          <w:iCs/>
          <w:color w:val="595959"/>
          <w:sz w:val="18"/>
          <w:szCs w:val="18"/>
        </w:rPr>
        <w:t xml:space="preserve">hkexnews.hk（公告PDF） — https://www.hkexnews.hk/listedco/listconews/sehk/2026/0828/2026082803039_c.pdf</w:t>
      </w:r>
    </w:p>
    <w:p>
      <w:pPr>
        <w:spacing w:after="200"/>
      </w:pPr>
      <w:r>
        <w:rPr>
          <w:i/>
          <w:iCs/>
          <w:color w:val="595959"/>
          <w:sz w:val="18"/>
          <w:szCs w:val="18"/>
        </w:rPr>
        <w:t xml:space="preserve">hkexnews.hk（公告PDF） — https://www.hkexnews.hk/listedco/listconews/sehk/2026/0327/2026032703841_c.pdf</w:t>
      </w:r>
    </w:p>
    <w:p>
      <w:pPr>
        <w:spacing w:after="200"/>
      </w:pPr>
      <w:r>
        <w:rPr>
          <w:i/>
          <w:iCs/>
          <w:color w:val="595959"/>
          <w:sz w:val="18"/>
          <w:szCs w:val="18"/>
        </w:rPr>
        <w:t xml:space="preserve">东吴证券-中创新航(03931.HK)2025年业绩公告点评：业绩符合预期，盈利稳步提升-260401.pdf — https://pdf.dfcfw.com/pdf/H3_AP202604021820971019_1.pdf?1775119425000.pdf=</w:t>
      </w:r>
    </w:p>
    <w:p>
      <w:pPr>
        <w:spacing w:after="200"/>
      </w:pPr>
      <w:r>
        <w:rPr>
          <w:i/>
          <w:iCs/>
          <w:color w:val="595959"/>
          <w:sz w:val="18"/>
          <w:szCs w:val="18"/>
        </w:rPr>
        <w:t xml:space="preserve">hkexnews.hk（公告PDF） — https://www.hkexnews.hk/listedco/listconews/sehk/2026/0814/2026081400987_c.pdf</w:t>
      </w:r>
    </w:p>
    <w:p>
      <w:pPr>
        <w:spacing w:after="200"/>
      </w:pPr>
      <w:r>
        <w:rPr>
          <w:i/>
          <w:iCs/>
          <w:color w:val="595959"/>
          <w:sz w:val="18"/>
          <w:szCs w:val="18"/>
        </w:rPr>
        <w:t xml:space="preserve">hkexnews.hk（公告PDF） — https://www.hkexnews.hk/listedco/listconews/sehk/2026/0828/2026082803069_c.pdf</w:t>
      </w:r>
    </w:p>
    <w:p>
      <w:pPr>
        <w:spacing w:after="200"/>
      </w:pPr>
      <w:r>
        <w:rPr>
          <w:i/>
          <w:iCs/>
          <w:color w:val="595959"/>
          <w:sz w:val="18"/>
          <w:szCs w:val="18"/>
        </w:rPr>
        <w:t xml:space="preserve">中创新航：2025年净利润14.76亿元 同比增长149.6% _ 东方财富网 — https://finance.eastmoney.com/a/202604293724745053.html</w:t>
      </w:r>
    </w:p>
    <w:p>
      <w:pPr>
        <w:spacing w:after="200"/>
      </w:pPr>
      <w:r>
        <w:rPr>
          <w:i/>
          <w:iCs/>
          <w:color w:val="595959"/>
          <w:sz w:val="18"/>
          <w:szCs w:val="18"/>
        </w:rPr>
        <w:t xml:space="preserve">中创新航(03931)股票股价,实时行情,新闻,财报数据_新浪财经_新浪网 — https://stock.finance.sina.com.cn/hkstock/quotes/03931.html</w:t>
      </w:r>
    </w:p>
    <w:p>
      <w:pPr>
        <w:spacing w:after="200"/>
      </w:pPr>
      <w:r>
        <w:rPr>
          <w:i/>
          <w:iCs/>
          <w:color w:val="595959"/>
          <w:sz w:val="18"/>
          <w:szCs w:val="18"/>
        </w:rPr>
        <w:t xml:space="preserve">3931.HK CALB - Company Information - Earnings Forecast Overview - etnet — https://mpf.etnet.com.hk/www/eng/stocks/realtime/quote_profit.php?code=3931</w:t>
      </w:r>
    </w:p>
    <w:p>
      <w:pPr>
        <w:spacing w:after="200"/>
      </w:pPr>
      <w:r>
        <w:rPr>
          <w:i/>
          <w:iCs/>
          <w:color w:val="595959"/>
          <w:sz w:val="18"/>
          <w:szCs w:val="18"/>
        </w:rPr>
        <w:t xml:space="preserve">Listed Company Information Title Search — https://www1.hkexnews.hk/search/titlesearch.xhtml?category=0&amp;lang=EN&amp;market=SEHK&amp;stockId=1000167851</w:t>
      </w:r>
    </w:p>
    <w:p>
      <w:pPr>
        <w:spacing w:after="200"/>
      </w:pPr>
      <w:r>
        <w:rPr>
          <w:i/>
          <w:iCs/>
          <w:color w:val="595959"/>
          <w:sz w:val="18"/>
          <w:szCs w:val="18"/>
        </w:rPr>
        <w:t xml:space="preserve">hkexnews.hk（公告PDF） — https://www1.hkexnews.hk/listedco/listconews/sehk/2026/0814/2026081400986.pdf</w:t>
      </w:r>
    </w:p>
    <w:p>
      <w:pPr>
        <w:spacing w:after="200"/>
      </w:pPr>
      <w:r>
        <w:rPr>
          <w:i/>
          <w:iCs/>
          <w:color w:val="595959"/>
          <w:sz w:val="18"/>
          <w:szCs w:val="18"/>
        </w:rPr>
        <w:t xml:space="preserve">hkexnews.hk（公告PDF） — https://www1.hkexnews.hk/listedco/listconews/sehk/2026/0728/2026072801447.pdf</w:t>
      </w:r>
    </w:p>
    <w:p>
      <w:pPr>
        <w:spacing w:after="200"/>
      </w:pPr>
      <w:r>
        <w:rPr>
          <w:i/>
          <w:iCs/>
          <w:color w:val="595959"/>
          <w:sz w:val="18"/>
          <w:szCs w:val="18"/>
        </w:rPr>
        <w:t xml:space="preserve">hkexnews.hk（公告PDF） — https://www1.hkexnews.hk/listedco/listconews/sehk/2026/0828/2026082803038.pdf</w:t>
      </w:r>
    </w:p>
    <w:p>
      <w:pPr>
        <w:spacing w:after="200"/>
      </w:pPr>
      <w:r>
        <w:rPr>
          <w:i/>
          <w:iCs/>
          <w:color w:val="595959"/>
          <w:sz w:val="18"/>
          <w:szCs w:val="18"/>
        </w:rPr>
        <w:t xml:space="preserve">hkexnews.hk（公告PDF） — https://www1.hkexnews.hk/listedco/listconews/sehk/2026/0828/2026082803068.pdf</w:t>
      </w:r>
    </w:p>
    <w:p>
      <w:pPr>
        <w:spacing w:after="200"/>
      </w:pPr>
      <w:r>
        <w:rPr>
          <w:i/>
          <w:iCs/>
          <w:color w:val="595959"/>
          <w:sz w:val="18"/>
          <w:szCs w:val="18"/>
        </w:rPr>
        <w:t xml:space="preserve">hkexnews.hk（公告PDF） — https://www1.hkexnews.hk/listedco/listconews/sehk/2026/0930/2026093001136.pdf</w:t>
      </w:r>
    </w:p>
    <w:p>
      <w:pPr>
        <w:spacing w:after="200"/>
      </w:pPr>
      <w:r>
        <w:rPr>
          <w:i/>
          <w:iCs/>
          <w:color w:val="595959"/>
          <w:sz w:val="18"/>
          <w:szCs w:val="18"/>
        </w:rPr>
        <w:t xml:space="preserve">Equity Securities — https://www.hkex.com.hk/Listing/Explore-By-Role/Listed-Issuers/Equity-Securities?sc_lang=en</w:t>
      </w:r>
    </w:p>
    <w:p>
      <w:pPr>
        <w:spacing w:after="200"/>
      </w:pPr>
      <w:r>
        <w:rPr>
          <w:i/>
          <w:iCs/>
          <w:color w:val="595959"/>
          <w:sz w:val="18"/>
          <w:szCs w:val="18"/>
        </w:rPr>
        <w:t xml:space="preserve">Hong Kong Exchanges and Clearing Limited and The Stock Exchange of Hong Kong Limited take no responsibility — https://www.hkexnews.hk/listedco/listconews/sehk/2026/0205/2026020502342.pdf</w:t>
      </w:r>
    </w:p>
    <w:p>
      <w:pPr>
        <w:spacing w:after="200"/>
      </w:pPr>
      <w:r>
        <w:rPr>
          <w:i/>
          <w:iCs/>
          <w:color w:val="595959"/>
          <w:sz w:val="18"/>
          <w:szCs w:val="18"/>
        </w:rPr>
        <w:t xml:space="preserve">Hong Kong Exchanges and Clearing Limited and The Stock Exchange of Hong Kong Limited take no responsibility — https://www.hkexnews.hk/listedco/listconews/sehk/2025/1224/2025122401668.pdf</w:t>
      </w:r>
    </w:p>
    <w:p>
      <w:pPr>
        <w:spacing w:after="200"/>
      </w:pPr>
      <w:r>
        <w:rPr>
          <w:i/>
          <w:iCs/>
          <w:color w:val="595959"/>
          <w:sz w:val="18"/>
          <w:szCs w:val="18"/>
        </w:rPr>
        <w:t xml:space="preserve">中创新航（03931.HK）9月29日收盘跌1.1%，主力资金净流出475.13万港元_港股频道_证券之星 — https://hk.stockstar.com/RB2026092900032008.shtml</w:t>
      </w:r>
    </w:p>
    <w:p>
      <w:pPr>
        <w:spacing w:after="200"/>
      </w:pPr>
      <w:r>
        <w:rPr>
          <w:i/>
          <w:iCs/>
          <w:color w:val="595959"/>
          <w:sz w:val="18"/>
          <w:szCs w:val="18"/>
        </w:rPr>
        <w:t xml:space="preserve">中创新航(03931)最新股东|股东 - 理杏仁 — https://www.lixinger.com/equity/company/detail/hk/03931/3931/shareholders/hk-latest-shareholders</w:t>
      </w:r>
    </w:p>
    <w:p>
      <w:pPr>
        <w:spacing w:after="200"/>
      </w:pPr>
      <w:r>
        <w:rPr>
          <w:i/>
          <w:iCs/>
          <w:color w:val="595959"/>
          <w:sz w:val="18"/>
          <w:szCs w:val="18"/>
        </w:rPr>
        <w:t xml:space="preserve">中创新航(03931)_个股概要_股票价格_最新资讯_行情走势_历史数据 - 老虎社区 — https://www.laohu8.com/m/hq/s/03931</w:t>
      </w:r>
    </w:p>
    <w:p>
      <w:pPr>
        <w:spacing w:after="200"/>
      </w:pPr>
      <w:r>
        <w:rPr>
          <w:i/>
          <w:iCs/>
          <w:color w:val="595959"/>
          <w:sz w:val="18"/>
          <w:szCs w:val="18"/>
        </w:rPr>
        <w:t xml:space="preserve">沽空记录 _ 东方财富网 — https://hk.eastmoney.com/sellshort.html?code=03931</w:t>
      </w:r>
    </w:p>
    <w:p>
      <w:pPr>
        <w:spacing w:after="200"/>
      </w:pPr>
      <w:r>
        <w:rPr>
          <w:i/>
          <w:iCs/>
          <w:color w:val="595959"/>
          <w:sz w:val="18"/>
          <w:szCs w:val="18"/>
        </w:rPr>
        <w:t xml:space="preserve">中创新航(HK3931) 股东持股_F10_同花顺金融服务网 — https://stockpage.10jqka.com.cn/basicweb/176/HK3931/holder.html</w:t>
      </w:r>
    </w:p>
    <w:p>
      <w:pPr>
        <w:spacing w:after="200"/>
      </w:pPr>
      <w:r>
        <w:rPr>
          <w:i/>
          <w:iCs/>
          <w:color w:val="595959"/>
          <w:sz w:val="18"/>
          <w:szCs w:val="18"/>
        </w:rPr>
        <w:t xml:space="preserve">Predefined Documents — https://www1.hkexnews.hk/search/predefineddoc.xhtml%3Bjsessionid%3DVo76MxOma7yQRnWptKdva7gKlwdPqWbZhjZ4PW_9.s106</w:t>
      </w:r>
    </w:p>
    <w:p>
      <w:pPr>
        <w:spacing w:after="200"/>
      </w:pPr>
      <w:r>
        <w:rPr>
          <w:i/>
          <w:iCs/>
          <w:color w:val="595959"/>
          <w:sz w:val="18"/>
          <w:szCs w:val="18"/>
        </w:rPr>
        <w:t xml:space="preserve">港股異動 | 中創新航(03931)漲超7% 車企加速綁定二線電池廠商 公司客戶結構持續優化 作者 智通財經 — https://hk.investing.com/news/stock-market-news/article-1659091</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2026-10-01T18:50:21.531Z</dcterms:created>
  <dcterms:modified xsi:type="dcterms:W3CDTF">2026-10-01T18:50:21.531Z</dcterms:modified>
</cp:coreProperties>
</file>

<file path=docProps/custom.xml><?xml version="1.0" encoding="utf-8"?>
<Properties xmlns="http://schemas.openxmlformats.org/officeDocument/2006/custom-properties" xmlns:vt="http://schemas.openxmlformats.org/officeDocument/2006/docPropsVTypes"/>
</file>